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132715</wp:posOffset>
            </wp:positionV>
            <wp:extent cx="21431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165100</wp:posOffset>
            </wp:positionV>
            <wp:extent cx="21431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156845</wp:posOffset>
            </wp:positionV>
            <wp:extent cx="21431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Arrive AI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141605</wp:posOffset>
            </wp:positionV>
            <wp:extent cx="2143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2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001-42645</w:t>
            </w:r>
          </w:p>
        </w:tc>
        <w:tc>
          <w:tcPr>
            <w:tcW w:w="176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85-0935006</w:t>
            </w:r>
          </w:p>
        </w:tc>
      </w:tr>
      <w:tr>
        <w:trPr>
          <w:trHeight w:val="216"/>
        </w:trPr>
        <w:tc>
          <w:tcPr>
            <w:tcW w:w="22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76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2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76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260" w:type="dxa"/>
            <w:vAlign w:val="bottom"/>
          </w:tcPr>
          <w:p>
            <w:pPr>
              <w:spacing w:after="0"/>
              <w:rPr>
                <w:sz w:val="24"/>
                <w:szCs w:val="24"/>
                <w:color w:val="auto"/>
              </w:rPr>
            </w:pPr>
          </w:p>
        </w:tc>
        <w:tc>
          <w:tcPr>
            <w:tcW w:w="5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12175 Visionary Way</w:t>
            </w:r>
          </w:p>
        </w:tc>
        <w:tc>
          <w:tcPr>
            <w:tcW w:w="1760" w:type="dxa"/>
            <w:vAlign w:val="bottom"/>
          </w:tcPr>
          <w:p>
            <w:pPr>
              <w:spacing w:after="0"/>
              <w:rPr>
                <w:sz w:val="24"/>
                <w:szCs w:val="24"/>
                <w:color w:val="auto"/>
              </w:rPr>
            </w:pPr>
          </w:p>
        </w:tc>
      </w:tr>
      <w:tr>
        <w:trPr>
          <w:trHeight w:val="216"/>
        </w:trPr>
        <w:tc>
          <w:tcPr>
            <w:tcW w:w="2260" w:type="dxa"/>
            <w:vAlign w:val="bottom"/>
          </w:tcPr>
          <w:p>
            <w:pPr>
              <w:spacing w:after="0"/>
              <w:rPr>
                <w:sz w:val="18"/>
                <w:szCs w:val="18"/>
                <w:color w:val="auto"/>
              </w:rPr>
            </w:pPr>
          </w:p>
        </w:tc>
        <w:tc>
          <w:tcPr>
            <w:tcW w:w="5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Fishers, Indiana 46038</w:t>
            </w:r>
          </w:p>
        </w:tc>
        <w:tc>
          <w:tcPr>
            <w:tcW w:w="1760" w:type="dxa"/>
            <w:vAlign w:val="bottom"/>
          </w:tcPr>
          <w:p>
            <w:pPr>
              <w:spacing w:after="0"/>
              <w:rPr>
                <w:sz w:val="18"/>
                <w:szCs w:val="18"/>
                <w:color w:val="auto"/>
              </w:rPr>
            </w:pPr>
          </w:p>
        </w:tc>
      </w:tr>
      <w:tr>
        <w:trPr>
          <w:trHeight w:val="238"/>
        </w:trPr>
        <w:tc>
          <w:tcPr>
            <w:tcW w:w="2260" w:type="dxa"/>
            <w:vAlign w:val="bottom"/>
          </w:tcPr>
          <w:p>
            <w:pPr>
              <w:spacing w:after="0"/>
              <w:rPr>
                <w:sz w:val="20"/>
                <w:szCs w:val="20"/>
                <w:color w:val="auto"/>
              </w:rPr>
            </w:pPr>
          </w:p>
        </w:tc>
        <w:tc>
          <w:tcPr>
            <w:tcW w:w="5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1760" w:type="dxa"/>
            <w:vAlign w:val="bottom"/>
          </w:tcPr>
          <w:p>
            <w:pPr>
              <w:spacing w:after="0"/>
              <w:rPr>
                <w:sz w:val="20"/>
                <w:szCs w:val="20"/>
                <w:color w:val="auto"/>
              </w:rPr>
            </w:pPr>
          </w:p>
        </w:tc>
      </w:tr>
      <w:tr>
        <w:trPr>
          <w:trHeight w:val="410"/>
        </w:trPr>
        <w:tc>
          <w:tcPr>
            <w:tcW w:w="2260" w:type="dxa"/>
            <w:vAlign w:val="bottom"/>
          </w:tcPr>
          <w:p>
            <w:pPr>
              <w:spacing w:after="0"/>
              <w:rPr>
                <w:sz w:val="24"/>
                <w:szCs w:val="24"/>
                <w:color w:val="auto"/>
              </w:rPr>
            </w:pPr>
          </w:p>
        </w:tc>
        <w:tc>
          <w:tcPr>
            <w:tcW w:w="5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(463) 270-0092</w:t>
            </w:r>
          </w:p>
        </w:tc>
        <w:tc>
          <w:tcPr>
            <w:tcW w:w="1760" w:type="dxa"/>
            <w:vAlign w:val="bottom"/>
          </w:tcPr>
          <w:p>
            <w:pPr>
              <w:spacing w:after="0"/>
              <w:rPr>
                <w:sz w:val="24"/>
                <w:szCs w:val="24"/>
                <w:color w:val="auto"/>
              </w:rPr>
            </w:pPr>
          </w:p>
        </w:tc>
      </w:tr>
      <w:tr>
        <w:trPr>
          <w:trHeight w:val="238"/>
        </w:trPr>
        <w:tc>
          <w:tcPr>
            <w:tcW w:w="2260" w:type="dxa"/>
            <w:vAlign w:val="bottom"/>
          </w:tcPr>
          <w:p>
            <w:pPr>
              <w:spacing w:after="0"/>
              <w:rPr>
                <w:sz w:val="20"/>
                <w:szCs w:val="20"/>
                <w:color w:val="auto"/>
              </w:rPr>
            </w:pPr>
          </w:p>
        </w:tc>
        <w:tc>
          <w:tcPr>
            <w:tcW w:w="5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760" w:type="dxa"/>
            <w:vAlign w:val="bottom"/>
          </w:tcPr>
          <w:p>
            <w:pPr>
              <w:spacing w:after="0"/>
              <w:rPr>
                <w:sz w:val="20"/>
                <w:szCs w:val="20"/>
                <w:color w:val="auto"/>
              </w:rPr>
            </w:pPr>
          </w:p>
        </w:tc>
      </w:tr>
      <w:tr>
        <w:trPr>
          <w:trHeight w:val="410"/>
        </w:trPr>
        <w:tc>
          <w:tcPr>
            <w:tcW w:w="2260" w:type="dxa"/>
            <w:vAlign w:val="bottom"/>
          </w:tcPr>
          <w:p>
            <w:pPr>
              <w:spacing w:after="0"/>
              <w:rPr>
                <w:sz w:val="24"/>
                <w:szCs w:val="24"/>
                <w:color w:val="auto"/>
              </w:rPr>
            </w:pPr>
          </w:p>
        </w:tc>
        <w:tc>
          <w:tcPr>
            <w:tcW w:w="5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1760" w:type="dxa"/>
            <w:vAlign w:val="bottom"/>
          </w:tcPr>
          <w:p>
            <w:pPr>
              <w:spacing w:after="0"/>
              <w:rPr>
                <w:sz w:val="24"/>
                <w:szCs w:val="24"/>
                <w:color w:val="auto"/>
              </w:rPr>
            </w:pPr>
          </w:p>
        </w:tc>
      </w:tr>
      <w:tr>
        <w:trPr>
          <w:trHeight w:val="238"/>
        </w:trPr>
        <w:tc>
          <w:tcPr>
            <w:tcW w:w="2260" w:type="dxa"/>
            <w:vAlign w:val="bottom"/>
          </w:tcPr>
          <w:p>
            <w:pPr>
              <w:spacing w:after="0"/>
              <w:rPr>
                <w:sz w:val="20"/>
                <w:szCs w:val="20"/>
                <w:color w:val="auto"/>
              </w:rPr>
            </w:pPr>
          </w:p>
        </w:tc>
        <w:tc>
          <w:tcPr>
            <w:tcW w:w="5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7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137160</wp:posOffset>
            </wp:positionV>
            <wp:extent cx="2143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firstLine="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14" w:lineRule="auto"/>
        <w:tabs>
          <w:tab w:leader="none" w:pos="21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ARAI</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June 11, 2026, the Company entered into an Equity Distribution Agreement (the “</w:t>
      </w:r>
      <w:r>
        <w:rPr>
          <w:rFonts w:ascii="Times New Roman" w:cs="Times New Roman" w:eastAsia="Times New Roman" w:hAnsi="Times New Roman"/>
          <w:sz w:val="18"/>
          <w:szCs w:val="18"/>
          <w:u w:val="single" w:color="auto"/>
          <w:color w:val="auto"/>
        </w:rPr>
        <w:t>Sales Agreement</w:t>
      </w:r>
      <w:r>
        <w:rPr>
          <w:rFonts w:ascii="Times New Roman" w:cs="Times New Roman" w:eastAsia="Times New Roman" w:hAnsi="Times New Roman"/>
          <w:sz w:val="18"/>
          <w:szCs w:val="18"/>
          <w:color w:val="auto"/>
        </w:rPr>
        <w:t>”) with Maxim Group LLC (“</w:t>
      </w:r>
      <w:r>
        <w:rPr>
          <w:rFonts w:ascii="Times New Roman" w:cs="Times New Roman" w:eastAsia="Times New Roman" w:hAnsi="Times New Roman"/>
          <w:sz w:val="18"/>
          <w:szCs w:val="18"/>
          <w:u w:val="single" w:color="auto"/>
          <w:color w:val="auto"/>
        </w:rPr>
        <w:t>Maxim</w:t>
      </w:r>
      <w:r>
        <w:rPr>
          <w:rFonts w:ascii="Times New Roman" w:cs="Times New Roman" w:eastAsia="Times New Roman" w:hAnsi="Times New Roman"/>
          <w:sz w:val="18"/>
          <w:szCs w:val="18"/>
          <w:color w:val="auto"/>
        </w:rPr>
        <w:t>”), to sell shares of its common stock, par value $0.0002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having an aggregate offering price of up to $14,967,247, from time to time, through an “at the market offering” program under which Maxim, acting as sales agent, will offer and sell the Shares. The sales, if any, of the Shares made under the Sales Agreement will be made by any method permitted by law deemed to be an “at the market offering” as defined in Rule 415 promulgated under the Securities Act of 1933, as amended.</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will pay Maxim a commission rate equal to 2.5% of the gross sales price from each sale of Shares. The Sales Agreement contains customary representations and warranties and conditions to the sale of the Shares.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not obligated to sell any of the Shares under the Sales Agreement and may at any time suspend sales thereunder. The Sales Agreement may be terminated by the Company with five days’ notice following six months from the date of the Sales Agreement, or by Maxim with five days’ notice at any time, or earlier under certain circumstances.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Shares will be issued pursuant to the Company’s shelf registration statement on Form S-3 (File No. 333-296392) filed by the Company with the SEC and declared effective by the SEC on June 11, 2026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will file a prospectus supplement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dated June 12, 2026, to the Registration Statement with the SEC in connection with the offer and sale of the Shares.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Sales Agreement is not complete and is qualified in its entirety by reference to the full text of such agreement, a copy of which is filed as Exhibit 10.1 to this Current Report on Form 8-K and incorporated herein by reference. The representations, warranties and covenants contained in such agreement were made only for purposes of such agreement and as of specific date, were solely for the benefit of the parties to such agreement and may be subject to limitations agreed upon by the contracting 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32"/>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101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No. Description</w:t>
            </w:r>
          </w:p>
        </w:tc>
      </w:tr>
      <w:tr>
        <w:trPr>
          <w:trHeight w:val="385"/>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Opinion of Lucosky Brookman LLP</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77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Equity Distribution Agreement, dated June 11, 2026, by and between the Company and Maxim Group LLC</w:t>
            </w:r>
          </w:p>
        </w:tc>
        <w:tc>
          <w:tcPr>
            <w:tcW w:w="238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7"/>
                <w:szCs w:val="17"/>
                <w:color w:val="auto"/>
              </w:rPr>
            </w:pPr>
          </w:p>
        </w:tc>
        <w:tc>
          <w:tcPr>
            <w:tcW w:w="101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Consent of Lucosky Brookman LLP (included in Exhibit 5.1 hereto)</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20" w:type="dxa"/>
            <w:vAlign w:val="bottom"/>
            <w:gridSpan w:val="2"/>
            <w:shd w:val="clear" w:color="auto" w:fill="0000EE"/>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All statements contained in this Current Report on Form 8-K that do not relate to matters of historical fact should be considered forward-looking statements. In some cases, you can identify forward-looking statements by terms such as “aim,” “anticipate,” “approach,” “believe,” “contemplate,” “could,” “estimate,” “expect,” “goal,” “intend,” “look,” “may,” “mission,” “plan,” “possible,” “potential,” “predict,” “project,” “pursue,” “should,” “target,” “will,” “would,” or the negative thereof and similar words and expressions. Forward-looking statements are based on management’s current expectations, beliefs and assumptions and on information currently available to us. Such statements are subject to a number of known and unknown risks, uncertainties and assumptions, and actual results may differ materially from those expressed or implied in the forward-looking statements due to known and unknown risks, uncertainties and other important factors, including, without limitation, the risks referred to under the section “Risk Factors” in the Company’s Annual Report on Form 10-K for the annual period ended December 31, 2025, as any such factors may be updated from time to time in our other filings with the SEC, which are accessible on the SEC’s website at www.sec.gov and the investor relations section of the Arrive AI website at www.arriveai.com. All forward-looking statements speak only as of the date of this Current Report on Form 8-K and, except as required by applicable law, we have no obligation to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12, 2026</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Daniel S.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Daniel S. O’Toole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14500" cy="402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Arrive AI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12175 Visionary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Fishers, Indiana 46038</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 Arrive AI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Please be advised that this firm is counsel to Arrive AI Inc., a Delaware corporation (the “Company”). We have acted as counsel to the Company in connection with its entry into the Equity Distribution Agreement, dated June 11, 2026, by and between the Company and Maxim Group LLC (the “Agreement”) pursuant to which the Company may issue and sell up to $14,967,247 of shares (the “Shares”) of the common stock, $0.0002 par value (the “Common Stock”), of the Company pursuant to a Registration Statement on Form S-3 (File No. 333-296392) filed with the Securities and Exchange Commission (the “Commission”) under the Securities Act of 1933, as amended (the “Securities Act”), and declared effective by the Commission on June 11, 2026 (the “Registration Statement”), for the registration of shares of Common Stock, preferred stock, debt securities, warrants to purchase Common Stock, rights, and/or units comprised of any combination of the foregoing on a delayed or continuous basis pursuant to Rule 415 of the Securities Act.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upon, assuming and subject to the validity of the information provided to us and the representations set forth in the Registration Statement, the Prospectus Supplement and the Agreement (and in this regard we have assumed that such information and representations given or dated earlier than this opinion letter have remained accurate from such earlier date to the date of this opinion letter), it is our opinion that the Shares proposed to be sold by the Company, when duly sold, issued and paid for pursuant to, and in the manner contemplated by the Agreement and the Prospectus Supplement included as part of the Registration Statement, will be, assuming due payment for the Shares, duly authorized, validly issued, fully-paid and non-assessable.</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your filing this opinion as an exhibit to the Registration Statement and to the use of our name therein and in the related prospectus under the caption “Legal Matters.” In giving such consent, we do not thereby admit that we are in the category of persons whose consent is required under Section 7 of the Securities Act or the rules and regulations of the Commission thereunder.</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purposes of this letter, we have examined the representations set forth in the Registration Statement, the Agreement, and the prospectus supplement dated June 12, 2026 (the “Prospectus Supplement”) relating to the issue and sale of the Shares.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our capacity as counsel to the Company in connection with the matters referred to above, we have also examined copies of the following: (i) the Certificate of Incorporation of the Company, the Bylaws of the Company, and records of certain of the Company’s corporate proceedings as reflected in its minute books; (ii) the Registration Statement, in the form filed with the Commission through the date hereof; (iii) the Prospectus Supplement; and (iv) we have also examined such other documents and records, instruments and certificates of public officials, officers and representatives of the Company, and have made such other investigations as we have deemed necessary or appropriate under the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our examination, we have assumed the legal capacity of all natural persons, the genuineness of all signatures, the authenticity of all documents submitted to us as originals, the conformity to original documents of all documents submitted to us as certified or photostatic copies, and the authenticity of the originals of such documents. As to certain facts material to this opinion, we have relied upon oral or written statements and representations of officers and other representatives of the Company and public officials, and such other documents and information as we have deemed necessary or appropriate to enable us to render the opinions expressed below. We have not undertaken any independent investigation to determine the accuracy of any such facts.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qualified to practice law in the State of New York and do not purport to be experts on any law other than the laws of the State of New York, and the Federal law of the United States. We express no opinion regarding the Securities Act, or any other federal or state securities laws or regulations. This opinion letter is limited to the specific legal matters expressly set forth herein and is limited to present statutes, regulations and administrative and judicial interpretations as of the date hereof. We assume no obligation to revise or supplement this opinion in the event of future changes in such laws or regulations.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opinion is rendered solely for your benefit and may not be relied upon by any person or entity other than the addressee hereof. Without our prior written consent, except in a legal proceeding regarding the contents hereof, this opinion may not be quoted in whole or in part or otherwise referred to in any report or document furnished to any person or entity. This opinion is limited to the matters expressly set forth herein, and no opinion is to be implied or may be inferred beyond the matters expressly so stated. We disclaim any requirement to update this opinion subsequent to the date hereof or to advise you of any change in any matter set forth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LUCOSKY BROOKMAN LLP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Lucosky Brookman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$14,967,247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EQUITY DISTRIBUTION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11,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 Group LLC</w:t>
      </w:r>
    </w:p>
    <w:p>
      <w:pPr>
        <w:spacing w:after="0" w:line="205" w:lineRule="auto"/>
        <w:rPr>
          <w:sz w:val="20"/>
          <w:szCs w:val="20"/>
          <w:color w:val="auto"/>
        </w:rPr>
      </w:pPr>
      <w:r>
        <w:rPr>
          <w:rFonts w:ascii="Times New Roman" w:cs="Times New Roman" w:eastAsia="Times New Roman" w:hAnsi="Times New Roman"/>
          <w:sz w:val="18"/>
          <w:szCs w:val="18"/>
          <w:color w:val="auto"/>
        </w:rPr>
        <w:t>300 Park Avenue,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Arrive AI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proposes to issue and sell through Maxim Group LLC (the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as sales agent, common stock of the Company, par value $0.0002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having an aggregate offering price of up to $14,967,247 of Common Stock (the Common Stock subject to this Equity Distribution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being referred to herein as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on terms set forth herein. The Common Stock is currently listed on The Nasdaq Global Market. As used in this Agreement,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means The Nasdaq Stock Market LLC, including the Nasdaq Global Market or the Nasdaq Capital Market, as applicable, or any successor market or tier thereof on which the Common Stock is then listed. The Shares consist entirely of authorized but unissued Common Stock to be issued and sold by the Company.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confirms its agreement with the Agent with respect to the sale of the Shares.</w:t>
      </w:r>
    </w:p>
    <w:p>
      <w:pPr>
        <w:spacing w:after="0" w:line="221" w:lineRule="exact"/>
        <w:rPr>
          <w:sz w:val="20"/>
          <w:szCs w:val="20"/>
          <w:color w:val="auto"/>
        </w:rPr>
      </w:pPr>
    </w:p>
    <w:p>
      <w:pPr>
        <w:ind w:left="840" w:hanging="184"/>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Representations and Warranties of the Company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warrants to, and agrees with, the Agent as follows:</w:t>
      </w:r>
    </w:p>
    <w:p>
      <w:pPr>
        <w:spacing w:after="0" w:line="221" w:lineRule="exact"/>
        <w:rPr>
          <w:rFonts w:ascii="Times New Roman" w:cs="Times New Roman" w:eastAsia="Times New Roman" w:hAnsi="Times New Roman"/>
          <w:sz w:val="18"/>
          <w:szCs w:val="18"/>
          <w:color w:val="auto"/>
        </w:rPr>
      </w:pPr>
    </w:p>
    <w:p>
      <w:pPr>
        <w:jc w:val="both"/>
        <w:ind w:firstLine="1952"/>
        <w:spacing w:after="0" w:line="251" w:lineRule="auto"/>
        <w:tabs>
          <w:tab w:leader="none" w:pos="216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on Form S-3 (File No. 333-296392)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was initially declared effective by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June 11, 2026, and is currently effective, under the Securities Act of 1933, as amended (the “</w:t>
      </w:r>
      <w:r>
        <w:rPr>
          <w:rFonts w:ascii="Times New Roman" w:cs="Times New Roman" w:eastAsia="Times New Roman" w:hAnsi="Times New Roman"/>
          <w:sz w:val="18"/>
          <w:szCs w:val="18"/>
          <w:b w:val="1"/>
          <w:bCs w:val="1"/>
          <w:i w:val="1"/>
          <w:iCs w:val="1"/>
          <w:color w:val="auto"/>
        </w:rPr>
        <w:t>Securities Act of 1933</w:t>
      </w:r>
      <w:r>
        <w:rPr>
          <w:rFonts w:ascii="Times New Roman" w:cs="Times New Roman" w:eastAsia="Times New Roman" w:hAnsi="Times New Roman"/>
          <w:sz w:val="18"/>
          <w:szCs w:val="18"/>
          <w:color w:val="auto"/>
        </w:rPr>
        <w:t>”), and the rules and regulations promulgated thereunder (the “</w:t>
      </w:r>
      <w:r>
        <w:rPr>
          <w:rFonts w:ascii="Times New Roman" w:cs="Times New Roman" w:eastAsia="Times New Roman" w:hAnsi="Times New Roman"/>
          <w:sz w:val="18"/>
          <w:szCs w:val="18"/>
          <w:b w:val="1"/>
          <w:bCs w:val="1"/>
          <w:i w:val="1"/>
          <w:iCs w:val="1"/>
          <w:color w:val="auto"/>
        </w:rPr>
        <w:t>Rules and Regulations</w:t>
      </w:r>
      <w:r>
        <w:rPr>
          <w:rFonts w:ascii="Times New Roman" w:cs="Times New Roman" w:eastAsia="Times New Roman" w:hAnsi="Times New Roman"/>
          <w:sz w:val="18"/>
          <w:szCs w:val="18"/>
          <w:color w:val="auto"/>
        </w:rPr>
        <w:t>” and collectively with the Securities Act of 1933,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since the date of effectiveness of the registration statement, no additional or supplemental information was requested by the Commission; no stop order of the Commission preventing or suspending the use of any Base Prospectus (as defined below), the Prospectus Supplement (as defined below), the Prospectus (as defined below) or any Permitted Free Writing Prospectus (as defined below), or the effectiveness of the Registration Statement, has been issued, and no proceedings for such purpose have been instituted or, to the Company’s knowledge, are contemplated by the Commission. Except where the context otherwise requires,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as used herein, means the registration statement, as amended at the time of such registration statement’s effectiveness for purposes of Section 11 of the Securities Act, as such section applies to the Agent, including (1) all documents filed as a part thereof or incorporated or deemed to be incorporated by reference therein, (2) any information contained or incorporated by reference in a prospectus filed with the Commission pursuant to Rule 424(b) under the Securities Act, to the extent such information is deemed, pursuant to Rule 430B or Rule 430C under the Securities Act, to be part of the registration statement at such time, and (3) any registration statement filed to register the offer and sale of Shares pursuant to Rule 462(b) under the Securities Act (the “</w:t>
      </w:r>
      <w:r>
        <w:rPr>
          <w:rFonts w:ascii="Times New Roman" w:cs="Times New Roman" w:eastAsia="Times New Roman" w:hAnsi="Times New Roman"/>
          <w:sz w:val="18"/>
          <w:szCs w:val="18"/>
          <w:b w:val="1"/>
          <w:bCs w:val="1"/>
          <w:i w:val="1"/>
          <w:iCs w:val="1"/>
          <w:color w:val="auto"/>
        </w:rPr>
        <w:t>462(b) Registration Statement</w:t>
      </w:r>
      <w:r>
        <w:rPr>
          <w:rFonts w:ascii="Times New Roman" w:cs="Times New Roman" w:eastAsia="Times New Roman" w:hAnsi="Times New Roman"/>
          <w:sz w:val="18"/>
          <w:szCs w:val="18"/>
          <w:color w:val="auto"/>
        </w:rPr>
        <w:t>”). Except where the context otherwise requires,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as used herein, means the prospectus filed as part of the Registration Statement, together with any amendments or supplements thereto as of the date of this Agreement. Except where the context otherwise requires,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as used herein, means the most recent prospectus supplement relating to the offering of the Shares pursuant to this Agreement, filed by the Company with the Commission pursuant to Rule 424(b) under the Securities Act and in accordance with the terms of this Agreement. Except where the context otherwise requires,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as used herein, means the Prospectus Supplement together with the Base Prospectus attached to or used with the Prospectus Supplement, as may be amended or supplemented from time to time. “</w:t>
      </w:r>
      <w:r>
        <w:rPr>
          <w:rFonts w:ascii="Times New Roman" w:cs="Times New Roman" w:eastAsia="Times New Roman" w:hAnsi="Times New Roman"/>
          <w:sz w:val="18"/>
          <w:szCs w:val="18"/>
          <w:b w:val="1"/>
          <w:bCs w:val="1"/>
          <w:i w:val="1"/>
          <w:iCs w:val="1"/>
          <w:color w:val="auto"/>
        </w:rPr>
        <w:t>Permitted Free Writing Prospectus</w:t>
      </w:r>
      <w:r>
        <w:rPr>
          <w:rFonts w:ascii="Times New Roman" w:cs="Times New Roman" w:eastAsia="Times New Roman" w:hAnsi="Times New Roman"/>
          <w:sz w:val="18"/>
          <w:szCs w:val="18"/>
          <w:color w:val="auto"/>
        </w:rPr>
        <w:t xml:space="preserve">,” as used herein, means the documents, if any,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and, after the date hereof, any “issuer free writing prospectus” as defined in Rule 433 under the Securities Act, that is expressly agreed to by the Company and the Agent in writing to be a Permitted Free Writing Prospectus. Any reference herein to the Registration Statement, the Base Prospectus, the Prospectus Supplement, the Prospectus or any Permitted Free Writing Prospectus shall be deemed to refer to and include the documents, if any, incorporated by reference, or deemed to be incorporated by reference, therein pursuant to Item 12 of Form S-3 (the “</w:t>
      </w:r>
      <w:r>
        <w:rPr>
          <w:rFonts w:ascii="Times New Roman" w:cs="Times New Roman" w:eastAsia="Times New Roman" w:hAnsi="Times New Roman"/>
          <w:sz w:val="18"/>
          <w:szCs w:val="18"/>
          <w:b w:val="1"/>
          <w:bCs w:val="1"/>
          <w:i w:val="1"/>
          <w:iCs w:val="1"/>
          <w:color w:val="auto"/>
        </w:rPr>
        <w:t>Incorporated Documents</w:t>
      </w:r>
      <w:r>
        <w:rPr>
          <w:rFonts w:ascii="Times New Roman" w:cs="Times New Roman" w:eastAsia="Times New Roman" w:hAnsi="Times New Roman"/>
          <w:sz w:val="18"/>
          <w:szCs w:val="18"/>
          <w:color w:val="auto"/>
        </w:rPr>
        <w:t>”), including, unless the context otherwise requires, the documents, if any, filed as exhibits to such Incorporated Documents. For purposes of this Agreement, all references to the Registration Statement, the Rule 462(b) Registration Statement, the Base Prospectus, the Prospectus or any amendment or supplement to any of the foregoing shall be deemed to include the copy filed with the Commission pursuant to its Electronic Data Gathering, Analysis and Retrieval System (“</w:t>
      </w:r>
      <w:r>
        <w:rPr>
          <w:rFonts w:ascii="Times New Roman" w:cs="Times New Roman" w:eastAsia="Times New Roman" w:hAnsi="Times New Roman"/>
          <w:sz w:val="18"/>
          <w:szCs w:val="18"/>
          <w:b w:val="1"/>
          <w:bCs w:val="1"/>
          <w:i w:val="1"/>
          <w:iCs w:val="1"/>
          <w:color w:val="auto"/>
        </w:rPr>
        <w:t>EDGAR</w:t>
      </w:r>
      <w:r>
        <w:rPr>
          <w:rFonts w:ascii="Times New Roman" w:cs="Times New Roman" w:eastAsia="Times New Roman" w:hAnsi="Times New Roman"/>
          <w:sz w:val="18"/>
          <w:szCs w:val="18"/>
          <w:color w:val="auto"/>
        </w:rPr>
        <w:t>”). All references in this Agreement to financial statements and schedules and other information which is “described,” “contained,” “included” or “stated” in the Registration Statement, the Base Prospectus, the Prospectus or any Permitted Free Writing Prospectus (or other references of like import) shall be deemed to mean and include all such financial statements and schedules and other information which is incorporated by reference in or otherwise deemed by the Rules and Regulations to be a part of or included in the Registration Statement, the Base Prospectus, the Prospectus or Permitted Free Writing Prospectus as the case may be. Any reference herein to the terms “</w:t>
      </w:r>
      <w:r>
        <w:rPr>
          <w:rFonts w:ascii="Times New Roman" w:cs="Times New Roman" w:eastAsia="Times New Roman" w:hAnsi="Times New Roman"/>
          <w:sz w:val="18"/>
          <w:szCs w:val="18"/>
          <w:b w:val="1"/>
          <w:bCs w:val="1"/>
          <w:i w:val="1"/>
          <w:iCs w:val="1"/>
          <w:color w:val="auto"/>
        </w:rPr>
        <w:t>amend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supplement</w:t>
      </w:r>
      <w:r>
        <w:rPr>
          <w:rFonts w:ascii="Times New Roman" w:cs="Times New Roman" w:eastAsia="Times New Roman" w:hAnsi="Times New Roman"/>
          <w:sz w:val="18"/>
          <w:szCs w:val="18"/>
          <w:color w:val="auto"/>
        </w:rPr>
        <w:t>” with respect to the Registration Statement, any Base Prospectus, the Prospectus, the Prospectus Supplement or any Permitted Free Writing Prospectus shall be deemed to refer to and include the filing of any document under the Securities Exchange Act of 1934, as amended, and the rules and regulations thereunder (collectively,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on or after the initial effective date of the Registration Statement, or the date of such Base Prospectus, the Prospectus, the Prospectus Supplement or such Permitted Free Writing Prospectus, if any, as the case may be, and incorporated or deemed to be incorporated therein by reference pursuant to Item 12 of Form S-3. “</w:t>
      </w:r>
      <w:r>
        <w:rPr>
          <w:rFonts w:ascii="Times New Roman" w:cs="Times New Roman" w:eastAsia="Times New Roman" w:hAnsi="Times New Roman"/>
          <w:sz w:val="18"/>
          <w:szCs w:val="18"/>
          <w:b w:val="1"/>
          <w:bCs w:val="1"/>
          <w:i w:val="1"/>
          <w:iCs w:val="1"/>
          <w:color w:val="auto"/>
        </w:rPr>
        <w:t>Time of Sale</w:t>
      </w:r>
      <w:r>
        <w:rPr>
          <w:rFonts w:ascii="Times New Roman" w:cs="Times New Roman" w:eastAsia="Times New Roman" w:hAnsi="Times New Roman"/>
          <w:sz w:val="18"/>
          <w:szCs w:val="18"/>
          <w:color w:val="auto"/>
        </w:rPr>
        <w:t>” means each time a Share is purchased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both"/>
        <w:ind w:firstLine="1952"/>
        <w:spacing w:after="0" w:line="253" w:lineRule="auto"/>
        <w:tabs>
          <w:tab w:leader="none" w:pos="221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Registration Statement complied when it became effective, complies as of the date hereof, and will comply upon the effectiveness of any amendment thereto and at each Time of Sale and each Settlement Date (as applicable), in all material respects, with the requirements of the Securities Act; at all times during which a prospectus is required by the Securities Act to be delivered (whether physically or through compliance with Rule 172 under the Securities Act or any similar rule) in connection with any sale of Shares (the “</w:t>
      </w:r>
      <w:r>
        <w:rPr>
          <w:rFonts w:ascii="Times New Roman" w:cs="Times New Roman" w:eastAsia="Times New Roman" w:hAnsi="Times New Roman"/>
          <w:sz w:val="18"/>
          <w:szCs w:val="18"/>
          <w:b w:val="1"/>
          <w:bCs w:val="1"/>
          <w:i w:val="1"/>
          <w:iCs w:val="1"/>
          <w:color w:val="auto"/>
        </w:rPr>
        <w:t>Prospectus Delivery Period</w:t>
      </w:r>
      <w:r>
        <w:rPr>
          <w:rFonts w:ascii="Times New Roman" w:cs="Times New Roman" w:eastAsia="Times New Roman" w:hAnsi="Times New Roman"/>
          <w:sz w:val="18"/>
          <w:szCs w:val="18"/>
          <w:color w:val="auto"/>
        </w:rPr>
        <w:t>”); the Registration Statement, as may be amended, will comply, in all material respects, with the requirements of the Securities Act; the conditions to the use of Form S-3 in connection with the offering and sale of the Shares as contemplated hereby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have been satisfied; the Registration Statement meets, and the Offering complies with, the requirements of Rule 415 under the Securities Act (including, without limitation, Rule 415(a)(5)); the Registration Statement did not, as of the time of its effectiveness and as of the date hereof, and will not, as of the effective date of any amendment thereto, at each Time of Sale, if any, and at all times during a Prospectus Delivery Period, contain an untrue statement of a material fact or omit to state a material fact required to be stated therein or necessary to make the statements therein not misleading.</w:t>
      </w:r>
    </w:p>
    <w:p>
      <w:pPr>
        <w:spacing w:after="0" w:line="194" w:lineRule="exact"/>
        <w:rPr>
          <w:rFonts w:ascii="Times New Roman" w:cs="Times New Roman" w:eastAsia="Times New Roman" w:hAnsi="Times New Roman"/>
          <w:sz w:val="18"/>
          <w:szCs w:val="18"/>
          <w:color w:val="auto"/>
        </w:rPr>
      </w:pPr>
    </w:p>
    <w:p>
      <w:pPr>
        <w:jc w:val="both"/>
        <w:ind w:firstLine="2600"/>
        <w:spacing w:after="0" w:line="256" w:lineRule="auto"/>
        <w:tabs>
          <w:tab w:leader="none" w:pos="28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as of the date of the Prospectus Supplement, as of the date hereof (if filed with the Commission on or prior to the date hereof), at each Settlement Date and Time of Sale (as applicable), and at all times during a Prospectus Delivery Period, complied, complies or will comply, in all material respects, with the requirements of the Securities Act; and the Prospectus, and each supplement thereto, as of their respective dates, at each Settlement Date or Time of Sale (as applicable), and at all times during a Prospectus Delivery Period, did not and will not include an untrue statement of a material fact or omit to state a material fact necessary in order to make the statements therein, in the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jc w:val="both"/>
        <w:ind w:firstLine="2600"/>
        <w:spacing w:after="0" w:line="261" w:lineRule="auto"/>
        <w:tabs>
          <w:tab w:leader="none" w:pos="288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Permitted Free Writing Prospectus, if any, as of its date and as of each Settlement Date and Time of Sale (as applicable), and at all times during a Prospectus Delivery Period (when taken together with the Prospectus at such time) will not include an untrue statement of a material fact or omit to state a material fact necessary in order to make the statements therein, in the light of the circumstances under which they were made, not misleading.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representations and warranties set forth in subparagraphs (A), (B) and (C) above shall not apply to any statement contained in the Registration Statement, any Base Prospectus, the Prospectus or any Permitted Free Writing Prospectus in reliance upon and in conformity with information concerning the Agent that is furnished in writing by or on behalf of the Agent expressly for use in the Registration Statement, such Base Prospectus, the Prospectus or such Permitted Free Writing Prospectus, if any, it being understood and agreed that only such information furnished by the Agent as of the date hereof consists of the information described in </w:t>
      </w:r>
      <w:r>
        <w:rPr>
          <w:rFonts w:ascii="Times New Roman" w:cs="Times New Roman" w:eastAsia="Times New Roman" w:hAnsi="Times New Roman"/>
          <w:sz w:val="18"/>
          <w:szCs w:val="18"/>
          <w:u w:val="single" w:color="auto"/>
          <w:color w:val="auto"/>
        </w:rPr>
        <w:t>Section 5(b)(ii)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both"/>
        <w:ind w:left="-1120" w:firstLine="1952"/>
        <w:spacing w:after="0" w:line="252" w:lineRule="auto"/>
        <w:tabs>
          <w:tab w:leader="none" w:pos="113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execution of this Agreement, the Company has not, directly or indirectly, offered or sold any Shares by means of any “prospectus” (within the meaning of the Securities Act) or used any “prospectus” (within the meaning of the Securities Act) in connection with the Offering, in each case other than the Base Prospectus or any Permitted Free Writing Prospectus; the Company has not, directly or indirectly, prepared, used or referred to any Permitted Free Writing Prospectus except in compliance with Rules 164 and 433 under the Securities Act; assuming that a Permitted Free Writing Prospectus, if any, is sent or given after the Registration Statement was filed with the Commission (and after such Permitted Free Writing Prospectus, if any, was, if required pursuant to Rule 433(d) under the Securities Act, filed with the Commission), the Company will satisfy the provisions of Rule 164 or Rule 433 necessary for the use of a free writing prospectus (as defined in Rule 405) in connection with the Offering; the conditions set forth in one or more of subclauses (i) through (iv), inclusive, of Rule 433(b)(1) under the Securities Act are satisfied, and the registration statement relating to the Offering, as initially filed with the Commission, includes a prospectus that, other than by reason of Rule 433 or Rule 431 under the Securities Act, satisfies the requirements of Section 10 of the Securities Act; neither the Company nor the Agent is disqualified, by reason of subsection (f) or (g) of Rule 164 under the Securities Act, from using, in connection with the Offering, “free writing prospectuses” (as defined in Rule 405 under the Securities Act) pursuant to Rules 164 and 433 under the Securities Act; the Company is not an “ineligible issuer” (as defined in Rule 405 under the Securities Act) as of the eligibility determination date for purposes of Rules 164 and 433 under the Securities Act with respect to the offering of the Shares contemplated by the Registration Statement; the parties hereto agree and understand that the content of any and all “road shows” (as defined in Rule 433 under the Securities Act) related to the Offering is solely the property of the Company.</w:t>
      </w:r>
    </w:p>
    <w:p>
      <w:pPr>
        <w:spacing w:after="0" w:line="195" w:lineRule="exact"/>
        <w:rPr>
          <w:rFonts w:ascii="Times New Roman" w:cs="Times New Roman" w:eastAsia="Times New Roman" w:hAnsi="Times New Roman"/>
          <w:sz w:val="18"/>
          <w:szCs w:val="18"/>
          <w:color w:val="auto"/>
        </w:rPr>
      </w:pPr>
    </w:p>
    <w:p>
      <w:pPr>
        <w:jc w:val="both"/>
        <w:ind w:left="-1120" w:firstLine="1952"/>
        <w:spacing w:after="0" w:line="255" w:lineRule="auto"/>
        <w:tabs>
          <w:tab w:leader="none" w:pos="11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Permitted Free Writing Prospectus, as of its issue date, each Time of Sale and each Settlement Date occurring after such issue date and at all subsequent times through the Prospectus Delivery Period (as defined below) or until any earlier date that the Company notified or notifies the Agent as described in </w:t>
      </w:r>
      <w:r>
        <w:rPr>
          <w:rFonts w:ascii="Times New Roman" w:cs="Times New Roman" w:eastAsia="Times New Roman" w:hAnsi="Times New Roman"/>
          <w:sz w:val="18"/>
          <w:szCs w:val="18"/>
          <w:u w:val="single" w:color="auto"/>
          <w:color w:val="auto"/>
        </w:rPr>
        <w:t>Section 3(c)(iii)</w:t>
      </w:r>
      <w:r>
        <w:rPr>
          <w:rFonts w:ascii="Times New Roman" w:cs="Times New Roman" w:eastAsia="Times New Roman" w:hAnsi="Times New Roman"/>
          <w:sz w:val="18"/>
          <w:szCs w:val="18"/>
          <w:color w:val="auto"/>
        </w:rPr>
        <w:t xml:space="preserve">, did not, does not and will not include any information that conflicted, conflicts or will conflict with the information contained in the Registration Statement, any Base Prospectus or the Prospectus. The foregoing sentence does not apply to statements in or omissions from any Permitted Free Writing Prospectus based upon and in conformity with written information furnished to the Company by the Agent specifically for use therein, it being understood and agreed that only such information furnished by the Agent as of the date hereof consist of the information described in </w:t>
      </w:r>
      <w:r>
        <w:rPr>
          <w:rFonts w:ascii="Times New Roman" w:cs="Times New Roman" w:eastAsia="Times New Roman" w:hAnsi="Times New Roman"/>
          <w:sz w:val="18"/>
          <w:szCs w:val="18"/>
          <w:u w:val="single" w:color="auto"/>
          <w:color w:val="auto"/>
        </w:rPr>
        <w:t>Section 5(b)(ii)</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1120" w:firstLine="1952"/>
        <w:spacing w:after="0" w:line="252" w:lineRule="auto"/>
        <w:tabs>
          <w:tab w:leader="none" w:pos="109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and the Subsidiaries (as defined below), together with the related notes, set forth or incorporated by reference in the Registration Statement and the Prospectus comply in all material respects with the requirements of the Securities Act and the Exchange Act and fairly present in all material respects the financial condition of the Company and the Subsidiaries, as a whole, as of the dates indicated and the results of operations and changes in cash flows for the periods therein specified in conformity with U.S. generally accepted accounting principles consistently applied throughout the periods involved. The selected financial data and the summary financial information included in the documents in the Registration Statement and in the Prospectus constitute a fair summary of the information purported to be summarized and have been compiled on a basis consistent with that of the audited financial statements included in the Registration Statement. No other financial statements or supporting schedules are required to be included or incorporated by reference in the Registration Statement or the Prospectus under the Securities Act except as so included or incorporated by reference. All disclosures contained in the Registration Statement or the Prospectus or incorporated by reference therein regarding “non GAAP financial measures” (as such term is defined by the applicable rules and regulations of the Commission) comply with Regulation G of the Exchange Act and Item 10 of Regulation S-K of the Securities Act to the extent applicable. To the Company’s knowledge, Stephano Slack, which has expressed its opinion with respect to the audited financial statements for the fiscal year ended December 31, 2025, and schedules, if any, and which has reviewed the unaudited financial statements for the three months ended March 31, 2026 (collectively, the “</w:t>
      </w:r>
      <w:r>
        <w:rPr>
          <w:rFonts w:ascii="Times New Roman" w:cs="Times New Roman" w:eastAsia="Times New Roman" w:hAnsi="Times New Roman"/>
          <w:sz w:val="18"/>
          <w:szCs w:val="18"/>
          <w:b w:val="1"/>
          <w:bCs w:val="1"/>
          <w:i w:val="1"/>
          <w:iCs w:val="1"/>
          <w:color w:val="auto"/>
        </w:rPr>
        <w:t>Incorporated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Statements</w:t>
      </w:r>
      <w:r>
        <w:rPr>
          <w:rFonts w:ascii="Times New Roman" w:cs="Times New Roman" w:eastAsia="Times New Roman" w:hAnsi="Times New Roman"/>
          <w:sz w:val="18"/>
          <w:szCs w:val="18"/>
          <w:color w:val="auto"/>
        </w:rPr>
        <w:t>”), filed as a part of the Registration Statement and included in the Registration Statement and the Prospectus, is a registered public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firm within the meaning of the Securities Act, and in the performance of its work for the Company has not been in violation of the auditor independence requirements of the Sarbanes-Oxley Act of 2002 (the “</w:t>
      </w:r>
      <w:r>
        <w:rPr>
          <w:rFonts w:ascii="Times New Roman" w:cs="Times New Roman" w:eastAsia="Times New Roman" w:hAnsi="Times New Roman"/>
          <w:sz w:val="18"/>
          <w:szCs w:val="18"/>
          <w:b w:val="1"/>
          <w:bCs w:val="1"/>
          <w:i w:val="1"/>
          <w:iCs w:val="1"/>
          <w:color w:val="auto"/>
        </w:rPr>
        <w:t>Sarbanes-Oxley Act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272415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8" w:name="page9"/>
    <w:bookmarkEnd w:id="8"/>
    <w:p>
      <w:pPr>
        <w:jc w:val="both"/>
        <w:ind w:left="-1120" w:firstLine="1952"/>
        <w:spacing w:after="0" w:line="256" w:lineRule="auto"/>
        <w:tabs>
          <w:tab w:leader="none" w:pos="11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organized and is validly existing as a corporation under the laws of its jurisdiction of incorporation. The Company and each of the Subsidiaries has full corporate power and authority to own its respective properties and conduct its business as currently being carried on and as described in the Registration Statement and the Prospectus, and is duly qualified to do business as a foreign corporation in good standing in each jurisdiction in which it owns or leases real property or in which the conduct of its business makes such qualification necessary and in which the failure to so qualify would have a material adverse effect upon the results of operations, business, management, properties, prospects, conditions (financial or otherwise) or operations, of the Company and the Subsidiaries, either individually or taken as a whole (“</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1120" w:firstLine="1952"/>
        <w:spacing w:after="0" w:line="253" w:lineRule="auto"/>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Registration Statement or the Prospectus, subsequent to the dates as of which information is given in the Registration Statement or Prospectus, the Company (including its Subsidiaries on a consolidated basis) has not incurred any material liabilities or obligations, direct or contingent, or entered into any material transactions, or declared or paid any dividends or made any distribution of any kind with respect to the capital stock of the Company; and there has not been any change in the capital stock of the Company, or issuance of options, warrants, convertible securities or other rights to purchase the capital stock of the Company, or any material change in the short-term or long-term debt of the Company (other than as a result of the exercise of any currently outstanding options or warrants that are disclosed in the Prospectus), or any Material Adverse Effect or any development that would reasonably be expected to result in a Material Adverse Effect. Since the date of the latest balance sheet presented in the Registration Statement and the Prospectus, neither the Company nor any Subsidiary has entered into any transactions, including any acquisition or disposition of any business or asset, which are material to the Company and the Subsidiaries taken as a whole, except for transactions which are disclosed in the Registration Statement and the Prospectus.</w:t>
      </w:r>
    </w:p>
    <w:p>
      <w:pPr>
        <w:spacing w:after="0" w:line="194" w:lineRule="exact"/>
        <w:rPr>
          <w:rFonts w:ascii="Times New Roman" w:cs="Times New Roman" w:eastAsia="Times New Roman" w:hAnsi="Times New Roman"/>
          <w:sz w:val="18"/>
          <w:szCs w:val="18"/>
          <w:color w:val="auto"/>
        </w:rPr>
      </w:pPr>
    </w:p>
    <w:p>
      <w:pPr>
        <w:jc w:val="both"/>
        <w:ind w:left="-1120" w:firstLine="1952"/>
        <w:spacing w:after="0" w:line="261" w:lineRule="auto"/>
        <w:tabs>
          <w:tab w:leader="none" w:pos="12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Registration Statement or Prospectus, there is not pending or, to the knowledge of the Company, threatened or contemplated, any action, suit or proceeding to which the Company or any of its Subsidiaries or of which any property or assets of the Company or any of its Subsidiaries is the subject before or by any court or governmental agency, authority or body, or any arbitrator or mediator, which, individually or in the aggregate, would reasonably be expected to result in any Material Adverse Effect.</w:t>
      </w:r>
    </w:p>
    <w:p>
      <w:pPr>
        <w:spacing w:after="0" w:line="179" w:lineRule="exact"/>
        <w:rPr>
          <w:rFonts w:ascii="Times New Roman" w:cs="Times New Roman" w:eastAsia="Times New Roman" w:hAnsi="Times New Roman"/>
          <w:sz w:val="18"/>
          <w:szCs w:val="18"/>
          <w:color w:val="auto"/>
        </w:rPr>
      </w:pPr>
    </w:p>
    <w:p>
      <w:pPr>
        <w:ind w:left="-1120" w:right="20" w:firstLine="1952"/>
        <w:spacing w:after="0" w:line="282" w:lineRule="auto"/>
        <w:tabs>
          <w:tab w:leader="none" w:pos="11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statutes, regulations, contracts or documents that are required to be described in the Registration Statement and the Prospectus or be filed as exhibits to the Registration Statement by the Securities Act that have not been so described or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251460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9" w:name="page10"/>
    <w:bookmarkEnd w:id="9"/>
    <w:p>
      <w:pPr>
        <w:jc w:val="both"/>
        <w:ind w:left="-1120" w:firstLine="1952"/>
        <w:spacing w:after="0" w:line="25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 and constitutes a valid, legal and binding obligation of the Company, enforceable against the Company in accordance with its terms, except as rights to indemnity hereunder may be limited by federal or state securities laws and except as such enforceability may be limited by bankruptcy, insolvency, reorganization or similar laws affecting the rights of creditors generally and subject to general principles of equity. The execution, delivery and performance of this Agreement and the consummation of the transactions herein contemplated will not result in a breach or violation of any of the terms and provisions of, or constitute a default under, (i) any law, rule or regulation to which the Company or any of its Subsidiaries is subject, (ii) any agreement or instrument to which the Company or any of its Subsidiaries or by which it is bound or to which any of its property is subject, (iii) the Company’s Certificate of Incorporation, as currently in existence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or Bylaws, or the organizational documents of any of its Subsidiaries, or (iv) any order, rule, regulation or decree of any court or governmental agency or body having jurisdiction over the Company or any of its Subsidiaries or any of its properties, except, in the case of clauses (i), (ii) and (iv), for such breaches, violations or defaults that would not reasonably be expected to result in a Material Adverse Effect; no consent, approval, authorization or order of, or filing with, any court or governmental agency or body is required for the execution, delivery and performance of this Agreement or for the consummation of the transactions contemplated hereby and thereby, including the issuance or sale of the Shares by the Company, except for such consents, approvals, authorizations, orders or filings as have been obtained or made or as may be required under the Securities Act or state securities or blue sky laws; and the Company has and will have full power and authority to enter into this Agreement and to authorize, issue and sell the Shares as contemplated hereby and thereby.</w:t>
      </w:r>
    </w:p>
    <w:p>
      <w:pPr>
        <w:spacing w:after="0" w:line="195" w:lineRule="exact"/>
        <w:rPr>
          <w:rFonts w:ascii="Times New Roman" w:cs="Times New Roman" w:eastAsia="Times New Roman" w:hAnsi="Times New Roman"/>
          <w:sz w:val="18"/>
          <w:szCs w:val="18"/>
          <w:color w:val="auto"/>
        </w:rPr>
      </w:pPr>
    </w:p>
    <w:p>
      <w:pPr>
        <w:jc w:val="both"/>
        <w:ind w:left="-1120" w:firstLine="1952"/>
        <w:spacing w:after="0" w:line="253" w:lineRule="auto"/>
        <w:tabs>
          <w:tab w:leader="none" w:pos="116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which may be sold under this Agreement by the Company have been duly authorized and, when issued, delivered and paid for in accordance with the terms of this Agreement will have been validly issued and will be fully paid and nonassessable, and the holders thereof will not be subject to personal liability solely by reason of being such holders; and the capital stock of the Company, including the Common Stock, conforms in all material respects to the description thereof in the Registration Statement and the Prospectus. Except as otherwise stated in the Registration Statement and the Prospectus, there are no preemptive rights or other rights to subscribe for or to purchase, or any restriction upon the voting or transfer of, any Common Stock pursuant to the Company’s Certificate of Incorporation, as amended, or any agreement or other instrument to which the Company is a party or by which the Company is bound. Neither the filing of the Registration Statement nor the Offering gives rise to any rights for or relating to the registration of any Common Stock or other securities of the Company, except for such registration rights as have been duly waived. Except as described in the Registration Statement and the Prospectus, there are no options, warrants, agreements, contracts or other rights in existence to purchase or acquire from the Company any shares of the capital stock of the Company. The Company has an authorized and outstanding capitalization as set forth in the Registration Statement and the Prospectus as of the dates set 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270510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0" w:name="page11"/>
    <w:bookmarkEnd w:id="10"/>
    <w:p>
      <w:pPr>
        <w:jc w:val="both"/>
        <w:ind w:left="-1120" w:firstLine="1952"/>
        <w:spacing w:after="0" w:line="252" w:lineRule="auto"/>
        <w:tabs>
          <w:tab w:leader="none" w:pos="11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holds, and is operating in compliance with all grants, authorizations, licenses, permits, consents, certificates and orders of any governmental or self-regulatory body required for the conduct of its respective businesses and all such grants, authorizations, licenses, permits, consents, certifications and orders are valid and in full force and effect, except for such noncompliance or failures to be in full force and effect that would not reasonably be expected to result in a Material Adverse Effect; and neither the Company nor any of its Subsidiaries has received notice of any revocation or modification of any such grant, authorization, license, permit, consent, certification or order or has reason to believe that any such grant, authorization, license, permit, consent, certification or order will not be renewed in the ordinary course; and the Company and each of its Subsidiaries is in compliance with all applicable federal, state, local and foreign laws, regulations, orders and decrees, except for such noncompliance that would not reasonably be expected to result in a Material Adverse Effect. No approval, authorization, consent or order of or filing with any foreign, federal, state or local governmental or regulatory commission, board, body, authority or agency is required in connection with the issuance and sale of the Shares or the consummation by the Company of the transactions contemplated hereby, other than (i) registration of the Shares under the Securities Act, (ii) any necessary qualification under the securities or blue sky laws of the various jurisdictions in which the Shares are being offered by the Agent, (iii) the filing of any reports under the Exchange Act, (iv) such approvals as may be required by the Conduct Rules of the Financial Industry Regulatory Authority, Inc. (“</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(v) filing of the listing of the Shares with the Exchange or (vi) such approvals as have been obtained or made as of the Time of Sale.</w:t>
      </w:r>
    </w:p>
    <w:p>
      <w:pPr>
        <w:spacing w:after="0" w:line="197" w:lineRule="exact"/>
        <w:rPr>
          <w:rFonts w:ascii="Times New Roman" w:cs="Times New Roman" w:eastAsia="Times New Roman" w:hAnsi="Times New Roman"/>
          <w:sz w:val="18"/>
          <w:szCs w:val="18"/>
          <w:color w:val="auto"/>
        </w:rPr>
      </w:pPr>
    </w:p>
    <w:p>
      <w:pPr>
        <w:jc w:val="both"/>
        <w:ind w:left="-1120" w:firstLine="1952"/>
        <w:spacing w:after="0" w:line="256" w:lineRule="auto"/>
        <w:tabs>
          <w:tab w:leader="none" w:pos="12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good and marketable title to all property (whether real or personal) described in the Registration Statement and the Prospectus as being owned by it, in each case free and clear of all liens, claims, security interests, other encumbrances or defects except such as are described in the Registration Statement and the Prospectus, except as would not materially impair the use or value thereof. The property held under lease by the Company and each of its Subsidiaries is held by it under valid, subsisting and enforceable leases with only such exceptions with respect to any particular lease as do not interfere in any material respect with the conduct of the business of the Company or such Subsidiary.</w:t>
      </w:r>
    </w:p>
    <w:p>
      <w:pPr>
        <w:spacing w:after="0" w:line="187" w:lineRule="exact"/>
        <w:rPr>
          <w:rFonts w:ascii="Times New Roman" w:cs="Times New Roman" w:eastAsia="Times New Roman" w:hAnsi="Times New Roman"/>
          <w:sz w:val="18"/>
          <w:szCs w:val="18"/>
          <w:color w:val="auto"/>
        </w:rPr>
      </w:pPr>
    </w:p>
    <w:p>
      <w:pPr>
        <w:jc w:val="both"/>
        <w:ind w:left="-1120" w:firstLine="1952"/>
        <w:spacing w:after="0" w:line="252" w:lineRule="auto"/>
        <w:tabs>
          <w:tab w:leader="none" w:pos="12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owns, possesses, or has sufficient rights to all Intellectual Property (as defined below) necessary for the conduct of their respective businesses as now conducted or as described in the Registration Statement and the Prospectus to be conducted, except to the extent that the failure to own or possess adequate rights to use such Intellectual Property would not, individually or in the aggregate, have a Material Adverse Effect. Except as would not result in a Material Adverse Effect, (A) there are no rights of third parties to any such Intellectual Property owned by the Company, except as otherwise disclosed to the Agent in writing by the Company prior to the date hereof; (B) to the knowledge of the Company, there is no infringement, misappropriation or violation by third parties of any such Intellectual Property; (C) there is no pending or, to the knowledge of the Company, threatened, action, suit, proceeding or claim by others challenging the Company’s or any Subsidiary’s rights in or to any such Intellectual Property, and the Company is unaware of any facts which would form a reasonable basis for any such claim; (D) the Intellectual Property owned by the Company and each of the Subsidiaries, and to the knowledge of the Company, the Intellectual Property licensed to the Company, each of the Subsidiaries, has not been adjudged invalid or unenforceable, in whole or in part, and there is no pending or, to the knowledge of the Company, threatened action, suit, proceeding or claim by others challenging the validity or scope of any such Intellectual Property, and the Company is unaware of any facts which would form a reasonable basis for any such claim; (E) there is no pending or, to the knowledge of the Company, threatened action, suit, proceeding or claim by others that the Company or any of its Subsidiaries infringes, misappropriates or otherwise violates any Intellectual Property or other proprietary rights of others, and neither the Company nor any of the Subsidiaries has received any written notice of such claim; and (F) to the Company’s knowledge, no employee of the Company or any of its Subsidiaries is in or has ever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any of its Subsidiaries or actions undertaken by the employee while employed with the Company or any of its Subsidiaries. “</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shall mean all patents, patent applications, trade and service marks, trade and service mark registrations, trade names, copyrights, licenses, inventions, trade secrets, domain names, technology, know-how and other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269240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1" w:name="page12"/>
    <w:bookmarkEnd w:id="11"/>
    <w:p>
      <w:pPr>
        <w:ind w:left="2312" w:hanging="368"/>
        <w:spacing w:after="0"/>
        <w:tabs>
          <w:tab w:leader="none" w:pos="231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in violation of its Charter or similar organizational documents, or</w:t>
      </w:r>
    </w:p>
    <w:p>
      <w:pPr>
        <w:spacing w:after="0" w:line="27" w:lineRule="exact"/>
        <w:rPr>
          <w:rFonts w:ascii="Times New Roman" w:cs="Times New Roman" w:eastAsia="Times New Roman" w:hAnsi="Times New Roman"/>
          <w:sz w:val="18"/>
          <w:szCs w:val="18"/>
          <w:color w:val="auto"/>
        </w:rPr>
      </w:pPr>
    </w:p>
    <w:p>
      <w:pPr>
        <w:jc w:val="both"/>
        <w:ind w:left="-8" w:firstLine="8"/>
        <w:spacing w:after="0" w:line="252" w:lineRule="auto"/>
        <w:tabs>
          <w:tab w:leader="none" w:pos="29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breach of or otherwise in default, and no event has occurred which, with notice or lapse of time or both, would constitute such a default in the performance of any material obligation, agreement or condition contained in any bond, debenture, note, indenture, loan agreement, mortgage, deed of trust or any other material contract, lease or other instrument to which it is subject or by which any of them may be bound, or to which any of the material property or assets of the Company or any of its Subsidiaries is subject (collectively, the “</w:t>
      </w:r>
      <w:r>
        <w:rPr>
          <w:rFonts w:ascii="Times New Roman" w:cs="Times New Roman" w:eastAsia="Times New Roman" w:hAnsi="Times New Roman"/>
          <w:sz w:val="18"/>
          <w:szCs w:val="18"/>
          <w:b w:val="1"/>
          <w:bCs w:val="1"/>
          <w:i w:val="1"/>
          <w:iCs w:val="1"/>
          <w:color w:val="auto"/>
        </w:rPr>
        <w:t>Material Contracts</w:t>
      </w:r>
      <w:r>
        <w:rPr>
          <w:rFonts w:ascii="Times New Roman" w:cs="Times New Roman" w:eastAsia="Times New Roman" w:hAnsi="Times New Roman"/>
          <w:sz w:val="18"/>
          <w:szCs w:val="18"/>
          <w:color w:val="auto"/>
        </w:rPr>
        <w:t>”); or (C) in violation of any law or statute or any judgment, order, rule or regulation of any court or arbitrator or governmental or regulatory authority, except in the case of (B) and (C) above, as could not, individually or in the aggregate,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jc w:val="both"/>
        <w:ind w:left="-8" w:firstLine="1952"/>
        <w:spacing w:after="0" w:line="254" w:lineRule="auto"/>
        <w:tabs>
          <w:tab w:leader="none" w:pos="233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Subsidiaries has timely filed all applicable federal, state, local, foreign and other income and franchise tax returns required to be filed and are not in default in the payment of any taxes which were payable pursuant to said returns or any assessments with respect thereto, other than any which the Company or any of its Subsidiaries is contesting in good faith, except where the failure to timely file or any default in payment would not reasonably be expected to result in a Material Adverse Effect. There is no pending dispute with any taxing authority relating to any of such returns, and the Company has no knowledge of any proposed liability for any tax to be imposed upon the properties or assets of the Company or any of its Subsidiaries for which there is not an adequate reserve reflected in the Company’s financial statements included in the Registration Statement. There are no documentary, stamp or other issuance or transfer taxes or duties or similar fees or charges under U.S. federal law or the laws of any U.S. state, required to be paid in connection with the execution and delivery of this Agreement or the issuance, sale and delivery by the Company of the Shares.</w:t>
      </w:r>
    </w:p>
    <w:p>
      <w:pPr>
        <w:spacing w:after="0" w:line="188" w:lineRule="exact"/>
        <w:rPr>
          <w:rFonts w:ascii="Times New Roman" w:cs="Times New Roman" w:eastAsia="Times New Roman" w:hAnsi="Times New Roman"/>
          <w:sz w:val="18"/>
          <w:szCs w:val="18"/>
          <w:color w:val="auto"/>
        </w:rPr>
      </w:pPr>
    </w:p>
    <w:p>
      <w:pPr>
        <w:jc w:val="both"/>
        <w:ind w:left="-8" w:firstLine="1952"/>
        <w:spacing w:after="0" w:line="261" w:lineRule="auto"/>
        <w:tabs>
          <w:tab w:leader="none" w:pos="238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not distributed and will not distribute any prospectus or other offering material in connection with the Offering other than the Registration Statement and the Prospectus or other materials permitted by the Securities Act to be distributed by the Company; provided, however, that the Company has not made and will not make any offer relating to the Shares that would constitute a “free writing prospectus” as defined in Rule 405 under the Securities Act, except in accordance with the provisions of </w:t>
      </w:r>
      <w:r>
        <w:rPr>
          <w:rFonts w:ascii="Times New Roman" w:cs="Times New Roman" w:eastAsia="Times New Roman" w:hAnsi="Times New Roman"/>
          <w:sz w:val="18"/>
          <w:szCs w:val="18"/>
          <w:u w:val="single" w:color="auto"/>
          <w:color w:val="auto"/>
        </w:rPr>
        <w:t>Section 3(p)</w:t>
      </w:r>
      <w:r>
        <w:rPr>
          <w:rFonts w:ascii="Times New Roman" w:cs="Times New Roman" w:eastAsia="Times New Roman" w:hAnsi="Times New Roman"/>
          <w:sz w:val="18"/>
          <w:szCs w:val="18"/>
          <w:color w:val="auto"/>
        </w:rPr>
        <w:t xml:space="preserv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262890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2" w:name="page13"/>
    <w:bookmarkEnd w:id="12"/>
    <w:p>
      <w:pPr>
        <w:jc w:val="both"/>
        <w:ind w:left="-1120" w:firstLine="1952"/>
        <w:spacing w:after="0" w:line="255" w:lineRule="auto"/>
        <w:tabs>
          <w:tab w:leader="none" w:pos="13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sale of the Shares as contemplated in this Agreement does not contravene the rules and regulations of the Exchange. The Common Stock are registered pursuant to Section 12(b) of the Exchange Act and are listed on the Exchange and the Company has taken no action designed to, or likely to have the effect of, terminating the registration of the Common Stock under the Exchange Act or delisting the Common Stock from the Exchange nor, except as disclosed in the Registration Statement or the Prospectus, has the Company received any notification that the Commission or the Exchange is contemplating terminating such registration or listing. The Company has complied in all material respects with the applicable requirements of the Exchange for maintenance of the listing of the Common Stock thereon. The Company has filed an application to include the Shares on the Exchange.</w:t>
      </w:r>
    </w:p>
    <w:p>
      <w:pPr>
        <w:spacing w:after="0" w:line="188" w:lineRule="exact"/>
        <w:rPr>
          <w:rFonts w:ascii="Times New Roman" w:cs="Times New Roman" w:eastAsia="Times New Roman" w:hAnsi="Times New Roman"/>
          <w:sz w:val="18"/>
          <w:szCs w:val="18"/>
          <w:color w:val="auto"/>
        </w:rPr>
      </w:pPr>
    </w:p>
    <w:p>
      <w:pPr>
        <w:jc w:val="both"/>
        <w:ind w:left="-1120" w:firstLine="1952"/>
        <w:spacing w:after="0" w:line="266" w:lineRule="auto"/>
        <w:tabs>
          <w:tab w:leader="none" w:pos="122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subsidiaries other than those described in the Registration Statement or Prospectus (collectively, the “</w:t>
      </w:r>
      <w:r>
        <w:rPr>
          <w:rFonts w:ascii="Times New Roman" w:cs="Times New Roman" w:eastAsia="Times New Roman" w:hAnsi="Times New Roman"/>
          <w:sz w:val="18"/>
          <w:szCs w:val="18"/>
          <w:b w:val="1"/>
          <w:bCs w:val="1"/>
          <w:i w:val="1"/>
          <w:iCs w:val="1"/>
          <w:color w:val="auto"/>
        </w:rPr>
        <w:t>Subsidiaries</w:t>
      </w:r>
      <w:r>
        <w:rPr>
          <w:rFonts w:ascii="Times New Roman" w:cs="Times New Roman" w:eastAsia="Times New Roman" w:hAnsi="Times New Roman"/>
          <w:sz w:val="18"/>
          <w:szCs w:val="18"/>
          <w:color w:val="auto"/>
        </w:rPr>
        <w:t>”). The Company does not own, directly or indirectly, any shares of stock or any other equity or long-term debt securities of any other corporation or have any equity interest in any other corporation, partnership, joint venture, association, trust or other entity.</w:t>
      </w:r>
    </w:p>
    <w:p>
      <w:pPr>
        <w:spacing w:after="0" w:line="175" w:lineRule="exact"/>
        <w:rPr>
          <w:rFonts w:ascii="Times New Roman" w:cs="Times New Roman" w:eastAsia="Times New Roman" w:hAnsi="Times New Roman"/>
          <w:sz w:val="18"/>
          <w:szCs w:val="18"/>
          <w:color w:val="auto"/>
        </w:rPr>
      </w:pPr>
    </w:p>
    <w:p>
      <w:pPr>
        <w:jc w:val="both"/>
        <w:ind w:left="-1120" w:firstLine="1952"/>
        <w:spacing w:after="0" w:line="253" w:lineRule="auto"/>
        <w:tabs>
          <w:tab w:leader="none" w:pos="12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Registration Statement or the Prospectus, the Company and each of its Subsidiaries have established and maintain systems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amounts reflected on the Company’s consolidated balance sheet for assets are compared with existing assets at reasonable intervals and appropriate action is taken with respect to any differences. Except as described in the Registration Statement and the Prospectus, since the filing of the annual report on Form 10-K for the fiscal year ended December 31, 2025, there has been (i) no new material weakness identified to the Company’s board of directors (or committee thereof)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194" w:lineRule="exact"/>
        <w:rPr>
          <w:rFonts w:ascii="Times New Roman" w:cs="Times New Roman" w:eastAsia="Times New Roman" w:hAnsi="Times New Roman"/>
          <w:sz w:val="18"/>
          <w:szCs w:val="18"/>
          <w:color w:val="auto"/>
        </w:rPr>
      </w:pPr>
    </w:p>
    <w:p>
      <w:pPr>
        <w:jc w:val="both"/>
        <w:ind w:left="-1120" w:firstLine="1952"/>
        <w:spacing w:after="0" w:line="252" w:lineRule="auto"/>
        <w:tabs>
          <w:tab w:leader="none" w:pos="12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Registration Statement or the Prospectus, the Company and each of the Subsidiaries: (A) is and at all times since January 1, 2024 has been in material compliance with all United States (federal, state and local) and foreign statutes, rules, regulations, treaties, or guidance applicable to the Company or the Subsidiaries (“</w:t>
      </w:r>
      <w:r>
        <w:rPr>
          <w:rFonts w:ascii="Times New Roman" w:cs="Times New Roman" w:eastAsia="Times New Roman" w:hAnsi="Times New Roman"/>
          <w:sz w:val="18"/>
          <w:szCs w:val="18"/>
          <w:b w:val="1"/>
          <w:bCs w:val="1"/>
          <w:i w:val="1"/>
          <w:iCs w:val="1"/>
          <w:color w:val="auto"/>
        </w:rPr>
        <w:t>Applicable Laws</w:t>
      </w:r>
      <w:r>
        <w:rPr>
          <w:rFonts w:ascii="Times New Roman" w:cs="Times New Roman" w:eastAsia="Times New Roman" w:hAnsi="Times New Roman"/>
          <w:sz w:val="18"/>
          <w:szCs w:val="18"/>
          <w:color w:val="auto"/>
        </w:rPr>
        <w:t>”); (B) since January 1, 2024 has not received any notice of adverse finding, warning letter, untitled letter or other correspondence or notice from any Governmental Authority (as defined below) alleging or asserting noncompliance with any Applicable Laws or any licenses, certificates, approvals, clearances, authorizations, permits and supplements or amendments thereto required by any such Applicable Laws (“</w:t>
      </w:r>
      <w:r>
        <w:rPr>
          <w:rFonts w:ascii="Times New Roman" w:cs="Times New Roman" w:eastAsia="Times New Roman" w:hAnsi="Times New Roman"/>
          <w:sz w:val="18"/>
          <w:szCs w:val="18"/>
          <w:b w:val="1"/>
          <w:bCs w:val="1"/>
          <w:i w:val="1"/>
          <w:iCs w:val="1"/>
          <w:color w:val="auto"/>
        </w:rPr>
        <w:t>Authorizations</w:t>
      </w:r>
      <w:r>
        <w:rPr>
          <w:rFonts w:ascii="Times New Roman" w:cs="Times New Roman" w:eastAsia="Times New Roman" w:hAnsi="Times New Roman"/>
          <w:sz w:val="18"/>
          <w:szCs w:val="18"/>
          <w:color w:val="auto"/>
        </w:rPr>
        <w:t>”); (C) since January 1, 2024 has not received notice of any claim, action, suit, proceeding, hearing, enforcement, investigation, arbitration or other action from any Governmental Authority or third party alleging that any product operation or activity is in violation of any Applicable Laws or Authorizations and has no knowledge that any such Governmental Authority or third party intends to assert any such claim, litigation, arbitration, action, suit, investigation or proceeding; (D) since January 1, 2024 has not received notice that any Governmental Authority has taken, is taking or intends to take action to limit, suspend, modify or revoke any Authorizations and the Company has no knowledge that any such Governmental Authority is considering such action; and (E)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in all material respects on the date filed (or were corrected or supplemented by a subsequent submission). “</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means any federal, provincial, state, local, foreign or other governmental or quasi-governmental agency or body or any other type of regulatory authority or body, including, without limitation, the Exchange. The aggregate of all pending legal or governmental proceedings to which the Company or any Subsidiary is a party or of which any of their respective property or assets is the subject which are not described in the Registration Statement or the Prospectus, including ordinary routine litigation incidental to the business, would not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270510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3" w:name="page14"/>
    <w:bookmarkEnd w:id="13"/>
    <w:p>
      <w:pPr>
        <w:jc w:val="both"/>
        <w:ind w:left="-1120" w:firstLine="1952"/>
        <w:spacing w:after="0" w:line="261" w:lineRule="auto"/>
        <w:tabs>
          <w:tab w:leader="none" w:pos="12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contemplated by this Agreement, the Company has not incurred any liability for any finder’s or broker’s fee or agent’s commission in connection with the execution and delivery of this Agreement or the consummation of the transactions contemplated hereby. As of the date of this Agreement, the Company has not entered into any other sales agency agreements or other similar arrangements with any agent or any other representative in respect of “at the market” offerings of the Shares in accordance with Rule 415 under the Securities Act.</w:t>
      </w:r>
    </w:p>
    <w:p>
      <w:pPr>
        <w:spacing w:after="0" w:line="179" w:lineRule="exact"/>
        <w:rPr>
          <w:rFonts w:ascii="Times New Roman" w:cs="Times New Roman" w:eastAsia="Times New Roman" w:hAnsi="Times New Roman"/>
          <w:sz w:val="18"/>
          <w:szCs w:val="18"/>
          <w:color w:val="auto"/>
        </w:rPr>
      </w:pPr>
    </w:p>
    <w:p>
      <w:pPr>
        <w:jc w:val="both"/>
        <w:ind w:left="-1120" w:firstLine="1952"/>
        <w:spacing w:after="0" w:line="254" w:lineRule="auto"/>
        <w:tabs>
          <w:tab w:leader="none" w:pos="132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Subsidiaries carries, or is covered by, insurance in such amounts and covering such risks the Company reasonably believes are adequate for the conduct of its respective business and the value of its properties and as is customary for companies engaged in similar businesses in similar industries; all policies of insurance and any fidelity or surety bonds insuring the Company, each of its Subsidiaries and their respective businesses, assets, employees, officers and directors are in full force and effect; the Company and each of its Subsidiaries is in compliance with the terms of such policies and instruments in all material respects; there are no claims by the Company or any of the Subsidiaries under any such policy or instrument as to which any insurance company is denying liability or defending under a reservation of rights clause; neither the Company nor any of the Subsidiaries has been refused any insurance coverage sought or applied for; and the Company has no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88" w:lineRule="exact"/>
        <w:rPr>
          <w:rFonts w:ascii="Times New Roman" w:cs="Times New Roman" w:eastAsia="Times New Roman" w:hAnsi="Times New Roman"/>
          <w:sz w:val="18"/>
          <w:szCs w:val="18"/>
          <w:color w:val="auto"/>
        </w:rPr>
      </w:pPr>
    </w:p>
    <w:p>
      <w:pPr>
        <w:jc w:val="both"/>
        <w:ind w:left="-1120" w:firstLine="1952"/>
        <w:spacing w:after="0" w:line="266" w:lineRule="auto"/>
        <w:tabs>
          <w:tab w:leader="none" w:pos="131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is not an affiliate of), and immediately after receipt of payment for the Shares, will not be (and will not be an affiliate of), an “investment company” within the meaning of the Investment Company Act of 1940, as amended. The Company currently intends to conduct its business in a manner so that it will not become subject to the Investment Company Act of 1940,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4" w:name="page15"/>
    <w:bookmarkEnd w:id="14"/>
    <w:p>
      <w:pPr>
        <w:jc w:val="both"/>
        <w:ind w:left="-1120" w:firstLine="1952"/>
        <w:spacing w:after="0" w:line="253"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Incorporated Documents, at the time they were or hereinafter are filed with the Commission, conformed and will conform in all material respects to the requirements of the Securities Act and the Exchange Act, and were filed on a timely basis with the Commission and no Incorporated Document contained or will contain an untrue statement of a material fact or omitted to state a material fact necessary to make the statements therein, in the light of the circumstances under which they were made, not misleading; provided, that, no representation is made herein regarding the representations, warranties and covenants, or any descriptions thereof, contained in any agreements or documents included as exhibits to the Incorporated Documents. There is no material document required to be described in the Registration Statement or the Prospectus or to be filed as an exhibit to the Registration Statement which was not described or filed as required. All material agreements of the Company and all agreements governing or evidencing any and all related party transactions have been filed with the Commission to the extent required and applicable under the Exchange Act. Neither the Company nor any Subsidiaries has sent or received any communication regarding termination of, or intent not to renew, any of the contracts or agreements referred to or described in the Registration Statement and the Prospectus, or referred to or described in, or filed as an exhibit to, the Registration Statement or any Incorporated Document, and no such termination or non-renewal has been threatened by the Company or any of its Subsidiaries or, to the Company’s knowledge, any other party to any such contract or agreement. Any descriptions of the terms of any of the foregoing contracts and agreements that are contained in the Registration Statement and the Prospectus are accurate and complete in all material respects.</w:t>
      </w:r>
    </w:p>
    <w:p>
      <w:pPr>
        <w:spacing w:after="0" w:line="187" w:lineRule="exact"/>
        <w:rPr>
          <w:rFonts w:ascii="Times New Roman" w:cs="Times New Roman" w:eastAsia="Times New Roman" w:hAnsi="Times New Roman"/>
          <w:sz w:val="18"/>
          <w:szCs w:val="18"/>
          <w:color w:val="auto"/>
        </w:rPr>
      </w:pPr>
    </w:p>
    <w:p>
      <w:pPr>
        <w:ind w:left="-1120" w:firstLine="1952"/>
        <w:spacing w:after="0" w:line="282" w:lineRule="auto"/>
        <w:tabs>
          <w:tab w:leader="none" w:pos="131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in all material respects with all applicable provisions of the Sarbanes-Oxley Act and the rules and regulations of the Commission thereunder.</w:t>
      </w:r>
    </w:p>
    <w:p>
      <w:pPr>
        <w:spacing w:after="0" w:line="161" w:lineRule="exact"/>
        <w:rPr>
          <w:rFonts w:ascii="Times New Roman" w:cs="Times New Roman" w:eastAsia="Times New Roman" w:hAnsi="Times New Roman"/>
          <w:sz w:val="18"/>
          <w:szCs w:val="18"/>
          <w:color w:val="auto"/>
        </w:rPr>
      </w:pPr>
    </w:p>
    <w:p>
      <w:pPr>
        <w:jc w:val="both"/>
        <w:ind w:left="-1120" w:firstLine="1952"/>
        <w:spacing w:after="0" w:line="255" w:lineRule="auto"/>
        <w:tabs>
          <w:tab w:leader="none" w:pos="139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Registration Statement and the Prospectus, the Company has established and maintains disclosure controls and procedures (within the meaning of Rule 13a-15(e) of the Exchange Act) and such controls and procedures are designed to ensure that information required to be disclosed in the reports that the Company files or submits under the Exchange Act is recorded, processed, summarized and reported within the time periods specified in the rules and forms of the Commission and that such information is accumulated and communicated to the Company’s management, including its Chief Executive Officer and Chief Financial Officer, as appropriate, to allow timely decisions regarding required disclosure. The Company has utilized such controls and procedures in preparing and evaluating the disclosures in the Registration Statement and the Prospectus.</w:t>
      </w:r>
    </w:p>
    <w:p>
      <w:pPr>
        <w:spacing w:after="0" w:line="188" w:lineRule="exact"/>
        <w:rPr>
          <w:rFonts w:ascii="Times New Roman" w:cs="Times New Roman" w:eastAsia="Times New Roman" w:hAnsi="Times New Roman"/>
          <w:sz w:val="18"/>
          <w:szCs w:val="18"/>
          <w:color w:val="auto"/>
        </w:rPr>
      </w:pPr>
    </w:p>
    <w:p>
      <w:pPr>
        <w:jc w:val="both"/>
        <w:ind w:left="-1120" w:firstLine="1952"/>
        <w:spacing w:after="0" w:line="254" w:lineRule="auto"/>
        <w:tabs>
          <w:tab w:leader="none" w:pos="141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neither the Company, the Subsidiaries, nor any director, officer, agent, employee or affiliate of the Company or any Subsidiary, has taken any action directly or indirectly, that would result in a violation by such persons of the FCPA (as defined below),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each of its Subsidiaries has conducted its business in compliance with the FCPA and has instituted and maintains policies and procedures designed to ensure, and which are reasonably expected to continue to ensure, continued compliance therewith. “</w:t>
      </w:r>
      <w:r>
        <w:rPr>
          <w:rFonts w:ascii="Times New Roman" w:cs="Times New Roman" w:eastAsia="Times New Roman" w:hAnsi="Times New Roman"/>
          <w:sz w:val="18"/>
          <w:szCs w:val="18"/>
          <w:b w:val="1"/>
          <w:bCs w:val="1"/>
          <w:i w:val="1"/>
          <w:iCs w:val="1"/>
          <w:color w:val="auto"/>
        </w:rPr>
        <w:t>FCPA</w:t>
      </w:r>
      <w:r>
        <w:rPr>
          <w:rFonts w:ascii="Times New Roman" w:cs="Times New Roman" w:eastAsia="Times New Roman" w:hAnsi="Times New Roman"/>
          <w:sz w:val="18"/>
          <w:szCs w:val="18"/>
          <w:color w:val="auto"/>
        </w:rPr>
        <w:t>” means the Foreign Corrupt Practices Act of 1977, as amended, and the rules and regulations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270510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5" w:name="page16"/>
    <w:bookmarkEnd w:id="15"/>
    <w:p>
      <w:pPr>
        <w:jc w:val="both"/>
        <w:ind w:left="-1120" w:firstLine="1952"/>
        <w:spacing w:after="0" w:line="258" w:lineRule="auto"/>
        <w:tabs>
          <w:tab w:leader="none" w:pos="132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complied in all material respects with the money laundering statutes of applicable jurisdictions, the rules and regulations thereunder and any related or similar rules, regulations or guidelines, issued, administered or enforced by applicable governmental agencies (collectively, the “</w:t>
      </w:r>
      <w:r>
        <w:rPr>
          <w:rFonts w:ascii="Times New Roman" w:cs="Times New Roman" w:eastAsia="Times New Roman" w:hAnsi="Times New Roman"/>
          <w:sz w:val="18"/>
          <w:szCs w:val="18"/>
          <w:b w:val="1"/>
          <w:bCs w:val="1"/>
          <w:i w:val="1"/>
          <w:i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83" w:lineRule="exact"/>
        <w:rPr>
          <w:rFonts w:ascii="Times New Roman" w:cs="Times New Roman" w:eastAsia="Times New Roman" w:hAnsi="Times New Roman"/>
          <w:sz w:val="18"/>
          <w:szCs w:val="18"/>
          <w:color w:val="auto"/>
        </w:rPr>
      </w:pPr>
    </w:p>
    <w:p>
      <w:pPr>
        <w:jc w:val="both"/>
        <w:ind w:left="-1120" w:firstLine="1952"/>
        <w:spacing w:after="0" w:line="266" w:lineRule="auto"/>
        <w:tabs>
          <w:tab w:leader="none" w:pos="129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any of its Subsidiaries, nor, to the knowledge of the Company, any director or officer of the Company or any of its Subsidiaries is currently subject to any U.S. sanctions administered by the Office of Foreign Assets Control of the U.S. Department of the Treasury.</w:t>
      </w:r>
    </w:p>
    <w:p>
      <w:pPr>
        <w:spacing w:after="0" w:line="175" w:lineRule="exact"/>
        <w:rPr>
          <w:rFonts w:ascii="Times New Roman" w:cs="Times New Roman" w:eastAsia="Times New Roman" w:hAnsi="Times New Roman"/>
          <w:sz w:val="18"/>
          <w:szCs w:val="18"/>
          <w:color w:val="auto"/>
        </w:rPr>
      </w:pPr>
    </w:p>
    <w:p>
      <w:pPr>
        <w:jc w:val="both"/>
        <w:ind w:left="-1120" w:firstLine="1952"/>
        <w:spacing w:after="0" w:line="256" w:lineRule="auto"/>
        <w:tabs>
          <w:tab w:leader="none" w:pos="13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transaction has occurred or agreement or understanding entered into between or among the Company or any of its Subsidiaries on the one hand, and any officer, director or 5% or greater stockholder of the Company or any Subsidiary of the Company or any affiliate or affiliates of any such officer, director or 5% or greater stockholder that is required to be described that is not so described in the Registration Statement and the Prospectus. Neither the Company nor any of its Subsidiaries has, directly or indirectly, extended or maintained credit, or arranged for the extension of credit, or renewed an extension of credit, in the form of a personal loan to or for any of its directors or executive officers in violation of applicable laws, including Section 402 of the Sarbanes-Oxley Act.</w:t>
      </w:r>
    </w:p>
    <w:p>
      <w:pPr>
        <w:spacing w:after="0" w:line="187" w:lineRule="exact"/>
        <w:rPr>
          <w:rFonts w:ascii="Times New Roman" w:cs="Times New Roman" w:eastAsia="Times New Roman" w:hAnsi="Times New Roman"/>
          <w:sz w:val="18"/>
          <w:szCs w:val="18"/>
          <w:color w:val="auto"/>
        </w:rPr>
      </w:pPr>
    </w:p>
    <w:p>
      <w:pPr>
        <w:jc w:val="both"/>
        <w:ind w:left="-1120" w:firstLine="1952"/>
        <w:spacing w:after="0" w:line="251" w:lineRule="auto"/>
        <w:tabs>
          <w:tab w:leader="none" w:pos="13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Neither the Company nor any of its Subsidiaries is in violation of any applicable international, national, state or local convention, law, regulation, order, governmental license, convention, treaty (including those promulgated by the International Maritime Organization) or other requirement relating to pollution or protection of human health or safety (as they relate to exposure to Materials of Environmental Concern (as defined below)) or protection of the environment (including, without limitation, ambient air, surface water, groundwater, land surface or subsurface strata) or protection of natural resources, including without limitation, conventions, laws or regulations relating to emissions, discharges, releases or threatened releases of chemicals, pollutants, contaminants, wastes, toxic substances, hazardous substances, petroleum, petroleum products or other hydrocarbons (collectively, “</w:t>
      </w:r>
      <w:r>
        <w:rPr>
          <w:rFonts w:ascii="Times New Roman" w:cs="Times New Roman" w:eastAsia="Times New Roman" w:hAnsi="Times New Roman"/>
          <w:sz w:val="18"/>
          <w:szCs w:val="18"/>
          <w:b w:val="1"/>
          <w:bCs w:val="1"/>
          <w:i w:val="1"/>
          <w:iCs w:val="1"/>
          <w:color w:val="auto"/>
        </w:rPr>
        <w:t>Materials of Environmental Concern”</w:t>
      </w:r>
      <w:r>
        <w:rPr>
          <w:rFonts w:ascii="Times New Roman" w:cs="Times New Roman" w:eastAsia="Times New Roman" w:hAnsi="Times New Roman"/>
          <w:sz w:val="18"/>
          <w:szCs w:val="18"/>
          <w:color w:val="auto"/>
        </w:rPr>
        <w:t>), or otherwise relating to the manufacture, processing, distribution, use, treatment, storage, disposal, transport or handling of Materials of Environmental Concern (collectively, “</w:t>
      </w:r>
      <w:r>
        <w:rPr>
          <w:rFonts w:ascii="Times New Roman" w:cs="Times New Roman" w:eastAsia="Times New Roman" w:hAnsi="Times New Roman"/>
          <w:sz w:val="18"/>
          <w:szCs w:val="18"/>
          <w:b w:val="1"/>
          <w:bCs w:val="1"/>
          <w:i w:val="1"/>
          <w:iCs w:val="1"/>
          <w:color w:val="auto"/>
        </w:rPr>
        <w:t>Environmental Laws”</w:t>
      </w:r>
      <w:r>
        <w:rPr>
          <w:rFonts w:ascii="Times New Roman" w:cs="Times New Roman" w:eastAsia="Times New Roman" w:hAnsi="Times New Roman"/>
          <w:sz w:val="18"/>
          <w:szCs w:val="18"/>
          <w:color w:val="auto"/>
        </w:rPr>
        <w:t>), nor has the Company or any Subsidiary received any written communication, whether from a Governmental Authority, citizens group, employee or otherwise, that alleges that the Company or any such Subsidiary is in violation of any Environmental Law or governmental license required pursuant to Environmental Law; except, in each case, as would not, individually or in the aggregate, have a Material Adverse Effect; (b) there is no claim, action or cause of action filed with a court or Governmental Authority and no investigation, or other action with respect to which the Company or any Subsidiary has received written notice alleging potential liability for investigatory costs, cleanup costs, governmental response costs, natural resources damages, property damages, personal injuries, attorneys’ fees or penalties arising out of, based on or resulting from the presence, or release into the environment, of any Material of Environmental Concern at any location owned, leased or operated by the Company or any Subsidiary, now or in the past, or from any vessel owned, leased or operated by the Company or any Subsidiary, now or in the past (collectively, “</w:t>
      </w:r>
      <w:r>
        <w:rPr>
          <w:rFonts w:ascii="Times New Roman" w:cs="Times New Roman" w:eastAsia="Times New Roman" w:hAnsi="Times New Roman"/>
          <w:sz w:val="18"/>
          <w:szCs w:val="18"/>
          <w:b w:val="1"/>
          <w:bCs w:val="1"/>
          <w:i w:val="1"/>
          <w:iCs w:val="1"/>
          <w:color w:val="auto"/>
        </w:rPr>
        <w:t>Environmental Claim”</w:t>
      </w:r>
      <w:r>
        <w:rPr>
          <w:rFonts w:ascii="Times New Roman" w:cs="Times New Roman" w:eastAsia="Times New Roman" w:hAnsi="Times New Roman"/>
          <w:sz w:val="18"/>
          <w:szCs w:val="18"/>
          <w:color w:val="auto"/>
        </w:rPr>
        <w:t>), pending or, to the knowledge of the Company, threatened against the Company or any Subsidiary or any person or entity whose liability for any Environmental Claim the Company or any Subsidiary has retained or assumed either contractually or by operation of law, except as would not, individually or in the aggregate, have a Material Adverse Effect; (c) to the knowledge of the Company, there are no past or present actions, activities, circumstances, conditions, events or incidents, including, without limitation, the release, emission, discharge, presence or disposal of any Material of Environmental Concern, that reasonably would be expected to result in a violation of any Environmental Law, require expenditures to be incurred pursuant to Environmental Law, or form the basis of an Environmental Claim against the Company, any Subsidiary or against any person or entity whose liability for any Environmental Claim the Company or any Subsidiary has retained or assumed either contractually or by operation of law, except as would not, individually or in the aggregate, have a Material Adverse Effect (for the avoidance of doubt, the operation of vessels in the ordinary course of business shall not be deemed, by itself, an action, activity, circumstance or condition set forth in this clause (c)); and (d) none of the Company or any Subsidiary is subject to any pending proceeding under Environmental Law to which a Governmental Authority is a party and which the Company reasonably believes is likely to result in monetary sanctions of US$100,000 or more. The Company has reasonably concluded that any existing compliance and remediation costs and liabilities arising under Environmental Laws and resulting from the business, operations or properties of the Company or any Subsidiary would not, individually or in the aggregate, reasonably be expected to have a Material Adverse Effect, except as set forth in or contemplated in the Registration Statement and the Prospectus. No facts or circumstances have come to the Company’s attention that could result in costs or liabilities that could be expected, individually or in the aggregate,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276860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6" w:name="page17"/>
    <w:bookmarkEnd w:id="16"/>
    <w:p>
      <w:pPr>
        <w:jc w:val="both"/>
        <w:ind w:firstLine="1952"/>
        <w:spacing w:after="0" w:line="254" w:lineRule="auto"/>
        <w:tabs>
          <w:tab w:leader="none" w:pos="255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Subsidiaries (A) is in compliance, in all material respects, with applicable foreign, federal, state and local laws, rules, regulations, statutes and codes promulgated by applicable governmental authorities (including pursuant to the Occupational Health and Safety Act) relating to the protection of human health and safety in the workplace (“</w:t>
      </w:r>
      <w:r>
        <w:rPr>
          <w:rFonts w:ascii="Times New Roman" w:cs="Times New Roman" w:eastAsia="Times New Roman" w:hAnsi="Times New Roman"/>
          <w:sz w:val="18"/>
          <w:szCs w:val="18"/>
          <w:b w:val="1"/>
          <w:bCs w:val="1"/>
          <w:i w:val="1"/>
          <w:iCs w:val="1"/>
          <w:color w:val="auto"/>
        </w:rPr>
        <w:t>Occupational Laws</w:t>
      </w:r>
      <w:r>
        <w:rPr>
          <w:rFonts w:ascii="Times New Roman" w:cs="Times New Roman" w:eastAsia="Times New Roman" w:hAnsi="Times New Roman"/>
          <w:sz w:val="18"/>
          <w:szCs w:val="18"/>
          <w:color w:val="auto"/>
        </w:rPr>
        <w:t>”); (B) has received all material permits, licenses or other approvals required of it under applicable Occupational Laws to conduct its business as currently conducted; and (C) is in compliance, in all material respects, with all terms and conditions of such permit, license or approval. No action, proceeding, revocation proceeding, writ, injunction or claim is pending or, to the Company’s knowledge, threatened against the Company or any of its Subsidiaries relating to Occupational Laws, and the Company does not have knowledge of any facts, circumstances or developments relating to its operations or cost accounting practices that could reasonably be expected to form the basis for or give rise to such actions, suits, investigations or proceedings.</w:t>
      </w:r>
    </w:p>
    <w:p>
      <w:pPr>
        <w:spacing w:after="0" w:line="191" w:lineRule="exact"/>
        <w:rPr>
          <w:rFonts w:ascii="Times New Roman" w:cs="Times New Roman" w:eastAsia="Times New Roman" w:hAnsi="Times New Roman"/>
          <w:sz w:val="18"/>
          <w:szCs w:val="18"/>
          <w:color w:val="auto"/>
        </w:rPr>
      </w:pPr>
    </w:p>
    <w:p>
      <w:pPr>
        <w:ind w:firstLine="1952"/>
        <w:spacing w:after="0" w:line="282" w:lineRule="auto"/>
        <w:tabs>
          <w:tab w:leader="none" w:pos="253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labor problem or dispute with the employees of the Company or any of its Subsidiaries exists or, to the knowledge of the Company, is threatened or imminent.</w:t>
      </w:r>
    </w:p>
    <w:p>
      <w:pPr>
        <w:spacing w:after="0" w:line="161" w:lineRule="exact"/>
        <w:rPr>
          <w:rFonts w:ascii="Times New Roman" w:cs="Times New Roman" w:eastAsia="Times New Roman" w:hAnsi="Times New Roman"/>
          <w:sz w:val="18"/>
          <w:szCs w:val="18"/>
          <w:color w:val="auto"/>
        </w:rPr>
      </w:pPr>
    </w:p>
    <w:p>
      <w:pPr>
        <w:jc w:val="both"/>
        <w:ind w:firstLine="1952"/>
        <w:spacing w:after="0" w:line="258" w:lineRule="auto"/>
        <w:tabs>
          <w:tab w:leader="none" w:pos="2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and to its knowledge no one acting on its behalf has, (a) taken, directly or indirectly, any action designed to cause or to result in the stabilization or manipulation of the price of any security of the Company to facilitate the sale or resale of any of the Shares, (b) sold, bid for, purchased, or paid any compensation for soliciting purchases of, any of the Shares or (c) paid or agreed to pay to any person any compensation for soliciting another to purchase any other securities of the Company, other than, in the case of clauses (b) and (c), compensation paid to the Agent in connection with the sale of the Shares.</w:t>
      </w:r>
    </w:p>
    <w:p>
      <w:pPr>
        <w:spacing w:after="0" w:line="183" w:lineRule="exact"/>
        <w:rPr>
          <w:rFonts w:ascii="Times New Roman" w:cs="Times New Roman" w:eastAsia="Times New Roman" w:hAnsi="Times New Roman"/>
          <w:sz w:val="18"/>
          <w:szCs w:val="18"/>
          <w:color w:val="auto"/>
        </w:rPr>
      </w:pPr>
    </w:p>
    <w:p>
      <w:pPr>
        <w:ind w:firstLine="1952"/>
        <w:spacing w:after="0" w:line="282" w:lineRule="auto"/>
        <w:tabs>
          <w:tab w:leader="none" w:pos="2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this Agreement, the Company is not a party to any agreement with an agent or underwriter for any other “at the market” offering or continuous equity transaction.</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9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transaction, arrangement or other relationship between the Company or any of its Subsidiaries and an unconsolidated or other off balance sheet entity that is required to be disclosed by the Company in the Registration Statement or the Prospectus and is not so disclosed or that otherwise could be reasonably likely to have a Material Adverse Effect.</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6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none of the Company, its Subsidiaries, or any of their respective affiliates (within the meaning of the Securities Act), has, prior to the date hereof, made any offers or sales of any security which are required to be “integrated” pursuant to the Securities Act with the offer and sale of the Shares pursuant to the Registration Statement.</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5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statistical and market-related data included in the Registration Statement and the Prospectus are based on or derived from sources that the Company believes to be reliable and accurate and, to the extent required, the Company has obtained the written consent to the use of such data from such sources, except for such failures to obtain written consent which (individually or in the aggregate) would not reasonably be expected to have a Material Adverse Effect).</w:t>
      </w:r>
    </w:p>
    <w:p>
      <w:pPr>
        <w:spacing w:after="0" w:line="180"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(xl) The Registration Statement is not the subject of a pending proceeding or examination under Section 8(d) or 8(e) of the Securities Act, and the Company is not the subject of a pending proceeding under Section 8A of the Securities Act in connection with the offering of the Shares.</w:t>
      </w:r>
    </w:p>
    <w:p>
      <w:pPr>
        <w:spacing w:after="0" w:line="176"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(xli) To the Company’s knowledge, there are no affiliations with any FINRA member firm among the Company’s officers, directors, except as set forth in the Registration Statement or the Prospectus.</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(xlii) The Company is not a “foreign private issuer” as defined in Rule 405 promulgated under the Securities Act.</w:t>
      </w:r>
    </w:p>
    <w:p>
      <w:pPr>
        <w:spacing w:after="0" w:line="225"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(xliii) The Company did not qualify as a “passive foreign investment company” within the meaning of Section 1297 of the United States Internal Revenue Code of 1986, as amended, for its most recently completed taxable year, if any.</w:t>
      </w:r>
    </w:p>
    <w:p>
      <w:pPr>
        <w:spacing w:after="0" w:line="162" w:lineRule="exact"/>
        <w:rPr>
          <w:sz w:val="20"/>
          <w:szCs w:val="20"/>
          <w:color w:val="auto"/>
        </w:rPr>
      </w:pPr>
    </w:p>
    <w:p>
      <w:pPr>
        <w:ind w:firstLine="1304"/>
        <w:spacing w:after="0" w:line="282" w:lineRule="auto"/>
        <w:tabs>
          <w:tab w:leader="none" w:pos="159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certificate signed by any officer of the Company and delivered to the Agent or the Agent’s counsel shall be deemed a representation and warranty by the Company to the Agent as to the matters covered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ind w:left="-656" w:firstLine="1304"/>
        <w:spacing w:after="0" w:line="261" w:lineRule="auto"/>
        <w:tabs>
          <w:tab w:leader="none" w:pos="93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Bringdown Date (as defined herein) and each Time of Sale, the Company shall be deemed to have affirmed each representation and warranty contained in or made pursuant to this Agreement as of such date as though made at and as of such date (except that such representations and warranties shall be deemed to relate to the Registration Statement and the Prospectus as amended and supplemented relating to such Shares on such date).</w:t>
      </w:r>
    </w:p>
    <w:p>
      <w:pPr>
        <w:spacing w:after="0" w:line="17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Purchase, Sale and Delivery of Shares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56" w:firstLine="1304"/>
        <w:spacing w:after="0" w:line="253" w:lineRule="auto"/>
        <w:tabs>
          <w:tab w:leader="none" w:pos="88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 the Market Sales</w:t>
      </w:r>
      <w:r>
        <w:rPr>
          <w:rFonts w:ascii="Times New Roman" w:cs="Times New Roman" w:eastAsia="Times New Roman" w:hAnsi="Times New Roman"/>
          <w:sz w:val="18"/>
          <w:szCs w:val="18"/>
          <w:color w:val="auto"/>
        </w:rPr>
        <w:t>. On the basis of the representations, warranties and agreements herein the Company agrees that, from time to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during the term of this Agreement, on the terms and subject to the conditions set forth herein, it may issue and sell through the Agent, acting as sales agent, the Shares up to an aggregate offering price of $14,967,247;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in no event shall the Company issue or sell through the Agent such number of Shares that (a) exceeds the number or dollar amount of Common Stock registered on the Registration Statement, pursuant to which the Offering is being made, (b) exceeds the number of authorized but unissued Common Stock or (c) would cause the Company or the offering of the Shares to not satisfy the eligibility and transaction requirements for use of Form S-3 (including, if applicable, General Instruction I.B.6 of Form S-3 (the lesser of (a), (b) and (c), the “</w:t>
      </w:r>
      <w:r>
        <w:rPr>
          <w:rFonts w:ascii="Times New Roman" w:cs="Times New Roman" w:eastAsia="Times New Roman" w:hAnsi="Times New Roman"/>
          <w:sz w:val="18"/>
          <w:szCs w:val="18"/>
          <w:b w:val="1"/>
          <w:bCs w:val="1"/>
          <w:i w:val="1"/>
          <w:iCs w:val="1"/>
          <w:color w:val="auto"/>
        </w:rPr>
        <w:t>Maximum Amount</w:t>
      </w:r>
      <w:r>
        <w:rPr>
          <w:rFonts w:ascii="Times New Roman" w:cs="Times New Roman" w:eastAsia="Times New Roman" w:hAnsi="Times New Roman"/>
          <w:sz w:val="18"/>
          <w:szCs w:val="18"/>
          <w:color w:val="auto"/>
        </w:rPr>
        <w:t xml:space="preserve">”)). Notwithstanding anything to the contrary contained herein, the parties hereto agree that compliance with the limitations set forth in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on the number and aggregate sales price of Shares issued and sold under this Agreement shall be the sole responsibility of the Company and that Agent shall have no obligation in connection with such compliance. Notwithstanding the foregoing, the Company agrees that it will provide the Agent with written notice no less than one (1) business day prior to the date on which it makes the initial sale of Shares under this Agreement. As used herein, the terms “</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Saturday, Sunday or any federal holiday in the United States) in which commercial banks in New York, New York are open for business.</w:t>
      </w:r>
    </w:p>
    <w:p>
      <w:pPr>
        <w:spacing w:after="0" w:line="191" w:lineRule="exact"/>
        <w:rPr>
          <w:rFonts w:ascii="Times New Roman" w:cs="Times New Roman" w:eastAsia="Times New Roman" w:hAnsi="Times New Roman"/>
          <w:sz w:val="18"/>
          <w:szCs w:val="18"/>
          <w:color w:val="auto"/>
        </w:rPr>
      </w:pPr>
    </w:p>
    <w:p>
      <w:pPr>
        <w:jc w:val="both"/>
        <w:ind w:left="-656" w:firstLine="1952"/>
        <w:spacing w:after="0" w:line="266" w:lineRule="auto"/>
        <w:tabs>
          <w:tab w:leader="none" w:pos="1526"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selling the Shares through the Agent, the Company hereby appoints the Agent as exclusive agent of the Company for the purpose of soliciting purchases of the Shares from the Company pursuant to this Agreement and the Agent agrees to use its commercially reasonable efforts to sell the Shares on the terms and subject to the conditions stated herein.</w:t>
      </w:r>
    </w:p>
    <w:p>
      <w:pPr>
        <w:spacing w:after="0" w:line="171" w:lineRule="exact"/>
        <w:rPr>
          <w:rFonts w:ascii="Times New Roman" w:cs="Times New Roman" w:eastAsia="Times New Roman" w:hAnsi="Times New Roman"/>
          <w:sz w:val="18"/>
          <w:szCs w:val="18"/>
          <w:color w:val="auto"/>
        </w:rPr>
      </w:pPr>
    </w:p>
    <w:p>
      <w:pPr>
        <w:jc w:val="both"/>
        <w:ind w:left="-656" w:firstLine="1952"/>
        <w:spacing w:after="0" w:line="252" w:lineRule="auto"/>
        <w:tabs>
          <w:tab w:leader="none" w:pos="1566"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time the Company wishes to issue and sell the Shares hereunder (each, a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xml:space="preserve">”), it will notify the Agent by telephone (confirmed promptly by facsimile or e-mail to the appropriate individual listed on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 xml:space="preserve"> hereto, using a form substantially similar to that set forth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b w:val="1"/>
          <w:bCs w:val="1"/>
          <w:i w:val="1"/>
          <w:iCs w:val="1"/>
          <w:color w:val="auto"/>
        </w:rPr>
        <w:t>Transaction Notice</w:t>
      </w:r>
      <w:r>
        <w:rPr>
          <w:rFonts w:ascii="Times New Roman" w:cs="Times New Roman" w:eastAsia="Times New Roman" w:hAnsi="Times New Roman"/>
          <w:sz w:val="18"/>
          <w:szCs w:val="18"/>
          <w:color w:val="auto"/>
        </w:rPr>
        <w:t xml:space="preserve">”) as to the maximum number of Shares to be sold by the Agent on such day and in any event not in excess of the amount available for issuance under the Prospectus and the currently effective Registration Statement, the time period during which sales are requested to be made, any limitation on the number of shares that may be sold in any one Trading Day (as defined below), and any minimum price below which sales may not be made. The Transaction Notice shall originate from any of the individuals from the Company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(with a copy to each of the other individuals from the Company listed on such Schedule), and shall be addressed to each of the individuals from the Agent set forth on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 xml:space="preserve">, as such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 xml:space="preserve"> may be amended from time to time. Subject to the terms and conditions hereof and unless the sale of the Shares described therein has been declined, suspended, or otherwise terminated in accordance with the terms of this Agreement, the Agent shall promptly acknowledge the Transaction Notice by facsimile or e-mail (or by some other method mutually agreed to in writing by the parties) and shall use its commercially reasonable efforts to sell all of the Shares so designated by the Company in, and in accordance with the terms set forth in, the Transaction Notice; provided, however, that any obligation of the Agent to use such commercially reasonable efforts shall be subject to the continuing accuracy of the representations and warranties of the Company herein, to the performance by the Company of its obligations hereunder and to the continuing satisfaction of the additional conditions specified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The gross sales price of the Shares sold under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shall be equal to the market price for the Common Stock sold by the Agent under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on the Exchange at the time of such sale. For the purposes hereof, “</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day on which Common Stock are purchased and sold on the principal market on which the Common Stock are listed or quoted.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274955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18" w:name="page19"/>
    <w:bookmarkEnd w:id="18"/>
    <w:p>
      <w:pPr>
        <w:jc w:val="both"/>
        <w:ind w:left="-8" w:firstLine="1952"/>
        <w:spacing w:after="0" w:line="254" w:lineRule="auto"/>
        <w:tabs>
          <w:tab w:leader="none" w:pos="225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the Agent may, upon notice to the other party hereto by telephone (confirmed promptly by facsimile or e-mail to the respective individuals of the other party set forth on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 xml:space="preserve"> hereto, which confirmation shall be promptly acknowledged by the other party), suspend the Offering for any reason and at any time, whereupon the Agent shall so suspend the offering of Shares until further notice is provided by the other party to the contrary;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suspension or termination shall not affect or impair the parties’ respective obligations with respect to the Shares sold hereunder prior to the receipt by the Agent of such notice. Each of the parties agrees that no such notice under this </w:t>
      </w:r>
      <w:r>
        <w:rPr>
          <w:rFonts w:ascii="Times New Roman" w:cs="Times New Roman" w:eastAsia="Times New Roman" w:hAnsi="Times New Roman"/>
          <w:sz w:val="18"/>
          <w:szCs w:val="18"/>
          <w:u w:val="single" w:color="auto"/>
          <w:color w:val="auto"/>
        </w:rPr>
        <w:t>Section 2(a)</w:t>
      </w:r>
    </w:p>
    <w:p>
      <w:pPr>
        <w:spacing w:after="0" w:line="3" w:lineRule="exact"/>
        <w:rPr>
          <w:rFonts w:ascii="Times New Roman" w:cs="Times New Roman" w:eastAsia="Times New Roman" w:hAnsi="Times New Roman"/>
          <w:sz w:val="18"/>
          <w:szCs w:val="18"/>
          <w:color w:val="auto"/>
        </w:rPr>
      </w:pPr>
    </w:p>
    <w:p>
      <w:pPr>
        <w:ind w:left="-8" w:right="20" w:firstLine="8"/>
        <w:spacing w:after="0" w:line="260" w:lineRule="auto"/>
        <w:tabs>
          <w:tab w:leader="none" w:pos="318" w:val="left"/>
        </w:tabs>
        <w:numPr>
          <w:ilvl w:val="0"/>
          <w:numId w:val="1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shall be effective against the other unless it is made to one of the individuals named on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 xml:space="preserve"> hereto, as such Schedule may be amended from time to time.</w:t>
      </w:r>
    </w:p>
    <w:p>
      <w:pPr>
        <w:spacing w:after="0" w:line="181" w:lineRule="exact"/>
        <w:rPr>
          <w:rFonts w:ascii="Times New Roman" w:cs="Times New Roman" w:eastAsia="Times New Roman" w:hAnsi="Times New Roman"/>
          <w:sz w:val="18"/>
          <w:szCs w:val="18"/>
          <w:u w:val="single" w:color="auto"/>
          <w:color w:val="auto"/>
        </w:rPr>
      </w:pPr>
    </w:p>
    <w:p>
      <w:pPr>
        <w:jc w:val="both"/>
        <w:ind w:left="-8" w:firstLine="1952"/>
        <w:spacing w:after="0" w:line="258" w:lineRule="auto"/>
        <w:tabs>
          <w:tab w:leader="none" w:pos="225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(A) there can be no assurance that the Agent will be successful in selling the Shares, (B) the Agent will incur no liability or obligation to the Company or any other person or entity if it does not sell Shares for any reason other than a failure by the Agent to use its commercially reasonable efforts consistent with its normal trading and sales practices and applicable law and regulations to sell such Shares as required under this Agreement, and (C) the Agent shall be under no obligation to purchase shares on a principal basis pursuant to this Agreement.</w:t>
      </w:r>
    </w:p>
    <w:p>
      <w:pPr>
        <w:spacing w:after="0" w:line="183" w:lineRule="exact"/>
        <w:rPr>
          <w:rFonts w:ascii="Times New Roman" w:cs="Times New Roman" w:eastAsia="Times New Roman" w:hAnsi="Times New Roman"/>
          <w:sz w:val="18"/>
          <w:szCs w:val="18"/>
          <w:color w:val="auto"/>
        </w:rPr>
      </w:pPr>
    </w:p>
    <w:p>
      <w:pPr>
        <w:jc w:val="both"/>
        <w:ind w:left="-8" w:firstLine="1952"/>
        <w:spacing w:after="0" w:line="261" w:lineRule="auto"/>
        <w:tabs>
          <w:tab w:leader="none" w:pos="22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sell Shares by any method permitted by law to be an “at the market offering” as defined in Rule 415 under the Securities Act, including, without limitation, sales made directly on the Exchange, on any other existing trading market for the Common Stock or to or through a market maker. The Agent may also sell Shares in privately negotiated transactions (which, for the avoidance of doubt, shall not include block trades initiated on the Exchange) with the Company’s prior written approval.</w:t>
      </w:r>
    </w:p>
    <w:p>
      <w:pPr>
        <w:spacing w:after="0" w:line="179" w:lineRule="exact"/>
        <w:rPr>
          <w:rFonts w:ascii="Times New Roman" w:cs="Times New Roman" w:eastAsia="Times New Roman" w:hAnsi="Times New Roman"/>
          <w:sz w:val="18"/>
          <w:szCs w:val="18"/>
          <w:color w:val="auto"/>
        </w:rPr>
      </w:pPr>
    </w:p>
    <w:p>
      <w:pPr>
        <w:jc w:val="both"/>
        <w:ind w:left="-8" w:firstLine="1952"/>
        <w:spacing w:after="0" w:line="258" w:lineRule="auto"/>
        <w:tabs>
          <w:tab w:leader="none" w:pos="224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to the Agent for sales of the Shares, as an agent of the Company, shall be a cash transaction fee equal to two and one-half percent (2.5%) (the “</w:t>
      </w:r>
      <w:r>
        <w:rPr>
          <w:rFonts w:ascii="Times New Roman" w:cs="Times New Roman" w:eastAsia="Times New Roman" w:hAnsi="Times New Roman"/>
          <w:sz w:val="18"/>
          <w:szCs w:val="18"/>
          <w:b w:val="1"/>
          <w:bCs w:val="1"/>
          <w:i w:val="1"/>
          <w:iCs w:val="1"/>
          <w:color w:val="auto"/>
        </w:rPr>
        <w:t>Transaction Fee</w:t>
      </w:r>
      <w:r>
        <w:rPr>
          <w:rFonts w:ascii="Times New Roman" w:cs="Times New Roman" w:eastAsia="Times New Roman" w:hAnsi="Times New Roman"/>
          <w:sz w:val="18"/>
          <w:szCs w:val="18"/>
          <w:color w:val="auto"/>
        </w:rPr>
        <w:t xml:space="preserve">”) of the gross sales price of all of Shares sold pursuant to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 The remaining proceeds, after further deduction for any transaction or other fees imposed by any governmental or self-regulatory organization in respect of such sales, shall constitute the net proceeds to the Company for such Shares (the “</w:t>
      </w:r>
      <w:r>
        <w:rPr>
          <w:rFonts w:ascii="Times New Roman" w:cs="Times New Roman" w:eastAsia="Times New Roman" w:hAnsi="Times New Roman"/>
          <w:sz w:val="18"/>
          <w:szCs w:val="18"/>
          <w:b w:val="1"/>
          <w:bCs w:val="1"/>
          <w:i w:val="1"/>
          <w:iCs w:val="1"/>
          <w:color w:val="auto"/>
        </w:rPr>
        <w:t>Net Proceeds</w:t>
      </w:r>
      <w:r>
        <w:rPr>
          <w:rFonts w:ascii="Times New Roman" w:cs="Times New Roman" w:eastAsia="Times New Roman" w:hAnsi="Times New Roman"/>
          <w:sz w:val="18"/>
          <w:szCs w:val="18"/>
          <w:color w:val="auto"/>
        </w:rPr>
        <w:t>”). The Agent shall notify the Company as promptly as practicable if any deduction referenced in the preceding sentence will be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265430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9" w:name="page20"/>
    <w:bookmarkEnd w:id="19"/>
    <w:p>
      <w:pPr>
        <w:jc w:val="both"/>
        <w:ind w:left="-1120" w:firstLine="1952"/>
        <w:spacing w:after="0" w:line="266" w:lineRule="auto"/>
        <w:tabs>
          <w:tab w:leader="none" w:pos="118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shall provide written confirmation (which may be by facsimile or electronic mail) to the Company following the close of trading on the Exchange each day in which the Shares are sold under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setting forth the number of the Shares sold on such day, the aggregate gross sale proceeds, the Net Proceeds to the Company, and the compensation payable by the Company to the Agent with respect to such sales.</w:t>
      </w:r>
    </w:p>
    <w:p>
      <w:pPr>
        <w:spacing w:after="0" w:line="175" w:lineRule="exact"/>
        <w:rPr>
          <w:rFonts w:ascii="Times New Roman" w:cs="Times New Roman" w:eastAsia="Times New Roman" w:hAnsi="Times New Roman"/>
          <w:sz w:val="18"/>
          <w:szCs w:val="18"/>
          <w:color w:val="auto"/>
        </w:rPr>
      </w:pPr>
    </w:p>
    <w:p>
      <w:pPr>
        <w:jc w:val="both"/>
        <w:ind w:left="-1120" w:firstLine="1952"/>
        <w:spacing w:after="0" w:line="252" w:lineRule="auto"/>
        <w:tabs>
          <w:tab w:leader="none" w:pos="12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Shares sold pursuant to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will be delivered by the Company to Agent for the accounts of the Agent on the first full business day following the date on which such Shares are sold, or at such other time and date as Agent and the Company determine pursuant to Rule 15c6-1(a) under the Exchange Act, each such time and date of delivery being herein referred to as a “</w:t>
      </w:r>
      <w:r>
        <w:rPr>
          <w:rFonts w:ascii="Times New Roman" w:cs="Times New Roman" w:eastAsia="Times New Roman" w:hAnsi="Times New Roman"/>
          <w:sz w:val="18"/>
          <w:szCs w:val="18"/>
          <w:b w:val="1"/>
          <w:bCs w:val="1"/>
          <w:i w:val="1"/>
          <w:iCs w:val="1"/>
          <w:color w:val="auto"/>
        </w:rPr>
        <w:t>Settlement Date</w:t>
      </w:r>
      <w:r>
        <w:rPr>
          <w:rFonts w:ascii="Times New Roman" w:cs="Times New Roman" w:eastAsia="Times New Roman" w:hAnsi="Times New Roman"/>
          <w:sz w:val="18"/>
          <w:szCs w:val="18"/>
          <w:color w:val="auto"/>
        </w:rPr>
        <w:t>.” On each Settlement Date, the Shares sold through the Agent for settlement on such date shall be issued and delivered by the Company to the Agent against payment of the Net Proceeds from the sale of such Shares. Settlement for all such Shares shall be effected by free delivery of the Shares by the Company or its transfer agent (i) to the Agent or its designee’s account (provided the Agent shall have given the Company written notice of such designee prior to the Settlement Date) at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or (ii) by such other means of delivery as may be mutually agreed upon by the parties hereto, which in all cases (provided that such Shares were sold pursuant to the Registration Statement) shall be freely tradable, transferable, registered shares in good deliverable form, in return for payment in same day funds delivered to an account designated by the Company. If the Company or its transfer agent (if applicable) shall default on its obligation to deliver the Shares on any Settlement Date, the Company shall (A) indemnify and hold the Agent harmless against any loss, claim or damage arising from or as a result of such default by the Company and (B) pay the Agent any commission to which it would otherwise be entitled absent such default against payment of the Net Proceeds therefor by wire transfer of same day funds payable to the order of the Company at 9:00 a.m. New York City time. If the Agent breaches this Agreement by failing to deliver the Net Proceeds on any Settlement Date for the shares delivered by the Company, the Agent will pay the Company interest based on the effective prime rate until such proceeds, together with such interest, have been fully paid.</w:t>
      </w:r>
    </w:p>
    <w:p>
      <w:pPr>
        <w:spacing w:after="0" w:line="197" w:lineRule="exact"/>
        <w:rPr>
          <w:rFonts w:ascii="Times New Roman" w:cs="Times New Roman" w:eastAsia="Times New Roman" w:hAnsi="Times New Roman"/>
          <w:sz w:val="18"/>
          <w:szCs w:val="18"/>
          <w:color w:val="auto"/>
        </w:rPr>
      </w:pPr>
    </w:p>
    <w:p>
      <w:pPr>
        <w:jc w:val="both"/>
        <w:ind w:left="-1120" w:firstLine="1952"/>
        <w:spacing w:after="0" w:line="254"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no circumstances shall the Company cause or request the offer or sale of any Shares if, after giving effect to the sale of such Shares, the aggregate gross sales proceeds sold pursuant to this Agreement would exceed the lesser of (A) together with all sales of Shares under this Agreement, the Maximum Amount, (B) the amount available for offer and sale under the currently effective Registration Statement and (C) the amount authorized from time to time to be issued and sold under this Agreement by the Company’s board of directors, a duly authorized committee thereof or a duly authorized executive committee, and notified to the Agent in writing. Under no circumstances shall the Company cause or request the offer or sale of any Shares at a price lower than the minimum price authorized from time to time by the Company’s board of directors, duly authorized committee thereof or a duly authorized executive committee, and notified to the Agent in writing. Further, under no circumstances shall the aggregate offering amount of the Shares sold pursuant to this Agreement, including any separate underwriting or similar agreement covering principal transactions, exceed the Maximum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0" w:name="page21"/>
    <w:bookmarkEnd w:id="20"/>
    <w:p>
      <w:pPr>
        <w:jc w:val="both"/>
        <w:ind w:left="-656" w:firstLine="1952"/>
        <w:spacing w:after="0" w:line="266" w:lineRule="auto"/>
        <w:tabs>
          <w:tab w:leader="none" w:pos="157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exceptive provisions set forth in Rule 101(c)(1) of Regulation M under the Exchange Act are satisfied with respect to the Shares, the Company shall give the Agent at least one business day’s prior notice of its intent to sell any Shares in order to allow the Agent time to comply with Regulation M.</w:t>
      </w:r>
    </w:p>
    <w:p>
      <w:pPr>
        <w:spacing w:after="0" w:line="175" w:lineRule="exact"/>
        <w:rPr>
          <w:rFonts w:ascii="Times New Roman" w:cs="Times New Roman" w:eastAsia="Times New Roman" w:hAnsi="Times New Roman"/>
          <w:sz w:val="18"/>
          <w:szCs w:val="18"/>
          <w:color w:val="auto"/>
        </w:rPr>
      </w:pPr>
    </w:p>
    <w:p>
      <w:pPr>
        <w:jc w:val="both"/>
        <w:ind w:left="-656" w:firstLine="1952"/>
        <w:spacing w:after="0" w:line="261" w:lineRule="auto"/>
        <w:tabs>
          <w:tab w:leader="none" w:pos="161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that during the term of this Agreement, any offer to sell, any solicitation of an offer to buy, or any sales of Shares in an “at the market offering” as defined in Rule 415 under the Securities Act, including pursuant to </w:t>
      </w:r>
      <w:r>
        <w:rPr>
          <w:rFonts w:ascii="Times New Roman" w:cs="Times New Roman" w:eastAsia="Times New Roman" w:hAnsi="Times New Roman"/>
          <w:sz w:val="18"/>
          <w:szCs w:val="18"/>
          <w:u w:val="single" w:color="auto"/>
          <w:color w:val="auto"/>
        </w:rPr>
        <w:t>Section 3(o)</w:t>
      </w:r>
      <w:r>
        <w:rPr>
          <w:rFonts w:ascii="Times New Roman" w:cs="Times New Roman" w:eastAsia="Times New Roman" w:hAnsi="Times New Roman"/>
          <w:sz w:val="18"/>
          <w:szCs w:val="18"/>
          <w:color w:val="auto"/>
        </w:rPr>
        <w:t xml:space="preserve"> of this Agreement, shall only be effected by or through the Agent; provided, however, that the foregoing limitation shall not apply to the exercise of any outstanding option or warrant described in the Registration Statement and the Prospectus.</w:t>
      </w:r>
    </w:p>
    <w:p>
      <w:pPr>
        <w:spacing w:after="0" w:line="179" w:lineRule="exact"/>
        <w:rPr>
          <w:rFonts w:ascii="Times New Roman" w:cs="Times New Roman" w:eastAsia="Times New Roman" w:hAnsi="Times New Roman"/>
          <w:sz w:val="18"/>
          <w:szCs w:val="18"/>
          <w:color w:val="auto"/>
        </w:rPr>
      </w:pPr>
    </w:p>
    <w:p>
      <w:pPr>
        <w:jc w:val="both"/>
        <w:ind w:left="-656" w:firstLine="1304"/>
        <w:spacing w:after="0" w:line="266" w:lineRule="auto"/>
        <w:tabs>
          <w:tab w:leader="none" w:pos="94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contained shall constitute the Agent an unincorporated association or partner with the Company. Under no circumstances shall any Shares be sold pursuant to this Agreement after the date which is three years after the Registration Statement is first declared effective by the Commission.</w:t>
      </w:r>
    </w:p>
    <w:p>
      <w:pPr>
        <w:spacing w:after="0" w:line="175" w:lineRule="exact"/>
        <w:rPr>
          <w:rFonts w:ascii="Times New Roman" w:cs="Times New Roman" w:eastAsia="Times New Roman" w:hAnsi="Times New Roman"/>
          <w:sz w:val="18"/>
          <w:szCs w:val="18"/>
          <w:color w:val="auto"/>
        </w:rPr>
      </w:pPr>
    </w:p>
    <w:p>
      <w:pPr>
        <w:jc w:val="both"/>
        <w:ind w:left="-656" w:firstLine="1304"/>
        <w:spacing w:after="0" w:line="261" w:lineRule="auto"/>
        <w:tabs>
          <w:tab w:leader="none" w:pos="9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Agreement, the Company agrees that no sale of Shares shall take place, and the Company shall not request the sale of any Shares, and the Agent shall not be obligated to sell, during any period in which the Company is, or could be deemed to be, in possession of material non-public information or the Company’s insider trading policy would prohibit the purchase and sale of the Company’s Common Stock by its officers and directors.</w:t>
      </w:r>
    </w:p>
    <w:p>
      <w:pPr>
        <w:spacing w:after="0" w:line="17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Covenants</w:t>
      </w:r>
      <w:r>
        <w:rPr>
          <w:rFonts w:ascii="Times New Roman" w:cs="Times New Roman" w:eastAsia="Times New Roman" w:hAnsi="Times New Roman"/>
          <w:sz w:val="18"/>
          <w:szCs w:val="18"/>
          <w:color w:val="auto"/>
        </w:rPr>
        <w:t>. The Company covenants and agrees with the Agent as follows:</w:t>
      </w:r>
    </w:p>
    <w:p>
      <w:pPr>
        <w:spacing w:after="0" w:line="229" w:lineRule="exact"/>
        <w:rPr>
          <w:rFonts w:ascii="Times New Roman" w:cs="Times New Roman" w:eastAsia="Times New Roman" w:hAnsi="Times New Roman"/>
          <w:sz w:val="18"/>
          <w:szCs w:val="18"/>
          <w:color w:val="auto"/>
        </w:rPr>
      </w:pPr>
    </w:p>
    <w:p>
      <w:pPr>
        <w:jc w:val="both"/>
        <w:ind w:left="-656" w:firstLine="1304"/>
        <w:spacing w:after="0" w:line="253" w:lineRule="auto"/>
        <w:tabs>
          <w:tab w:leader="none" w:pos="90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date hereof and through any Prospectus Delivery Period, prior to amending or supplementing the Registration Statement (including any Rule 462(b) Registration Statement), Base Prospectus, the Prospectus or any Permitted Free Writing Prospectus, the Company shall furnish to the Agent for review a copy of each such proposed amendment or supplement, allow the Agent a reasonable amount of time to review and comment on such proposed amendment or supplement, and the Company shall not file any such proposed amendment or supplement to which the Agent or counsel to the Agent reasonably object; provided, that the foregoing shall not apply with regards to the filing by the Company of any Form 10-K, Form 10-Q or other Incorporated Document. Subject to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immediately following execution of this Agreement, the Company will prepare a prospectus supplement describing the selling terms of the Shares hereunder, the plan of distribution thereof and such other information as may be required by the Securities Act or the Rules and Regulations or as the Agent and the Company may deem appropriate, and if requested by the Agent, a Permitted Free Writing Prospectus containing the selling terms of the Shares hereunder and such other information as the Company and the Agent may deem appropriate, and will file or transmit for filing with the Commission, in accordance with Rule 424(b) or Rule 433, as the case may be, copies of the Prospectus as supplemented and each such Permitted Free Writing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270510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21" w:name="page22"/>
    <w:bookmarkEnd w:id="21"/>
    <w:p>
      <w:pPr>
        <w:jc w:val="both"/>
        <w:ind w:left="-1120" w:firstLine="1304"/>
        <w:spacing w:after="0" w:line="253" w:lineRule="auto"/>
        <w:tabs>
          <w:tab w:leader="none" w:pos="44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date of this Agreement, the Company shall promptly advise the Agent in writing (i) of the receipt of any comments of, or requests for additional or supplemental information from, the Commission or for any amendments or supplements to the Registration Statement, the Base Prospectus, the Prospectus or any Permitted Free Writing Prospectus (excluding any Incorporated Documents), (ii) of the time and date of any filing of any post-effective amendment to the Registration Statement or any amendment or supplement to any Base Prospectus, the Prospectus or any Permitted Free Writing Prospectus(excluding any Incorporated Documents), (iii) of the time and date that any post-effective amendment to the Registration Statement becomes effective, (iv) of the issuance by the Commission of any stop order suspending the effectiveness of the Registration Statement or any post-effective amendment thereto or of any order preventing or suspending its use or the use of any Base Prospectus, the Prospectus or any Permitted Free Writing Prospectus, or (v) of any proceedings to remove, suspend or terminate from listing or quotation the Common Stock from any securities exchange upon which it is listed for trading or included or designated for quotation, or of the threatening or initiation of any proceedings for any of such purposes. If the Commission shall enter any such stop order at any time, the Company may terminate this Agreement. Additionally, the Company agrees that it shall comply with the provisions of Rules 424(b), 430B and 430C, as applicable, under the Securities Act and will use its reasonable efforts to confirm that any filings made by the Company under Rule 424(b), Rule 433 or Rule 462 were received in a timely manner by the Commission (without reliance on Rule 424(b)(8) or Rule 164(b)).</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52" w:lineRule="auto"/>
        <w:tabs>
          <w:tab w:leader="none" w:pos="44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From the date hereof through the later of (A) the termination of this Agreement and (B) the end of any applicable Prospectus Delivery Period, the Company will comply in all material respects with all requirements imposed upon it by the Securities Act, as now and hereafter amended, and by the Rules and Regulations, as from time to time in force, and by the Exchange Act so far as necessary to permit the continuance of sales of or dealings in the Shares as contemplated by the provisions hereof, the Base Prospectus, the Prospectus and any Permitted Free Writing Prospectus. If during any applicable Prospectus Delivery Period any event occurs as a result of which the Base Prospectus, the Prospectus, or any Permitted Free Writing Prospectus would include an untrue statement of a material fact or omit to state a material fact necessary to make the statements therein, in the light of the circumstances then existing, not misleading, or if during any applicable Prospectus Delivery Period it is necessary or appropriate in the opinion of the Company or its counsel or in the reasonable opinion of the Agent or counsel to the Agent to amend the Registration Statement or supplement the Base Prospectus, the Prospectus or any Permitted Free Writing Prospectus, to comply with the Securities Act or to file under the Exchange Act any document which would be deemed to be incorporated by reference in the Prospectus in order to comply with the Securities Act or the Exchange Act, the Company will promptly notify Agent (or the Agent will notify the Company, as applicable), and the Agent shall suspend the offering and sale of any such Shares, and the Company will amend the Registration Statement or supplement the Base Prospectus, the Prospectus or any Permitted Free Writing Prospectus or file such document (at the expense of the Company) so as to correct such statement or omission or effect such compliance within the time period prescribed by the Securities Act or the Exchange Act.</w:t>
      </w:r>
    </w:p>
    <w:p>
      <w:pPr>
        <w:spacing w:after="0" w:line="197" w:lineRule="exact"/>
        <w:rPr>
          <w:rFonts w:ascii="Times New Roman" w:cs="Times New Roman" w:eastAsia="Times New Roman" w:hAnsi="Times New Roman"/>
          <w:sz w:val="18"/>
          <w:szCs w:val="18"/>
          <w:color w:val="auto"/>
        </w:rPr>
      </w:pPr>
    </w:p>
    <w:p>
      <w:pPr>
        <w:jc w:val="both"/>
        <w:ind w:left="-1120" w:firstLine="1952"/>
        <w:spacing w:after="0" w:line="253" w:lineRule="auto"/>
        <w:tabs>
          <w:tab w:leader="none" w:pos="109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Agent is required to deliver (whether physically or through compliance with Rule 172 under the Securities Act or any similar rule), in connection with the sale of the Shares, a Prospectus after the nine-month period referred to in Section 10(a)(3) of the Securities Act, or after the time a post-effective amendment to the Registration Statement is required pursuant to Item 512(a) of Regulation S-K under the Securities Act, the Company will prepare, at its expense, promptly upon request such amendment or amendments to the Registration Statement and the Prospectus as may be necessary to permit compliance with the requirements of Section 10(a)(3) of the Securities Act or Item 512(a) of Regulation S-K under the Securities Act, as the case may be. The Company shall cause each amendment or supplement to any Base Prospectus or the Prospectus to be filed with the Commission as required pursuant to the applicable paragraph of Rule 424(b) of the Securities Act or, in the case of any document which would be deemed to be incorporated by reference therein, to be filed with the Commission as required pursuant to the Exchange Act, within the time period prescribed. The Company shall promptly notify the Agent if any Material Contract is terminated or if the other party thereto gives written notice of its intent to terminate any such Material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2" w:name="page23"/>
    <w:bookmarkEnd w:id="22"/>
    <w:p>
      <w:pPr>
        <w:jc w:val="both"/>
        <w:ind w:left="-1120" w:firstLine="1952"/>
        <w:spacing w:after="0" w:line="256" w:lineRule="auto"/>
        <w:tabs>
          <w:tab w:leader="none" w:pos="114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following issuance of a Permitted Free Writing Prospectus there occurs an event or development as a result of which such Permitted Free Writing Prospectus would conflict with the information contained in the Registration Statement, the Base Prospectus or the Prospectus, or would include an untrue statement of a material fact or omitted or would omit to state a material fact necessary in order to make the statements therein, in the light of the circumstances prevailing at that subsequent time, not misleading, the Company promptly will notify the Agent and will promptly amend or supplement, at its own expense, such Permitted Free Writing Prospectus to eliminate or correct such conflict, untrue statement or omission.</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43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take or cause to be taken all necessary action to qualify the Shares for sale under the securities laws of such jurisdictions as Agent reasonably designates, if applicable, and to continue such qualifications in effect so long as required for the distribution of the Shares, except that the Company shall not be required in connection therewith to qualify as a foreign corporation or to execute a general consent to service of process in any state. The Company shall promptly advise the Agent of the receipt by the Company of any notification with respect to the suspension of the qualification of the Shares for offer or sale in any jurisdiction or the initiation or threatening of any proceeding for such purpose.</w:t>
      </w:r>
    </w:p>
    <w:p>
      <w:pPr>
        <w:spacing w:after="0" w:line="187" w:lineRule="exact"/>
        <w:rPr>
          <w:rFonts w:ascii="Times New Roman" w:cs="Times New Roman" w:eastAsia="Times New Roman" w:hAnsi="Times New Roman"/>
          <w:sz w:val="18"/>
          <w:szCs w:val="18"/>
          <w:color w:val="auto"/>
        </w:rPr>
      </w:pPr>
    </w:p>
    <w:p>
      <w:pPr>
        <w:jc w:val="both"/>
        <w:ind w:left="-1120" w:right="20" w:firstLine="1304"/>
        <w:spacing w:after="0" w:line="266" w:lineRule="auto"/>
        <w:tabs>
          <w:tab w:leader="none" w:pos="43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furnish to the Agent and counsel for the Agent, to the extent requested, copies of the Registration Statement, the Base Prospectus, the Prospectus, any Permitted Free Writing Prospectus, and all amendments and supplements to such documents, in each case as soon as available and in such quantities as the Agent may from time to time reasonably request.</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5" w:lineRule="auto"/>
        <w:tabs>
          <w:tab w:leader="none" w:pos="4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make generally available to its security holders as soon as practicable an earnings statement (which need not be audited) covering a 12-month period that shall satisfy the provisions of Section 11(a) of the Securities Act and Rule 158 of the Rules and Regulations. If the Company makes any public announcement or release disclosing its results of operations or financial condition for a completed quarterly or annual fiscal period (each, an “</w:t>
      </w:r>
      <w:r>
        <w:rPr>
          <w:rFonts w:ascii="Times New Roman" w:cs="Times New Roman" w:eastAsia="Times New Roman" w:hAnsi="Times New Roman"/>
          <w:sz w:val="18"/>
          <w:szCs w:val="18"/>
          <w:b w:val="1"/>
          <w:bCs w:val="1"/>
          <w:i w:val="1"/>
          <w:iCs w:val="1"/>
          <w:color w:val="auto"/>
        </w:rPr>
        <w:t>Earnings Release</w:t>
      </w:r>
      <w:r>
        <w:rPr>
          <w:rFonts w:ascii="Times New Roman" w:cs="Times New Roman" w:eastAsia="Times New Roman" w:hAnsi="Times New Roman"/>
          <w:sz w:val="18"/>
          <w:szCs w:val="18"/>
          <w:color w:val="auto"/>
        </w:rPr>
        <w:t>”) and the Company has not yet filed an Annual Report on Form 10-K or a Form 10-Q with respect to such information, as applicable, then, prior to any sale of Shares, the Company shall be obligated to (x) file a prospectus supplement with the Commission under the applicable paragraph of Rule 424(b), which prospectus supplement shall include the applicable financial information or (y) file a Report on Form 8-K, which Form 8-K shall include the applicable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3" w:name="page24"/>
    <w:bookmarkEnd w:id="23"/>
    <w:p>
      <w:pPr>
        <w:jc w:val="both"/>
        <w:ind w:left="-1120" w:firstLine="1304"/>
        <w:spacing w:after="0" w:line="252" w:lineRule="auto"/>
        <w:tabs>
          <w:tab w:leader="none" w:pos="4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whether or not the transactions contemplated hereunder are consummated or this Agreement is terminated, will pay or cause to be paid (i) all expenses (including stock or transfer taxes and stamp or similar duties allocated to the respective transferees) incurred in connection with the registration, issue, sale and delivery of the Shares, (ii) all reasonable expenses and fees (including, without limitation, fees and expenses of the Company’s accountants and counsel) in connection with the preparation, printing, filing, delivery, and shipping of the Registration Statement (including the financial statements therein and all amendments, schedules, and exhibits thereto), the Base Prospectus, each Prospectus, any Permitted Free Writing Prospectus, and any amendment thereof or supplement thereto, and the producing, word-processing, printing, delivery, and shipping of this Agreement and other closing documents, including Blue Sky Memoranda (covering the states and other applicable jurisdictions) prepared by counsel, if required, and including the cost to furnish copies of each thereof to the Agent, (iii) all filing fees, (iv) listing fees, if any, and (v) all other costs and expenses of the Company incident to the performance of its obligations hereunder that are not otherwise specifically provided for herein. The Company shall pay the Agent US$3,000 in respect of the fees of the Agent’s counsel for each Bringdown Date as to which the deliverables described in Sections 3(p), 3(q) and 3(r) are required to be delivered and are delivered; for the avoidance of doubt, no such amount shall be payable in respect of any Bringdown Date as to which such deliverables have been waived in accordance with Sections 3(p) and 3(q) or are otherwise not required. Except for the Transaction Fee provided for in Section 2(a)(vi) and the amounts expressly provided for in the immediately preceding sentence, the Company shall have no obligation to pay or reimburse any fee, cost or expense of the Agent of any kind, including, without limitation, any up-front, establishment, engagement, advisory or due diligence fee or any fees or disbursements of the Agent’s counsel, whether incurred in connection with the execution of this Agreement, the commencement of the Offering, any Transaction Notice, or otherwise.. All such reimbursements under this Agreement shall be paid in U.S. dollars.</w:t>
      </w:r>
    </w:p>
    <w:p>
      <w:pPr>
        <w:spacing w:after="0" w:line="194" w:lineRule="exact"/>
        <w:rPr>
          <w:rFonts w:ascii="Times New Roman" w:cs="Times New Roman" w:eastAsia="Times New Roman" w:hAnsi="Times New Roman"/>
          <w:sz w:val="18"/>
          <w:szCs w:val="18"/>
          <w:color w:val="auto"/>
        </w:rPr>
      </w:pPr>
    </w:p>
    <w:p>
      <w:pPr>
        <w:ind w:left="-1120" w:firstLine="1304"/>
        <w:spacing w:after="0" w:line="282" w:lineRule="auto"/>
        <w:tabs>
          <w:tab w:leader="none" w:pos="43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apply the net proceeds from the sale of the Shares in the manner set forth under the caption “Use of Proceeds” in the Base Prospectus, the Prospectus, and any Permitted Free Writing Prospectus.</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41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without (i) giving the Agent at least five business days’ prior written notice specifying the nature of the proposed sale and the date of such proposed sale and (ii) the Agent’s suspending activity under this Agreement for such period of time as requested by the Company or as deemed appropriate by the Agent in light of the proposed sale, offer for sale, sell, contract to sell, pledge, grant any option for the sale of, enter into any transaction which is designed to, or might reasonably be expected to, result in the disposition (whether by actual disposition or effective economic disposition due to cash settlement or otherwise) by the Company or any Subsidiary, or otherwise issue or dispose of, directly or indirectly (or publicly disclose the intention to make any such offer, sale, pledge, grant, issuance or other disposition), of any Common Stock or any securities convertible into or exchangeable for, or any options or rights to purchase or acquire, Common Stock, or permit the registration under the Securities Act of any Common Stock, such securities, options or rights, except for (i) the registration of the Shares and the sales through the Agent pursuant to this Agreement, (ii) the registration of Common Stock issued or issuable with respect to any currently outstanding options and warrants that are described in the Registration Statement and the Prospectus, (iii) a registration statement on Form S-8 relating to employee benefit plans, (iv) the issuance of Common Stock upon the conversion, exercise or settlement of securities outstanding as of the date of this Agreement and described in the Registration Statement or the Prospectus (including pursuant to the Pre-Paid Purchases held by Streeterville Capital, LLC) and (v) the grant and settlement of equity awards under the Company’s equity incentive plans as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267970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4" w:name="page25"/>
    <w:bookmarkEnd w:id="24"/>
    <w:p>
      <w:pPr>
        <w:jc w:val="both"/>
        <w:ind w:left="-1120" w:right="20" w:firstLine="1304"/>
        <w:spacing w:after="0" w:line="266" w:lineRule="auto"/>
        <w:tabs>
          <w:tab w:leader="none" w:pos="3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at any time at or after the execution of this Agreement, offer or sell any Shares by means of any “prospectus” (within the meaning of the Securities Act), or use any “prospectus” (within the meaning of the Securities Act) in connection with the offer or sale of the Shares, in each case other than the Prospectus or any Permitted Free Writing Prospectus.</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45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termination of this Agreement, the Company will not take, directly or indirectly, any action designed to or that would constitute or that might reasonably be expected to cause or result in, under the Exchange Act or otherwise, stabilization or manipulation in violation of the Securities Act, the Exchange Act or the rules and regulations thereunder of the price of any security of the Company to facilitate the sale or resale of the Shares or otherwise violate any provision of Regulation M under the Exchange Act.</w:t>
      </w:r>
    </w:p>
    <w:p>
      <w:pPr>
        <w:spacing w:after="0" w:line="179" w:lineRule="exact"/>
        <w:rPr>
          <w:rFonts w:ascii="Times New Roman" w:cs="Times New Roman" w:eastAsia="Times New Roman" w:hAnsi="Times New Roman"/>
          <w:sz w:val="18"/>
          <w:szCs w:val="18"/>
          <w:color w:val="auto"/>
        </w:rPr>
      </w:pPr>
    </w:p>
    <w:p>
      <w:pPr>
        <w:ind w:left="-1120" w:firstLine="1304"/>
        <w:spacing w:after="0" w:line="282" w:lineRule="auto"/>
        <w:tabs>
          <w:tab w:leader="none" w:pos="39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incur any liability for any finder’s or broker’s fee or agent’s commission in connection with the execution and delivery of this Agreement or the consummation of the transactions contemplated hereby or thereby, except as contemplated herein.</w:t>
      </w:r>
    </w:p>
    <w:p>
      <w:pPr>
        <w:spacing w:after="0" w:line="161" w:lineRule="exact"/>
        <w:rPr>
          <w:rFonts w:ascii="Times New Roman" w:cs="Times New Roman" w:eastAsia="Times New Roman" w:hAnsi="Times New Roman"/>
          <w:sz w:val="18"/>
          <w:szCs w:val="18"/>
          <w:color w:val="auto"/>
        </w:rPr>
      </w:pPr>
    </w:p>
    <w:p>
      <w:pPr>
        <w:ind w:left="-1120" w:firstLine="1304"/>
        <w:spacing w:after="0" w:line="282" w:lineRule="auto"/>
        <w:tabs>
          <w:tab w:leader="none" w:pos="49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applicable Prospectus Delivery Period, the Company will file on a timely basis with the Commission such periodic and current reports as required by the Rules and Regulations.</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4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Registration Statement or the Prospectus, the Company has maintained and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its principal financial officer, or persons performing similar functions, as appropriate to allow timely decisions regarding required disclosure, to ensure that material information relating to Company is made known to them by others within those entities.</w:t>
      </w:r>
    </w:p>
    <w:p>
      <w:pPr>
        <w:spacing w:after="0" w:line="191"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4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Agent represent and agree that, neither the Company nor the Agent has made or will make any offer relating to the Shares that would constitute an “issuer free writing prospectus,” as defined in Rule 433 under the Securities Act, or that would otherwise constitute a “free writing prospectus,” as defined in Rule 405 under the Securities Act, required to be filed with the Commission other than a Permitted Free Writing Prospectus.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Commission filing where required, legending and record keeping.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267970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5" w:name="page26"/>
    <w:bookmarkEnd w:id="25"/>
    <w:p>
      <w:pPr>
        <w:jc w:val="both"/>
        <w:ind w:left="-8" w:firstLine="1304"/>
        <w:spacing w:after="0" w:line="253" w:lineRule="auto"/>
        <w:tabs>
          <w:tab w:leader="none" w:pos="156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and each date when the Company (A) amends or supplements (other than a supplement to a Prospectus filed pursuant to Rule 424(b) under the Securities Act relating solely to the offering of securities other than the Shares ) the Registration Statement or Prospectus by means of a post-effective amendment, sticker, or supplement but not by means of incorporation of documents by reference into the Registration Statement or the Prospectus relating to the Shares, (B) files an annual report on Form 10-K under the Exchange Act (including any Form 10-K/A containing amended material financial information or a material amendment to the previously filed Form 10-K) or (C) files a report on Form 10-Q containing quarterly financial information that is incorporated by reference in the Registration Statement and Prospectus (each of the dates in (A) through</w:t>
      </w:r>
    </w:p>
    <w:p>
      <w:pPr>
        <w:spacing w:after="0" w:line="5"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7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referred to herein as a “</w:t>
      </w:r>
      <w:r>
        <w:rPr>
          <w:rFonts w:ascii="Times New Roman" w:cs="Times New Roman" w:eastAsia="Times New Roman" w:hAnsi="Times New Roman"/>
          <w:sz w:val="18"/>
          <w:szCs w:val="18"/>
          <w:b w:val="1"/>
          <w:bCs w:val="1"/>
          <w:i w:val="1"/>
          <w:iCs w:val="1"/>
          <w:color w:val="auto"/>
        </w:rPr>
        <w:t>Bringdown Date</w:t>
      </w:r>
      <w:r>
        <w:rPr>
          <w:rFonts w:ascii="Times New Roman" w:cs="Times New Roman" w:eastAsia="Times New Roman" w:hAnsi="Times New Roman"/>
          <w:sz w:val="18"/>
          <w:szCs w:val="18"/>
          <w:color w:val="auto"/>
        </w:rPr>
        <w:t xml:space="preserve">”), the Agent shall receive a favorable opinion of Lucosky Brookman LLP, counsel for the Company, dated as of a date within ten (10) days after the applicable Bringdown Date, addressed to the Agent and modified as necessary to relate to the Registration Statement and the Prospectus as amended and supplemented to the time of delivery of such opinions. With respect to this </w:t>
      </w:r>
      <w:r>
        <w:rPr>
          <w:rFonts w:ascii="Times New Roman" w:cs="Times New Roman" w:eastAsia="Times New Roman" w:hAnsi="Times New Roman"/>
          <w:sz w:val="18"/>
          <w:szCs w:val="18"/>
          <w:u w:val="single" w:color="auto"/>
          <w:color w:val="auto"/>
        </w:rPr>
        <w:t>Section 3(p)</w:t>
      </w:r>
      <w:r>
        <w:rPr>
          <w:rFonts w:ascii="Times New Roman" w:cs="Times New Roman" w:eastAsia="Times New Roman" w:hAnsi="Times New Roman"/>
          <w:sz w:val="18"/>
          <w:szCs w:val="18"/>
          <w:color w:val="auto"/>
        </w:rPr>
        <w:t>, in lieu of delivering such opinions or letters for Bringdown Dates subsequent to the date hereof, such counsel may furnish agent with a letter (a “</w:t>
      </w:r>
      <w:r>
        <w:rPr>
          <w:rFonts w:ascii="Times New Roman" w:cs="Times New Roman" w:eastAsia="Times New Roman" w:hAnsi="Times New Roman"/>
          <w:sz w:val="18"/>
          <w:szCs w:val="18"/>
          <w:b w:val="1"/>
          <w:bCs w:val="1"/>
          <w:i w:val="1"/>
          <w:iCs w:val="1"/>
          <w:color w:val="auto"/>
        </w:rPr>
        <w:t>Reliance Letter</w:t>
      </w:r>
      <w:r>
        <w:rPr>
          <w:rFonts w:ascii="Times New Roman" w:cs="Times New Roman" w:eastAsia="Times New Roman" w:hAnsi="Times New Roman"/>
          <w:sz w:val="18"/>
          <w:szCs w:val="18"/>
          <w:color w:val="auto"/>
        </w:rPr>
        <w:t xml:space="preserve">”) to the effect that Agent may rely upon a prior opinion or letter delivered under this </w:t>
      </w:r>
      <w:r>
        <w:rPr>
          <w:rFonts w:ascii="Times New Roman" w:cs="Times New Roman" w:eastAsia="Times New Roman" w:hAnsi="Times New Roman"/>
          <w:sz w:val="18"/>
          <w:szCs w:val="18"/>
          <w:u w:val="single" w:color="auto"/>
          <w:color w:val="auto"/>
        </w:rPr>
        <w:t>Section 3(p)</w:t>
      </w:r>
      <w:r>
        <w:rPr>
          <w:rFonts w:ascii="Times New Roman" w:cs="Times New Roman" w:eastAsia="Times New Roman" w:hAnsi="Times New Roman"/>
          <w:sz w:val="18"/>
          <w:szCs w:val="18"/>
          <w:color w:val="auto"/>
        </w:rPr>
        <w:t xml:space="preserve"> to the same extent as if it were dated the date of such letter (except that statement in such prior opinion shall be deemed to relate to the Registration Statement and the Prospectus as amended or supplemented as of the date of such Reliance Letter);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the requirement to provide opinions and letters under this </w:t>
      </w:r>
      <w:r>
        <w:rPr>
          <w:rFonts w:ascii="Times New Roman" w:cs="Times New Roman" w:eastAsia="Times New Roman" w:hAnsi="Times New Roman"/>
          <w:sz w:val="18"/>
          <w:szCs w:val="18"/>
          <w:u w:val="single" w:color="auto"/>
          <w:color w:val="auto"/>
        </w:rPr>
        <w:t>Section 3(p)</w:t>
      </w:r>
      <w:r>
        <w:rPr>
          <w:rFonts w:ascii="Times New Roman" w:cs="Times New Roman" w:eastAsia="Times New Roman" w:hAnsi="Times New Roman"/>
          <w:sz w:val="18"/>
          <w:szCs w:val="18"/>
          <w:color w:val="auto"/>
        </w:rPr>
        <w:t xml:space="preserve"> is hereby waived for any Bringdown Date occurring at a time at which no Transaction Notice is pending, which waiver shall continue until the earlier to occur of the date the Company delivers a Transaction Notice hereunder and the next occurring Bringdown Date. Notwithstanding the foregoing, if the Company subsequently decides to sell Shares following a Bringdown Date when the Company relied on such waiver and did not provide Agent with opinions and letters under this </w:t>
      </w:r>
      <w:r>
        <w:rPr>
          <w:rFonts w:ascii="Times New Roman" w:cs="Times New Roman" w:eastAsia="Times New Roman" w:hAnsi="Times New Roman"/>
          <w:sz w:val="18"/>
          <w:szCs w:val="18"/>
          <w:u w:val="single" w:color="auto"/>
          <w:color w:val="auto"/>
        </w:rPr>
        <w:t>Section 3(p)</w:t>
      </w:r>
      <w:r>
        <w:rPr>
          <w:rFonts w:ascii="Times New Roman" w:cs="Times New Roman" w:eastAsia="Times New Roman" w:hAnsi="Times New Roman"/>
          <w:sz w:val="18"/>
          <w:szCs w:val="18"/>
          <w:color w:val="auto"/>
        </w:rPr>
        <w:t>, then before the Company delivers the Transaction Notice or Agent sells any Shares, the Company shall cause Lucosky Brookman LLP, to furnish to the Agent a written opinion or Reliance Letter dated the date of the Transaction Notice.</w:t>
      </w:r>
    </w:p>
    <w:p>
      <w:pPr>
        <w:spacing w:after="0" w:line="192" w:lineRule="exact"/>
        <w:rPr>
          <w:rFonts w:ascii="Times New Roman" w:cs="Times New Roman" w:eastAsia="Times New Roman" w:hAnsi="Times New Roman"/>
          <w:sz w:val="18"/>
          <w:szCs w:val="18"/>
          <w:color w:val="auto"/>
        </w:rPr>
      </w:pPr>
    </w:p>
    <w:p>
      <w:pPr>
        <w:jc w:val="both"/>
        <w:ind w:left="-8" w:firstLine="1304"/>
        <w:spacing w:after="0" w:line="252" w:lineRule="auto"/>
        <w:tabs>
          <w:tab w:leader="none" w:pos="156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and each date when the Company files an annual report on Form 10-K, or a report on Form 10-Q containing quarterly financial information that is incorporated by reference in the Registration Statement and Prospectus, the Company shall cause Stephano Slack, or other independent accountants satisfactory to the Agent, to deliver to the Agent (x) a letter, dated as of a date within ten (10) days after such date and addressed to Agent, in form and substance satisfactory to Agent (the first such letter, the “</w:t>
      </w:r>
      <w:r>
        <w:rPr>
          <w:rFonts w:ascii="Times New Roman" w:cs="Times New Roman" w:eastAsia="Times New Roman" w:hAnsi="Times New Roman"/>
          <w:sz w:val="18"/>
          <w:szCs w:val="18"/>
          <w:b w:val="1"/>
          <w:bCs w:val="1"/>
          <w:i w:val="1"/>
          <w:iCs w:val="1"/>
          <w:color w:val="auto"/>
        </w:rPr>
        <w:t>Initial Comfort Letter</w:t>
      </w:r>
      <w:r>
        <w:rPr>
          <w:rFonts w:ascii="Times New Roman" w:cs="Times New Roman" w:eastAsia="Times New Roman" w:hAnsi="Times New Roman"/>
          <w:sz w:val="18"/>
          <w:szCs w:val="18"/>
          <w:color w:val="auto"/>
        </w:rPr>
        <w:t>”), confirming that they are independent public accountants within the meaning of the Securities Act and are in compliance with the applicable requirements relating to the qualifications of accountants under Rule 2-01 of Regulation S-X of the Commission, and stating the conclusions and findings of said firm with respect to the financial information and other matters and (y) a letter updating the Initial Comfort Letter with any information that would have been included in the Initial Comfort Letter had it been given on such date and as modified as necessary to relate to the date of such letter (each such letter, a “</w:t>
      </w:r>
      <w:r>
        <w:rPr>
          <w:rFonts w:ascii="Times New Roman" w:cs="Times New Roman" w:eastAsia="Times New Roman" w:hAnsi="Times New Roman"/>
          <w:sz w:val="18"/>
          <w:szCs w:val="18"/>
          <w:b w:val="1"/>
          <w:bCs w:val="1"/>
          <w:i w:val="1"/>
          <w:iCs w:val="1"/>
          <w:color w:val="auto"/>
        </w:rPr>
        <w:t>Bringdown Comfort Letter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 xml:space="preserve">, however, </w:t>
      </w:r>
      <w:r>
        <w:rPr>
          <w:rFonts w:ascii="Times New Roman" w:cs="Times New Roman" w:eastAsia="Times New Roman" w:hAnsi="Times New Roman"/>
          <w:sz w:val="18"/>
          <w:szCs w:val="18"/>
          <w:color w:val="auto"/>
        </w:rPr>
        <w:t>the requirement to provide a Bringdown Comfort Letter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3(q)</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hereby waived for any Bringdown Date occurring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time at which no Transaction Notice is pending, which waiver shall continue until the earlier to occur of the date the Company delivers a Transaction Notice hereunder and the next occurring Bringdown Date. Notwithstanding the foregoing, if the Company subsequently decides to sell Shares following a Bringdown Date when the Company relied on such waiver and did not provide Agent with a Bringdown Comfort Letter under this </w:t>
      </w:r>
      <w:r>
        <w:rPr>
          <w:rFonts w:ascii="Times New Roman" w:cs="Times New Roman" w:eastAsia="Times New Roman" w:hAnsi="Times New Roman"/>
          <w:sz w:val="18"/>
          <w:szCs w:val="18"/>
          <w:u w:val="single" w:color="auto"/>
          <w:color w:val="auto"/>
        </w:rPr>
        <w:t>Section 3(q)</w:t>
      </w:r>
      <w:r>
        <w:rPr>
          <w:rFonts w:ascii="Times New Roman" w:cs="Times New Roman" w:eastAsia="Times New Roman" w:hAnsi="Times New Roman"/>
          <w:sz w:val="18"/>
          <w:szCs w:val="18"/>
          <w:color w:val="auto"/>
        </w:rPr>
        <w:t>, then before the Company delivers the Transaction Notice or Agent sells any Shares, the Company shall cause Stephano Slack, or other independent accountants satisfactory to the Agent, to deliver to the Agent a Bringdown Comfort Letter dated the date of the Transaction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274320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26" w:name="page27"/>
    <w:bookmarkEnd w:id="26"/>
    <w:p>
      <w:pPr>
        <w:jc w:val="both"/>
        <w:ind w:left="-1120" w:firstLine="1304"/>
        <w:spacing w:after="0" w:line="266" w:lineRule="auto"/>
        <w:tabs>
          <w:tab w:leader="none" w:pos="4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and each Bringdown Date, the Company shall furnish to the Agent a certificate, dated as of a date within ten (10) days after the applicable Bringdown Date and addressed to Agent, signed by the chief executive officer and by the chief financial officer of the Company, to the effect that:</w:t>
      </w:r>
    </w:p>
    <w:p>
      <w:pPr>
        <w:spacing w:after="0" w:line="175" w:lineRule="exact"/>
        <w:rPr>
          <w:rFonts w:ascii="Times New Roman" w:cs="Times New Roman" w:eastAsia="Times New Roman" w:hAnsi="Times New Roman"/>
          <w:sz w:val="18"/>
          <w:szCs w:val="18"/>
          <w:color w:val="auto"/>
        </w:rPr>
      </w:pPr>
    </w:p>
    <w:p>
      <w:pPr>
        <w:jc w:val="both"/>
        <w:ind w:left="-1120" w:firstLine="1952"/>
        <w:spacing w:after="0" w:line="266" w:lineRule="auto"/>
        <w:tabs>
          <w:tab w:leader="none" w:pos="104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in this Agreement are true and correct in all material respects as if made at and as of the date of the certificate, and the Company has complied in all material respects with all the agreements and satisfied all the conditions on its part to be performed or satisfied at or prior to the date of the certificate;</w:t>
      </w:r>
    </w:p>
    <w:p>
      <w:pPr>
        <w:spacing w:after="0" w:line="175" w:lineRule="exact"/>
        <w:rPr>
          <w:rFonts w:ascii="Times New Roman" w:cs="Times New Roman" w:eastAsia="Times New Roman" w:hAnsi="Times New Roman"/>
          <w:sz w:val="18"/>
          <w:szCs w:val="18"/>
          <w:color w:val="auto"/>
        </w:rPr>
      </w:pPr>
    </w:p>
    <w:p>
      <w:pPr>
        <w:jc w:val="both"/>
        <w:ind w:left="-1120" w:firstLine="1952"/>
        <w:spacing w:after="0" w:line="261" w:lineRule="auto"/>
        <w:tabs>
          <w:tab w:leader="none" w:pos="113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or other order suspending the effectiveness of the Registration Statement or any part thereof or any amendment thereof or the qualification of the Shares for offering or sale or notice that would prevent use of the Registration Statement, nor suspending or preventing the use of the Base Prospectus, the Prospectus or any Permitted Free Writing Prospectus, has been issued, and no proceeding for that purpose has been instituted or, to the best of their knowledge, is contemplated by the Commission or any state or regulatory body;</w:t>
      </w:r>
    </w:p>
    <w:p>
      <w:pPr>
        <w:spacing w:after="0" w:line="179" w:lineRule="exact"/>
        <w:rPr>
          <w:rFonts w:ascii="Times New Roman" w:cs="Times New Roman" w:eastAsia="Times New Roman" w:hAnsi="Times New Roman"/>
          <w:sz w:val="18"/>
          <w:szCs w:val="18"/>
          <w:color w:val="auto"/>
        </w:rPr>
      </w:pPr>
    </w:p>
    <w:p>
      <w:pPr>
        <w:ind w:left="-1120" w:right="20" w:firstLine="1952"/>
        <w:spacing w:after="0" w:line="282" w:lineRule="auto"/>
        <w:tabs>
          <w:tab w:leader="none" w:pos="114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sold on that date have been duly and validly authorized by the Company and all corporate action required to be taken for the authorization, issuance and sale of the Shares on that date has been validly and sufficiently taken;</w:t>
      </w:r>
    </w:p>
    <w:p>
      <w:pPr>
        <w:spacing w:after="0" w:line="161" w:lineRule="exact"/>
        <w:rPr>
          <w:rFonts w:ascii="Times New Roman" w:cs="Times New Roman" w:eastAsia="Times New Roman" w:hAnsi="Times New Roman"/>
          <w:sz w:val="18"/>
          <w:szCs w:val="18"/>
          <w:color w:val="auto"/>
        </w:rPr>
      </w:pPr>
    </w:p>
    <w:p>
      <w:pPr>
        <w:jc w:val="both"/>
        <w:ind w:left="-1120" w:firstLine="1952"/>
        <w:spacing w:after="0" w:line="254" w:lineRule="auto"/>
        <w:tabs>
          <w:tab w:leader="none" w:pos="113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respective dates as of which information is given in the Base Prospectus, the Prospectus or any Permitted Free Writing Prospectus, as amended and supplemented, and except for pending transactions disclosed therein, the Company has not incurred any material liabilities or obligations, direct or contingent, or entered into any material transactions, not in the ordinary course of business, or declared or paid any dividends or made any distribution of any kind with respect to its capital stock, and there has not been any change in the capital stock or any issuance of options, warrants, convertible securities or other rights to purchase the capital stock (other than as a result of the exercise of any currently outstanding options or warrants that are disclosed in the Prospectus), or any material change in the short-term or long-term debt, of the Company, or any Material Adverse Effect or any development that would reasonably be likely to result in a Material Adverse Effect (whether or not arising in the ordinary course of business), or any material loss by strike, fire, flood, earthquake, accident or other calamity, whether or not covered by insurance, incurred by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7" w:name="page28"/>
    <w:bookmarkEnd w:id="27"/>
    <w:p>
      <w:pPr>
        <w:jc w:val="both"/>
        <w:ind w:left="-1120" w:firstLine="1952"/>
        <w:spacing w:after="0" w:line="272" w:lineRule="auto"/>
        <w:tabs>
          <w:tab w:leader="none" w:pos="1114"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stated in the Base Prospectus, the Prospectus, and any Permitted Free Writing Prospectus, as amended and supplemented, there is not pending, or, to the knowledge of the Company, threatened or contemplated, any action, suit or proceeding to which the Company is a party before or by any court or governmental agency, authority or body, or any arbitrator, which would reasonably be likely to result in any Material Adverse Effect; provided, however, the requirement to provide a certificate under this </w:t>
      </w:r>
      <w:r>
        <w:rPr>
          <w:rFonts w:ascii="Times New Roman" w:cs="Times New Roman" w:eastAsia="Times New Roman" w:hAnsi="Times New Roman"/>
          <w:sz w:val="17"/>
          <w:szCs w:val="17"/>
          <w:u w:val="single" w:color="auto"/>
          <w:color w:val="auto"/>
        </w:rPr>
        <w:t>Section 3(r)</w:t>
      </w:r>
      <w:r>
        <w:rPr>
          <w:rFonts w:ascii="Times New Roman" w:cs="Times New Roman" w:eastAsia="Times New Roman" w:hAnsi="Times New Roman"/>
          <w:sz w:val="17"/>
          <w:szCs w:val="17"/>
          <w:color w:val="auto"/>
        </w:rPr>
        <w:t xml:space="preserve"> is hereby waived for any Bringdown Date occurring at a time at which no Transaction Notice is pending, which waiver shall continue until the earlier to occur of the date the Company delivers a Transaction Notice hereunder and the next occurring Bringdown Date. Notwithstanding the foregoing, if the Company subsequently decides to sell Shares following a Bringdown Date when the Company relied on such waiver and did not provide Agent with a certificate under this </w:t>
      </w:r>
      <w:r>
        <w:rPr>
          <w:rFonts w:ascii="Times New Roman" w:cs="Times New Roman" w:eastAsia="Times New Roman" w:hAnsi="Times New Roman"/>
          <w:sz w:val="17"/>
          <w:szCs w:val="17"/>
          <w:u w:val="single" w:color="auto"/>
          <w:color w:val="auto"/>
        </w:rPr>
        <w:t>Section 3(r)</w:t>
      </w:r>
      <w:r>
        <w:rPr>
          <w:rFonts w:ascii="Times New Roman" w:cs="Times New Roman" w:eastAsia="Times New Roman" w:hAnsi="Times New Roman"/>
          <w:sz w:val="17"/>
          <w:szCs w:val="17"/>
          <w:color w:val="auto"/>
        </w:rPr>
        <w:t>, then before the Company delivers the Transaction Notice or Agent sells any Shares, the Company shall provide Agent with a certificate dated the date of the Transaction Notice.</w:t>
      </w:r>
    </w:p>
    <w:p>
      <w:pPr>
        <w:spacing w:after="0" w:line="171" w:lineRule="exact"/>
        <w:rPr>
          <w:rFonts w:ascii="Times New Roman" w:cs="Times New Roman" w:eastAsia="Times New Roman" w:hAnsi="Times New Roman"/>
          <w:sz w:val="17"/>
          <w:szCs w:val="17"/>
          <w:color w:val="auto"/>
        </w:rPr>
      </w:pPr>
    </w:p>
    <w:p>
      <w:pPr>
        <w:ind w:left="-1120" w:right="20" w:firstLine="1304"/>
        <w:spacing w:after="0" w:line="282" w:lineRule="auto"/>
        <w:tabs>
          <w:tab w:leader="none" w:pos="41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reasonable time prior to each Bringdown Date, the Company, if so requested by the Agent, shall conduct a due diligence session, in form and substance, satisfactory to the Agent, which shall include representatives of the management and the accountants of the Company.</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39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disclose in its annual report on Form 10-K and its reports on Form 10-Q with quarterly financial information the number of Shares sold through the Agent under this Agreement, the Net Proceeds to the Company and the compensation paid by the Company with respect to sales of the Shares pursuant to this Agreement.</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44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ensure that there are at all times sufficient Common Stock to provide for the issuance, free of any preemptive rights, out of its authorized but unissued Common Stock or Common Stock held in treasury, of the maximum aggregate number of Shares authorized for issuance by the Company’s board of directors pursuant to the terms of this Agreement. The Company will use its reasonable best efforts to cause the Shares to be listed on the Exchange, and to maintain such listing. The Company shall cooperate with Agent and use its reasonable efforts to permit Shares to be eligible for clearance and settlement through the facilities of DTC.</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45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during the term of this Agreement, the Company will advise the Agent promptly after it receives notice or obtains knowledge of any information or fact that would alter or affect any opinion, certificate, letter and other document provided to the Agent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herein.</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4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any applicable requirements of Regulation M under the Exchange Act and compliance with applicable securities laws, the Company consents to the Agent trading in Common Stock for the Agent’s own account and for the account of its clients (in compliance with all applicable laws) at the same time as sales of the Shares occur pursuant to this Agreement.</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4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knowledge of the Company, any condition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shall not have been satisfied on the applicable Settlement Date, the Company will offer to any person who has agreed to purchase the Shares on such Settlement Date from the Company as the result of an offer to purchase solicited by the Agent the right to refuse to purchase and pay for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8" w:name="page29"/>
    <w:bookmarkEnd w:id="28"/>
    <w:p>
      <w:pPr>
        <w:ind w:left="-656" w:firstLine="1304"/>
        <w:spacing w:after="0" w:line="282" w:lineRule="auto"/>
        <w:tabs>
          <w:tab w:leader="none" w:pos="8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and each Bringdown Date, the Company shall furnish to the Agent an incumbency certificate, dated as of such date and addressed to Agent, signed by the secretary of the Company.</w:t>
      </w:r>
    </w:p>
    <w:p>
      <w:pPr>
        <w:spacing w:after="0" w:line="161" w:lineRule="exact"/>
        <w:rPr>
          <w:rFonts w:ascii="Times New Roman" w:cs="Times New Roman" w:eastAsia="Times New Roman" w:hAnsi="Times New Roman"/>
          <w:sz w:val="18"/>
          <w:szCs w:val="18"/>
          <w:color w:val="auto"/>
        </w:rPr>
      </w:pPr>
    </w:p>
    <w:p>
      <w:pPr>
        <w:jc w:val="both"/>
        <w:ind w:left="-656" w:firstLine="1304"/>
        <w:spacing w:after="0" w:line="256" w:lineRule="auto"/>
        <w:tabs>
          <w:tab w:leader="none" w:pos="88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acceptance by the Company of an offer to purchase the Shares hereunder shall be deemed to be an affirmation to the Agent that the representations and warranties of the Company contained in or made pursuant to this Agreement are true and correct as of the date of such acceptance as though made at and as of such date (other than those representations and warranties made as of a specified date or time), and an undertaking that such representations and warranties will be true and correct as of the Settlement Date for the Shares relating to such acceptance, as though made at and as of such date (except that such representations and warranties shall be deemed to relate to the Registration Statement and the Prospectus as amended and supplemented relating to such Shares).</w:t>
      </w:r>
    </w:p>
    <w:p>
      <w:pPr>
        <w:spacing w:after="0" w:line="187" w:lineRule="exact"/>
        <w:rPr>
          <w:sz w:val="20"/>
          <w:szCs w:val="20"/>
          <w:color w:val="auto"/>
        </w:rPr>
      </w:pPr>
    </w:p>
    <w:p>
      <w:pPr>
        <w:jc w:val="both"/>
        <w:ind w:left="-656" w:firstLine="1304"/>
        <w:spacing w:after="0" w:line="255" w:lineRule="auto"/>
        <w:tabs>
          <w:tab w:leader="none" w:pos="98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Registration Statement is not available for the sales of the Shares as contemplated by this Agreement, the Company shall file a new registration statement with respect to any additional shares of Common Stock necessary to complete such sales of the Shares and shall cause such registration statement to become effective as promptly as practicable. After the effectiveness of any such registration statement, all references to “Registration Statement” included in this Agreement shall be deemed to include such new registration statement, including all documents incorporated by reference therein pursuant to Item 12 of Form S-3, and all references to “Base Prospectus” included in this Agreement shall be deemed to include the final form of prospectus, including all documents incorporated therein by reference, included in any such registration statement at the time such registration statement became effective.</w:t>
      </w:r>
    </w:p>
    <w:p>
      <w:pPr>
        <w:spacing w:after="0" w:line="184" w:lineRule="exact"/>
        <w:rPr>
          <w:rFonts w:ascii="Times New Roman" w:cs="Times New Roman" w:eastAsia="Times New Roman" w:hAnsi="Times New Roman"/>
          <w:sz w:val="18"/>
          <w:szCs w:val="18"/>
          <w:color w:val="auto"/>
        </w:rPr>
      </w:pPr>
    </w:p>
    <w:p>
      <w:pPr>
        <w:jc w:val="both"/>
        <w:ind w:left="-656" w:firstLine="656"/>
        <w:spacing w:after="0" w:line="268" w:lineRule="auto"/>
        <w:tabs>
          <w:tab w:leader="none" w:pos="19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Conditions of Agent’s Obligations</w:t>
      </w:r>
      <w:r>
        <w:rPr>
          <w:rFonts w:ascii="Times New Roman" w:cs="Times New Roman" w:eastAsia="Times New Roman" w:hAnsi="Times New Roman"/>
          <w:sz w:val="18"/>
          <w:szCs w:val="18"/>
          <w:color w:val="auto"/>
        </w:rPr>
        <w:t>. The obligations of the Agent hereunder are subject to (i) the accuracy of, as of the date hereof,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Bringdown Date, and each Time of Sale (in each case, as if made at such date), and compliance with, all representations, warranties and agreements of the Company contained herein, (ii) the performance by the Company of its obligations hereunder and (iii) the following additional conditions:</w:t>
      </w:r>
    </w:p>
    <w:p>
      <w:pPr>
        <w:spacing w:after="0" w:line="174" w:lineRule="exact"/>
        <w:rPr>
          <w:rFonts w:ascii="Times New Roman" w:cs="Times New Roman" w:eastAsia="Times New Roman" w:hAnsi="Times New Roman"/>
          <w:sz w:val="18"/>
          <w:szCs w:val="18"/>
          <w:color w:val="auto"/>
        </w:rPr>
      </w:pPr>
    </w:p>
    <w:p>
      <w:pPr>
        <w:jc w:val="both"/>
        <w:ind w:left="-656" w:firstLine="1304"/>
        <w:spacing w:after="0" w:line="254" w:lineRule="auto"/>
        <w:tabs>
          <w:tab w:leader="none" w:pos="89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filing of the Prospectus, or any amendment or supplement thereto, or any Permitted Free Writing Prospectus, is required under the Securities Act or the Rules and Regulations, the Company shall have filed the Prospectus (or such amendment or supplement) or such Permitted Free Writing Prospectus with the Commission in the manner and within the time period so required (without reliance on Rule 424(b)(8) or Rule 164(b)); the Registration Statement shall remain effective; no stop order suspending the effectiveness of the Registration Statement or any part thereof, any Rule 462(b) Registration Statement, or any amendment thereof, nor suspending or preventing the use of the Base Prospectus, the Prospectus or any Permitted Free Writing Prospectus shall have been issued; no proceedings for the issuance of such an order shall have been initiated or threatened; and any request of the Commission for additional information (to be included in the Registration Statement, the Base Prospectus, the Prospectus, any Permitted Free Writing Prospectus or otherwise) shall have been complied with to the Agent’s satisfaction.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270510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29" w:name="page30"/>
    <w:bookmarkEnd w:id="29"/>
    <w:p>
      <w:pPr>
        <w:jc w:val="both"/>
        <w:ind w:firstLine="1304"/>
        <w:spacing w:after="0" w:line="257" w:lineRule="auto"/>
        <w:tabs>
          <w:tab w:leader="none" w:pos="159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have advised the Company that the Registration Statement, the Base Prospectus, the Prospectus, or any amendment or supplement thereto, or any Permitted Free Writing Prospectus, contains an untrue statement of fact which, in the Agent’s opinion, is material, or omits to state a fact which, in the Agent’s opinion, is material and is required to be stated therein or is necessary to make the statements therein</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23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Registration Statement, not misleading and (ii) with respect to the Base Prospectus, the Prospectus or any Permitted Free Writing Prospectus, in light of the circumstances under which they were made, not misleading.</w:t>
      </w:r>
    </w:p>
    <w:p>
      <w:pPr>
        <w:spacing w:after="0" w:line="18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or contemplated in the Base Prospectus, the Prospectus and any Permitted Free Writing Prospectus, subsequent to the respective dates as of which information is given therein, the Company shall not have incurred any material liabilities or obligations, direct or contingent, or entered into any material transactions, or declared or paid any dividends or made any distribution of any kind with respect to its capital stock and there shall not have been any change in the capital stock, or any issuance of options, warrants, convertible securities or other rights to purchase the capital stock (other than as a result of the exercise of any currently outstanding options or warrants that are disclosed in the Prospectus), or any material change in the short-term or long-term debt, of the Company, or any Material Adverse Effect or any development that would be reasonably likely to result in a Material Adverse Effect (whether or not arising in the ordinary course of business), or any material loss by strike, fire, flood, earthquake, accident or other calamity, whether or not covered by insurance, incurred by the Company, the effect of which, in any such case described above, in the Agent’s judgment, makes it impractical or inadvisable to offer or deliver the Shares.</w:t>
      </w:r>
    </w:p>
    <w:p>
      <w:pPr>
        <w:spacing w:after="0" w:line="18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performed each of its obligations under </w:t>
      </w:r>
      <w:r>
        <w:rPr>
          <w:rFonts w:ascii="Times New Roman" w:cs="Times New Roman" w:eastAsia="Times New Roman" w:hAnsi="Times New Roman"/>
          <w:sz w:val="18"/>
          <w:szCs w:val="18"/>
          <w:u w:val="single" w:color="auto"/>
          <w:color w:val="auto"/>
        </w:rPr>
        <w:t>Section 3(q)</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performed each of its obligations under </w:t>
      </w:r>
      <w:r>
        <w:rPr>
          <w:rFonts w:ascii="Times New Roman" w:cs="Times New Roman" w:eastAsia="Times New Roman" w:hAnsi="Times New Roman"/>
          <w:sz w:val="18"/>
          <w:szCs w:val="18"/>
          <w:u w:val="single" w:color="auto"/>
          <w:color w:val="auto"/>
        </w:rPr>
        <w:t>Section 3(r)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performed each of its obligations under </w:t>
      </w:r>
      <w:r>
        <w:rPr>
          <w:rFonts w:ascii="Times New Roman" w:cs="Times New Roman" w:eastAsia="Times New Roman" w:hAnsi="Times New Roman"/>
          <w:sz w:val="18"/>
          <w:szCs w:val="18"/>
          <w:u w:val="single" w:color="auto"/>
          <w:color w:val="auto"/>
        </w:rPr>
        <w:t>Section 3(s)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 shall not have raised any objection to the fairness and reasonableness of the terms and arrangements under this Agreement.</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filings with the Commission required by Rule 424 under the Securities Act to have been filed by the Settlement Date shall have been made within the applicable time period prescribed for such filing by Rule 424.</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1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to Agent and the Agent’s counsel such additional documents, certificates and evidence as they may have reasonably requested.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the Common Stock shall not have been suspended on the Exchange. The Shares shall have been listed and authorized for trading on the Exchange prior to the first Settlement Date, and satisfactory evidence of such actions shall have been provided to the Agent and its counsel, which may include oral confirmation from a representative of the Exchange.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All such opinions, certificates, letters and other documents will be in compliance with the provisions hereof only if they are reasonably satisfactory in form and substance to Agent and the Agent’s counsel. The Company will furnish Agent with such conformed copies of such opinions, certificates, letters and other documents as Agent shall reasonably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ind w:left="184" w:hanging="184"/>
        <w:spacing w:after="0"/>
        <w:tabs>
          <w:tab w:leader="none" w:pos="18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Indemnification and Contribution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56" w:firstLine="1304"/>
        <w:spacing w:after="0" w:line="252" w:lineRule="auto"/>
        <w:tabs>
          <w:tab w:leader="none" w:pos="88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agrees to indemnify and hold harmless the Agent and each of the other Indemnified Parties (as defined below) from and against, and pay on demand for, any losses, claims, damages, obligations, penalties, judgments, awards, liabilities, costs, expenses and disbursements, and any and all actions, suits, proceedings and investigations in respect thereof and any and all legal and other costs, expenses and disbursements in giving testimony or furnishing documents in response to subpoena or otherwise (including, without limitation, the costs, expenses and disbursements, as and when incurred, of investigating, preparing, pursuing or defending any such action, suit, proceeding or investigation (whether or not in connection with litigation in which any Indemnified Party is a party)) (collectively, “</w:t>
      </w:r>
      <w:r>
        <w:rPr>
          <w:rFonts w:ascii="Times New Roman" w:cs="Times New Roman" w:eastAsia="Times New Roman" w:hAnsi="Times New Roman"/>
          <w:sz w:val="18"/>
          <w:szCs w:val="18"/>
          <w:b w:val="1"/>
          <w:bCs w:val="1"/>
          <w:i w:val="1"/>
          <w:iCs w:val="1"/>
          <w:color w:val="auto"/>
        </w:rPr>
        <w:t>Losses</w:t>
      </w:r>
      <w:r>
        <w:rPr>
          <w:rFonts w:ascii="Times New Roman" w:cs="Times New Roman" w:eastAsia="Times New Roman" w:hAnsi="Times New Roman"/>
          <w:sz w:val="18"/>
          <w:szCs w:val="18"/>
          <w:color w:val="auto"/>
        </w:rPr>
        <w:t xml:space="preserve">”), directly or indirectly, caused by, relating to, based upon, arising out of , or in connection with this Agreement, including, without limitation, any act or omission by the Agent in connection with its acceptance of or the performance or non-performance of its obligations under the Agreement, any breach by the Company of any representation, warranty, covenant or agreement contained in the Agreement (or in any instrument, document or agreement relating thereto, including any agency agreement), or the enforcement by the Agent of its rights under the Agreement or these indemnification provisions, except to the extent that any such Losses are found in a final judgment by a court of competent jurisdiction to have resulted from the gross negligence or willful misconduct of the Indemnified Party seeking indemnification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the Company shall not be liable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any Losses to the extent arising out of or based upon any untrue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omission or alleged untrue statement or omission made in the Registration Statement, any Base Prospectus, the Prospectus, or any amendment or supplement thereto, or any Permitted Free Writing Prospectus, in reliance upon and in conformity with written information furnished to the Company by the Agent or any Indemnified Party expressly for use therein. The Company also agrees that no Indemnified Party shall have any liability (whether direct or indirect, in contract or tort or otherwise) to the Company for or in connection with this Agreement for any other reason, except to the extent that any such liability is found in a final judgment by a court of competent jurisdiction to have resulted from such Indemnified Party’s gross negligence or willful misconduct This indemnity agreement will be in addition to any liability that the Company otherwise might have.</w:t>
      </w:r>
    </w:p>
    <w:p>
      <w:pPr>
        <w:spacing w:after="0" w:line="187" w:lineRule="exact"/>
        <w:rPr>
          <w:rFonts w:ascii="Times New Roman" w:cs="Times New Roman" w:eastAsia="Times New Roman" w:hAnsi="Times New Roman"/>
          <w:sz w:val="18"/>
          <w:szCs w:val="18"/>
          <w:color w:val="auto"/>
        </w:rPr>
      </w:pPr>
    </w:p>
    <w:p>
      <w:pPr>
        <w:jc w:val="both"/>
        <w:ind w:left="-656" w:firstLine="1952"/>
        <w:spacing w:after="0" w:line="262" w:lineRule="auto"/>
        <w:tabs>
          <w:tab w:leader="none" w:pos="1553"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indemnification provisions shall extend to the following persons (collectively, the “</w:t>
      </w:r>
      <w:r>
        <w:rPr>
          <w:rFonts w:ascii="Times New Roman" w:cs="Times New Roman" w:eastAsia="Times New Roman" w:hAnsi="Times New Roman"/>
          <w:sz w:val="18"/>
          <w:szCs w:val="18"/>
          <w:b w:val="1"/>
          <w:bCs w:val="1"/>
          <w:i w:val="1"/>
          <w:iCs w:val="1"/>
          <w:color w:val="auto"/>
        </w:rPr>
        <w:t>Indemnified Parties</w:t>
      </w:r>
      <w:r>
        <w:rPr>
          <w:rFonts w:ascii="Times New Roman" w:cs="Times New Roman" w:eastAsia="Times New Roman" w:hAnsi="Times New Roman"/>
          <w:sz w:val="18"/>
          <w:szCs w:val="18"/>
          <w:color w:val="auto"/>
        </w:rPr>
        <w:t>”): Maxim, its managers, members, officers, employees and controlling persons (within the meaning of Section 15 of the Securities Act or Section 20 of the Exchange Act), and the officers, directors, partners, stockholders, members, managers, employees and controlling persons of any of them. These indemnification provisions shall be in addition to any liability which the Company may otherwise have to any Indemnified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263525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4" w:right="339" w:bottom="1440" w:gutter="0" w:footer="0" w:header="0"/>
        </w:sectPr>
      </w:pPr>
    </w:p>
    <w:bookmarkStart w:id="31" w:name="page32"/>
    <w:bookmarkEnd w:id="31"/>
    <w:p>
      <w:pPr>
        <w:jc w:val="both"/>
        <w:ind w:left="-1120" w:firstLine="1952"/>
        <w:spacing w:after="0" w:line="252" w:lineRule="auto"/>
        <w:tabs>
          <w:tab w:leader="none" w:pos="117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action, suit, proceeding or investigation is commenced, as to which an Indemnified Party proposes to demand indemnification, it shall notify the Company with reasonable promptness;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failure by an Indemnified Party to notify the Company shall not relieve the Company from its obligations hereunder except to the extent that the Company is actually and materially prejudiced by such failure to notify. The Company shall have the right to assume the defense of any such action, suit, proceeding or investigation, including the employment of counsel reasonably satisfactory to the Indemnified Parties and the payment of the fees and expenses of such counsel;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Indemnified Party reasonably determines that there exists a conflict of interest between the Company and the Indemnified Party with respect to such claim, or if the Company does not assume such defense in a timely manner, the Indemnified Parties shall have the right to retain counsel of its own choice to represent them, and the reasonable fees, expenses and disbursements of one such counsel (plus one local counsel in each applicable jurisdiction, if necessary) for all Indemnified Parties shall be borne by the Company. Any such counsel shall, to the extent consistent with its professional responsibilities, cooperate with the Company and any counsel designated by the Company. The Company shall be liable for any settlement of any claim against any Indemnified Party made with the Company’s written consent. The Company shall not, without the prior written consent of the Agent, settle or compromise any claim, or permit a default or consent to the entry of any judgment in respect thereof, unless such settlement, compromise or consent (i) includes, as an unconditional term thereof, the giving by the claimant to all of the Indemnified Parties of an unconditional release from all liability in respect of such claim, and (ii) does not contain any factual or legal admission by or with respect to an Indemnified Party or an adverse statement with respect to the character, professionalism, expertise or reputation of any Indemnified Party or any action or inaction of any Indemnified Party.</w:t>
      </w:r>
    </w:p>
    <w:p>
      <w:pPr>
        <w:spacing w:after="0" w:line="195" w:lineRule="exact"/>
        <w:rPr>
          <w:rFonts w:ascii="Times New Roman" w:cs="Times New Roman" w:eastAsia="Times New Roman" w:hAnsi="Times New Roman"/>
          <w:sz w:val="18"/>
          <w:szCs w:val="18"/>
          <w:color w:val="auto"/>
        </w:rPr>
      </w:pPr>
    </w:p>
    <w:p>
      <w:pPr>
        <w:jc w:val="both"/>
        <w:ind w:left="-1120" w:firstLine="1952"/>
        <w:spacing w:after="0" w:line="253" w:lineRule="auto"/>
        <w:tabs>
          <w:tab w:leader="none" w:pos="11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provide for just and equitable contribution, if a claim for indemnification pursuant to these indemnification provisions is made but it is found in a final judgment by a court of competent jurisdiction (not subject to further appeal) that such indemnification may not be enforced in such case, even though the express provisions hereof provide for indemnification in such case, then the Company shall contribute to the Losses to which any Indemnified Party may be subject (i) in accordance with the relative benefits received by the Company and its stockholders, subsidiaries and affiliates, on the one hand, and the Indemnified Party, on the other hand, and (ii) if (and only if) the allocation provided in clause (i) of this sentence is not permitted by applicable law, in such proportion as to reflect not only the relative benefits, but also the relative fault of the Company, on the one hand, and the Indemnified Party, on the other hand, in connection with the statements, acts or omissions which resulted in such Losses as well as any relevant equitable considerations. No person found liable for a fraudulent misrepresentation shall be entitled to contribution from any person who is not also found liable for fraudulent misrepresentation. The relative benefits received (or anticipated to be received) by the Company and its stockholders, subsidiaries and affiliates shall be deemed to be equal to the aggregate consideration payable or receivable by such parties in connection with the transaction or transactions to which the Agreement relates relative to the amount of fees actually received by the Agent in connection with such transaction or transactions. Notwithstanding the foregoing, in no event shall the amount contributed by all Indemnified Parties exceed the amount of fees previously received by the Agent pursuant to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267970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2" w:name="page33"/>
    <w:bookmarkEnd w:id="32"/>
    <w:p>
      <w:pPr>
        <w:jc w:val="both"/>
        <w:ind w:left="-1120" w:firstLine="1304"/>
        <w:spacing w:after="0" w:line="253" w:lineRule="auto"/>
        <w:tabs>
          <w:tab w:leader="none" w:pos="4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Agent will indemnify and hold harmless the Company and its affiliates, employees, and directors and each officer of the Company who signed the Registration Statement and each person, if any, who controls the Company within the meaning of Section 15 of the Securities Act or Section 20 of the Exchange Act, legal counsel, agents and controlling persons of any of them (the “</w:t>
      </w:r>
      <w:r>
        <w:rPr>
          <w:rFonts w:ascii="Times New Roman" w:cs="Times New Roman" w:eastAsia="Times New Roman" w:hAnsi="Times New Roman"/>
          <w:sz w:val="18"/>
          <w:szCs w:val="18"/>
          <w:b w:val="1"/>
          <w:bCs w:val="1"/>
          <w:i w:val="1"/>
          <w:iCs w:val="1"/>
          <w:color w:val="auto"/>
        </w:rPr>
        <w:t>Company Indemnified Parties</w:t>
      </w:r>
      <w:r>
        <w:rPr>
          <w:rFonts w:ascii="Times New Roman" w:cs="Times New Roman" w:eastAsia="Times New Roman" w:hAnsi="Times New Roman"/>
          <w:sz w:val="18"/>
          <w:szCs w:val="18"/>
          <w:color w:val="auto"/>
        </w:rPr>
        <w:t xml:space="preserve">”) from and against any Losses to which the Company or the Company Indemnified Parties may become subject, under the Securities Act or otherwise (including in settlement of any litigation, if such settlement is effected with the written consent of the Agent), insofar as such losses, claims, damages or liabilities (or actions in respect thereof) arise out of or are based upon an untrue statement or omission or alleged untrue statement or omission of a material fact contained in the Registration Statement, any Base Prospectus, the Prospectus, or any amendment or supplement thereto or any Permitted Free Writing Prospectus, but only and solely to the extent that such untrue statement or alleged untrue statement or omission or alleged omission was made in the Registration Statement, any Base Prospectus, the Prospectus, or any amendment or supplement thereto, or any Permitted Free Writing Prospectus in reliance upon and in conformity with written information furnished to the Company by Agent expressly for use in the preparation thereof, it being understood and agreed that the only information furnished by the Agent consists of the information described as such in </w:t>
      </w:r>
      <w:r>
        <w:rPr>
          <w:rFonts w:ascii="Times New Roman" w:cs="Times New Roman" w:eastAsia="Times New Roman" w:hAnsi="Times New Roman"/>
          <w:sz w:val="18"/>
          <w:szCs w:val="18"/>
          <w:u w:val="single" w:color="auto"/>
          <w:color w:val="auto"/>
        </w:rPr>
        <w:t>Section 5(b)(ii)</w:t>
      </w:r>
      <w:r>
        <w:rPr>
          <w:rFonts w:ascii="Times New Roman" w:cs="Times New Roman" w:eastAsia="Times New Roman" w:hAnsi="Times New Roman"/>
          <w:sz w:val="18"/>
          <w:szCs w:val="18"/>
          <w:color w:val="auto"/>
        </w:rPr>
        <w:t xml:space="preserve"> hereof, by the Company in connection with investigating or defending against any such loss, claim, damage, liability or action.</w:t>
      </w:r>
    </w:p>
    <w:p>
      <w:pPr>
        <w:spacing w:after="0" w:line="189" w:lineRule="exact"/>
        <w:rPr>
          <w:rFonts w:ascii="Times New Roman" w:cs="Times New Roman" w:eastAsia="Times New Roman" w:hAnsi="Times New Roman"/>
          <w:sz w:val="18"/>
          <w:szCs w:val="18"/>
          <w:color w:val="auto"/>
        </w:rPr>
      </w:pPr>
    </w:p>
    <w:p>
      <w:pPr>
        <w:jc w:val="both"/>
        <w:ind w:left="-1120" w:firstLine="1952"/>
        <w:spacing w:after="0" w:line="266" w:lineRule="auto"/>
        <w:tabs>
          <w:tab w:leader="none" w:pos="109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confirms and the Company acknowledges that as of the date hereof no information has been furnished in writing to the Company by or on behalf of the Agent specifically for inclusion in the Registration Statement, any Base Prospectus, the Prospectus or any Permitted Free Writing Prospectus.</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2" w:lineRule="auto"/>
        <w:tabs>
          <w:tab w:leader="none" w:pos="45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indemnification provided for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is unavailable or insufficient to hold harmless an indemnified party under 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Agent on the other from the Offering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in connection with the statements or omissions that resulted in such losses, claims, damages or liabilities, as well as any other relevant equitable considerations. The relative benefits received by the Company on the one hand and the Agent on the other shall be deemed to be in the same proportion as the total net proceeds from the Offering (before deducting expenses) received by the Company and the total commissions received by the Agent, bear to the total public offering price of the Shares. The relative fault shall be determined by reference to, among other things, whether the untrue or alleged untrue statement of a material fact or the omission or alleged omission to state a material fact relates to information supplied by the Company or the Agent and the parties’ relevant intent, knowledge, access to information and opportunity to correct or prevent such untrue statement or omission. The Company and the Agent agree that it would not be just and equitable if contributions pursuant to this subsection (c) were to be determined by pro rata allocation or by any other method of allocation which does not take account of the equitable considerations referred to in the first sentence of this subsection (c). The amount paid by an indemnified party as a result of the losses, claims, damages or liabilities referred to in the first sentence of this subsection (c) shall be deemed to include any legal or other expenses reasonably incurred by such indemnified party in connection with investigating or defending against any action or claim which is the subject of this subsection (c). Notwithstanding the provisions of this subsection (c), the Agent shall not be required to contribute any amount in excess of the amount by which the total price at which the Shares underwritten by it and distributed to the public were offered to the public exceeds the amount of any damages that the Agent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269240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3" w:name="page34"/>
    <w:bookmarkEnd w:id="33"/>
    <w:p>
      <w:pPr>
        <w:jc w:val="both"/>
        <w:ind w:left="-656" w:firstLine="1304"/>
        <w:spacing w:after="0" w:line="261" w:lineRule="auto"/>
        <w:tabs>
          <w:tab w:leader="none" w:pos="89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termination of this Agreement nor completion of the Offering shall affect these indemnification provisions which shall remain operative and in full force and effect. The indemnification provisions shall be binding upon the Company and the Agent and their respective successors and assigns and shall inure to the benefit of the Indemnified Parties and the Company Indemnified Parties and their respective successors, assigns, heirs and personal representatives.</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59" w:lineRule="auto"/>
        <w:tabs>
          <w:tab w:leader="none" w:pos="18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Representations and Agreements to Survive Delivery</w:t>
      </w:r>
      <w:r>
        <w:rPr>
          <w:rFonts w:ascii="Times New Roman" w:cs="Times New Roman" w:eastAsia="Times New Roman" w:hAnsi="Times New Roman"/>
          <w:sz w:val="18"/>
          <w:szCs w:val="18"/>
          <w:color w:val="auto"/>
        </w:rPr>
        <w:t>. All representations and warranties of the Company herein or in certificates delivered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pursuant hereto, and agreements of the Agent and the Company herein, including but not limited to the agreements of the Agent and the Company contained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shall remain operative and in full force and effect regardless of any investigation made by or on behalf of the Agent or any controlling person thereof, or the Company or any of its officers, directors, or controlling persons, and shall survive delivery of, and payment for, the Shares to and by the Agent hereunder.</w:t>
      </w:r>
    </w:p>
    <w:p>
      <w:pPr>
        <w:spacing w:after="0" w:line="17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Termination of this Agreement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56" w:firstLine="1304"/>
        <w:spacing w:after="0" w:line="255" w:lineRule="auto"/>
        <w:tabs>
          <w:tab w:leader="none" w:pos="88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by giving written notice as hereinafter specified, to terminate this Agreement, in its sole discretion at any time and for any or no reason, upon five (5) days’ prior written notice to the Agent following six (6) months of the date of this Agreement. Any such termination shall be without liability of any party to any other party except that (i) with respect to any pending sale through the Agent for the Company, the obligations of the Company with respect to such pending sale of Shares, including in respect of compensation of the Agent, shall remain in full force and effect notwithstanding such termination, and (ii) the provisions of </w:t>
      </w:r>
      <w:r>
        <w:rPr>
          <w:rFonts w:ascii="Times New Roman" w:cs="Times New Roman" w:eastAsia="Times New Roman" w:hAnsi="Times New Roman"/>
          <w:sz w:val="18"/>
          <w:szCs w:val="18"/>
          <w:u w:val="single" w:color="auto"/>
          <w:color w:val="auto"/>
        </w:rPr>
        <w:t>Section 2(a)(vi)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3(g)</w:t>
      </w:r>
      <w:r>
        <w:rPr>
          <w:rFonts w:ascii="Times New Roman" w:cs="Times New Roman" w:eastAsia="Times New Roman" w:hAnsi="Times New Roman"/>
          <w:sz w:val="18"/>
          <w:szCs w:val="18"/>
          <w:color w:val="auto"/>
        </w:rPr>
        <w:t xml:space="preserve"> (solely with respect to amounts accrued and payable through the effective date of such termination), </w:t>
      </w:r>
      <w:r>
        <w:rPr>
          <w:rFonts w:ascii="Times New Roman" w:cs="Times New Roman" w:eastAsia="Times New Roman" w:hAnsi="Times New Roman"/>
          <w:sz w:val="18"/>
          <w:szCs w:val="18"/>
          <w:u w:val="single" w:color="auto"/>
          <w:color w:val="auto"/>
        </w:rPr>
        <w:t>Section 3(o)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 shall remain in full force and effect notwithstanding such termination.</w:t>
      </w:r>
    </w:p>
    <w:p>
      <w:pPr>
        <w:spacing w:after="0" w:line="188" w:lineRule="exact"/>
        <w:rPr>
          <w:rFonts w:ascii="Times New Roman" w:cs="Times New Roman" w:eastAsia="Times New Roman" w:hAnsi="Times New Roman"/>
          <w:sz w:val="18"/>
          <w:szCs w:val="18"/>
          <w:color w:val="auto"/>
        </w:rPr>
      </w:pPr>
    </w:p>
    <w:p>
      <w:pPr>
        <w:jc w:val="both"/>
        <w:ind w:left="-656" w:firstLine="1304"/>
        <w:spacing w:after="0" w:line="255" w:lineRule="auto"/>
        <w:tabs>
          <w:tab w:leader="none" w:pos="9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upon any termination or expiration of this Agreement: (i) the Agent’s sole entitlement to fees, compensation and expense reimbursement shall be (A) the Transaction Fee in respect of Shares actually sold pursuant to this Agreement prior to the effective date of such termination or expiration (including any pending sale that settles in accordance with </w:t>
      </w:r>
      <w:r>
        <w:rPr>
          <w:rFonts w:ascii="Times New Roman" w:cs="Times New Roman" w:eastAsia="Times New Roman" w:hAnsi="Times New Roman"/>
          <w:sz w:val="18"/>
          <w:szCs w:val="18"/>
          <w:u w:val="single" w:color="auto"/>
          <w:color w:val="auto"/>
        </w:rPr>
        <w:t>Section 7(e)</w:t>
      </w:r>
      <w:r>
        <w:rPr>
          <w:rFonts w:ascii="Times New Roman" w:cs="Times New Roman" w:eastAsia="Times New Roman" w:hAnsi="Times New Roman"/>
          <w:sz w:val="18"/>
          <w:szCs w:val="18"/>
          <w:color w:val="auto"/>
        </w:rPr>
        <w:t xml:space="preserve">) and (B) reimbursement of expenses accrued and payable pursuant to </w:t>
      </w:r>
      <w:r>
        <w:rPr>
          <w:rFonts w:ascii="Times New Roman" w:cs="Times New Roman" w:eastAsia="Times New Roman" w:hAnsi="Times New Roman"/>
          <w:sz w:val="18"/>
          <w:szCs w:val="18"/>
          <w:u w:val="single" w:color="auto"/>
          <w:color w:val="auto"/>
        </w:rPr>
        <w:t>Section 3(g)</w:t>
      </w:r>
      <w:r>
        <w:rPr>
          <w:rFonts w:ascii="Times New Roman" w:cs="Times New Roman" w:eastAsia="Times New Roman" w:hAnsi="Times New Roman"/>
          <w:sz w:val="18"/>
          <w:szCs w:val="18"/>
          <w:color w:val="auto"/>
        </w:rPr>
        <w:t xml:space="preserve"> through such effective date; and (ii) the Agent shall not be entitled to any tail period, termination fee, right of first refusal, or other fee or compensation of any kind in respect of any offering, sales agency arrangement, financing or other transaction effected by the Company after such termination or expiration, whether or not effected through another agent, underwriter or placement agent. Nothing in this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 xml:space="preserve"> shall limit the rights of any Indemnified Party under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or the survival of the provisions identified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268605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34" w:name="page35"/>
    <w:bookmarkEnd w:id="34"/>
    <w:p>
      <w:pPr>
        <w:jc w:val="both"/>
        <w:ind w:left="-656" w:firstLine="1304"/>
        <w:spacing w:after="0" w:line="261" w:lineRule="auto"/>
        <w:tabs>
          <w:tab w:leader="none" w:pos="89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shall have the right, by giving written notice as hereinafter specified, to terminate this Agreement in its sole discretion at any time upon five (5) days’ prior written notice to the Company.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2(a)(vi)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3(g)</w:t>
      </w:r>
      <w:r>
        <w:rPr>
          <w:rFonts w:ascii="Times New Roman" w:cs="Times New Roman" w:eastAsia="Times New Roman" w:hAnsi="Times New Roman"/>
          <w:sz w:val="18"/>
          <w:szCs w:val="18"/>
          <w:color w:val="auto"/>
        </w:rPr>
        <w:t xml:space="preserve"> (solely with respect to amounts accrued and payable through the effective date of such termination),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 shall remain in full force and effect notwithstanding such termination.</w:t>
      </w:r>
    </w:p>
    <w:p>
      <w:pPr>
        <w:spacing w:after="0" w:line="179" w:lineRule="exact"/>
        <w:rPr>
          <w:rFonts w:ascii="Times New Roman" w:cs="Times New Roman" w:eastAsia="Times New Roman" w:hAnsi="Times New Roman"/>
          <w:sz w:val="18"/>
          <w:szCs w:val="18"/>
          <w:color w:val="auto"/>
        </w:rPr>
      </w:pPr>
    </w:p>
    <w:p>
      <w:pPr>
        <w:jc w:val="both"/>
        <w:ind w:left="-656" w:firstLine="1304"/>
        <w:spacing w:after="0" w:line="256" w:lineRule="auto"/>
        <w:tabs>
          <w:tab w:leader="none" w:pos="89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earlier terminated pursuant to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7(c)</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or by mutual agreement of the parties, this Agreement shall remain in full force and effect until the earlier of (i) the issuance and sale of all of the Shares subject to this Agreement having an aggregate offering price equal to the amount set forth in the first paragraph of this Agreement and (ii) the date on which Shares may no longer be sold pursuant to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hereof; provided that upon any termination or expiration of this Agreement pursuant to this </w:t>
      </w:r>
      <w:r>
        <w:rPr>
          <w:rFonts w:ascii="Times New Roman" w:cs="Times New Roman" w:eastAsia="Times New Roman" w:hAnsi="Times New Roman"/>
          <w:sz w:val="18"/>
          <w:szCs w:val="18"/>
          <w:u w:val="single" w:color="auto"/>
          <w:color w:val="auto"/>
        </w:rPr>
        <w:t>Section 7(d)</w:t>
      </w:r>
      <w:r>
        <w:rPr>
          <w:rFonts w:ascii="Times New Roman" w:cs="Times New Roman" w:eastAsia="Times New Roman" w:hAnsi="Times New Roman"/>
          <w:sz w:val="18"/>
          <w:szCs w:val="18"/>
          <w:color w:val="auto"/>
        </w:rPr>
        <w:t xml:space="preserve"> or by mutual agreement of the parties, the provisions of </w:t>
      </w:r>
      <w:r>
        <w:rPr>
          <w:rFonts w:ascii="Times New Roman" w:cs="Times New Roman" w:eastAsia="Times New Roman" w:hAnsi="Times New Roman"/>
          <w:sz w:val="18"/>
          <w:szCs w:val="18"/>
          <w:u w:val="single" w:color="auto"/>
          <w:color w:val="auto"/>
        </w:rPr>
        <w:t>Section 2(a)(vi)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3(g)</w:t>
      </w:r>
      <w:r>
        <w:rPr>
          <w:rFonts w:ascii="Times New Roman" w:cs="Times New Roman" w:eastAsia="Times New Roman" w:hAnsi="Times New Roman"/>
          <w:sz w:val="18"/>
          <w:szCs w:val="18"/>
          <w:color w:val="auto"/>
        </w:rPr>
        <w:t xml:space="preserve"> (solely with respect to amounts accrued and payable through the effective date of such termination or expiration), </w:t>
      </w:r>
      <w:r>
        <w:rPr>
          <w:rFonts w:ascii="Times New Roman" w:cs="Times New Roman" w:eastAsia="Times New Roman" w:hAnsi="Times New Roman"/>
          <w:sz w:val="18"/>
          <w:szCs w:val="18"/>
          <w:u w:val="single" w:color="auto"/>
          <w:color w:val="auto"/>
        </w:rPr>
        <w:t>Section 3(o)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remain in full force and effect.</w:t>
      </w:r>
    </w:p>
    <w:p>
      <w:pPr>
        <w:spacing w:after="0" w:line="187" w:lineRule="exact"/>
        <w:rPr>
          <w:rFonts w:ascii="Times New Roman" w:cs="Times New Roman" w:eastAsia="Times New Roman" w:hAnsi="Times New Roman"/>
          <w:sz w:val="18"/>
          <w:szCs w:val="18"/>
          <w:color w:val="auto"/>
        </w:rPr>
      </w:pPr>
    </w:p>
    <w:p>
      <w:pPr>
        <w:jc w:val="both"/>
        <w:ind w:left="-656" w:firstLine="1304"/>
        <w:spacing w:after="0" w:line="261" w:lineRule="auto"/>
        <w:tabs>
          <w:tab w:leader="none" w:pos="88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termination of this Agreement shall be effective on the date specified in such notice of termination, which date shall be no earlier than the close of business on the fifth (5th) day following receipt of such notice by the Agent or the Company, as the case may be (or such earlier date as the parties may agree). If such termination shall occur prior to the Settlement Date for any sale of the Shares, such sale shall settle in accordance with the provisions of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of this Agreement.</w:t>
      </w:r>
    </w:p>
    <w:p>
      <w:pPr>
        <w:spacing w:after="0" w:line="179" w:lineRule="exact"/>
        <w:rPr>
          <w:rFonts w:ascii="Times New Roman" w:cs="Times New Roman" w:eastAsia="Times New Roman" w:hAnsi="Times New Roman"/>
          <w:sz w:val="18"/>
          <w:szCs w:val="18"/>
          <w:color w:val="auto"/>
        </w:rPr>
      </w:pPr>
    </w:p>
    <w:p>
      <w:pPr>
        <w:jc w:val="both"/>
        <w:ind w:left="-656" w:firstLine="1304"/>
        <w:spacing w:after="0" w:line="258" w:lineRule="auto"/>
        <w:tabs>
          <w:tab w:leader="none" w:pos="86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shall limit or restrict the Company, from and after the effective date of any termination or expiration of this Agreement, from engaging any other sales agent, underwriter, placement agent or other financial institution in connection with any “at the market offering” as defined in Rule 415 under the Securities Act, and no fee, compensation, notice or other obligation shall be owed to the Agent in connection with any such engagement or offering. No covenant or agreement of the Company contained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(other than those expressly identified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as surviving) shall survive the termination or expiration of this Agreement.</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59" w:lineRule="auto"/>
        <w:tabs>
          <w:tab w:leader="none" w:pos="17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Default by the Company</w:t>
      </w:r>
      <w:r>
        <w:rPr>
          <w:rFonts w:ascii="Times New Roman" w:cs="Times New Roman" w:eastAsia="Times New Roman" w:hAnsi="Times New Roman"/>
          <w:sz w:val="18"/>
          <w:szCs w:val="18"/>
          <w:color w:val="auto"/>
        </w:rPr>
        <w:t>. If the Company shall fail at any Settlement Date to sell and deliver the number of Shares which it is obligated to sell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hereunder, the Agent may, by written notice to the Company, terminate this Agreement without any liability on the part of the Agent or, except as provided in </w:t>
      </w:r>
      <w:r>
        <w:rPr>
          <w:rFonts w:ascii="Times New Roman" w:cs="Times New Roman" w:eastAsia="Times New Roman" w:hAnsi="Times New Roman"/>
          <w:sz w:val="18"/>
          <w:szCs w:val="18"/>
          <w:u w:val="single" w:color="auto"/>
          <w:color w:val="auto"/>
        </w:rPr>
        <w:t>Section 3(g)</w:t>
      </w:r>
      <w:r>
        <w:rPr>
          <w:rFonts w:ascii="Times New Roman" w:cs="Times New Roman" w:eastAsia="Times New Roman" w:hAnsi="Times New Roman"/>
          <w:sz w:val="18"/>
          <w:szCs w:val="18"/>
          <w:color w:val="auto"/>
        </w:rPr>
        <w:t xml:space="preserve"> hereof, any non-defaulting party. No action taken pursuant to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relieve the Company from liability, if any, in respect of such default, and the Company shall (A) hold the Agent harmless against any loss, claim or damage arising from or as a result of such default by the Company and (B) pay the Agent any commission to which it would otherwise be entitled absent such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264795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35" w:name="page36"/>
    <w:bookmarkEnd w:id="35"/>
    <w:p>
      <w:pPr>
        <w:ind w:right="20" w:firstLine="656"/>
        <w:spacing w:after="0" w:line="286" w:lineRule="auto"/>
        <w:tabs>
          <w:tab w:leader="none" w:pos="8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 Except as otherwise provided herein, all communications under this Agreement shall be in writing and, if to the Agent, shall be mailed,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delivered or sent by facsimile or email transmission to:</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Maxim Group LLC</w:t>
      </w:r>
    </w:p>
    <w:p>
      <w:pPr>
        <w:ind w:left="660"/>
        <w:spacing w:after="0" w:line="205" w:lineRule="auto"/>
        <w:rPr>
          <w:sz w:val="20"/>
          <w:szCs w:val="20"/>
          <w:color w:val="auto"/>
        </w:rPr>
      </w:pPr>
      <w:r>
        <w:rPr>
          <w:rFonts w:ascii="Times New Roman" w:cs="Times New Roman" w:eastAsia="Times New Roman" w:hAnsi="Times New Roman"/>
          <w:sz w:val="18"/>
          <w:szCs w:val="18"/>
          <w:color w:val="auto"/>
        </w:rPr>
        <w:t>300 Park Avenue,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Ritesh Veera, Co-Head of Investment Banking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Fax: (212) 895-3783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cteller@maximgrp.com.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required copy (which shall not constitute notice)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Pryor Cashman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Times Square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M. Ali Panjwani, Esq.</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Fax: (212) 326-0806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ali.panjwani@pryorcashman.com.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Notices to the Company shall be given to it at: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9100 Fall View Drive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Fishers, Indiana 46037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Daniel S. O’Toole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dan@arriveai.com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required copy (which shall not constitute notice)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Lucosky Brookman LLP</w:t>
      </w:r>
    </w:p>
    <w:p>
      <w:pPr>
        <w:ind w:left="660"/>
        <w:spacing w:after="0" w:line="205" w:lineRule="auto"/>
        <w:rPr>
          <w:sz w:val="20"/>
          <w:szCs w:val="20"/>
          <w:color w:val="auto"/>
        </w:rPr>
      </w:pPr>
      <w:r>
        <w:rPr>
          <w:rFonts w:ascii="Times New Roman" w:cs="Times New Roman" w:eastAsia="Times New Roman" w:hAnsi="Times New Roman"/>
          <w:sz w:val="18"/>
          <w:szCs w:val="18"/>
          <w:color w:val="auto"/>
        </w:rPr>
        <w:t>101 Wood Avenue South,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Woodbridge, New Jersey 08830</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Joseph M. Lucosky, Esq.</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jlucosky@lucbro.com</w:t>
      </w:r>
    </w:p>
    <w:p>
      <w:pPr>
        <w:spacing w:after="0" w:line="20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Any party to this Agreement may change such address for notices by sending to the parties to this Agreement written notice of a new address for such purpose.</w:t>
      </w:r>
    </w:p>
    <w:p>
      <w:pPr>
        <w:spacing w:after="0" w:line="158" w:lineRule="exact"/>
        <w:rPr>
          <w:sz w:val="20"/>
          <w:szCs w:val="20"/>
          <w:color w:val="auto"/>
        </w:rPr>
      </w:pPr>
    </w:p>
    <w:p>
      <w:pPr>
        <w:jc w:val="both"/>
        <w:ind w:firstLine="656"/>
        <w:spacing w:after="0" w:line="262" w:lineRule="auto"/>
        <w:tabs>
          <w:tab w:leader="none" w:pos="93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 successors and assigns and the controlling persons, officers and directors referred to in Section 5. Nothing in this Agreement is intended or shall be construed to give to any other person, firm or corporation any legal or equitable remedy or claim under or in respect of this Agreement or any provision herein contained. The term “successors and assigns” as herein used shall not include any purchaser, as such purchaser, of any of the Shares from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jc w:val="both"/>
        <w:ind w:firstLine="656"/>
        <w:spacing w:after="0" w:line="253" w:lineRule="auto"/>
        <w:tabs>
          <w:tab w:leader="none" w:pos="92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Absence of Fiduciary Relationship</w:t>
      </w:r>
      <w:r>
        <w:rPr>
          <w:rFonts w:ascii="Times New Roman" w:cs="Times New Roman" w:eastAsia="Times New Roman" w:hAnsi="Times New Roman"/>
          <w:sz w:val="18"/>
          <w:szCs w:val="18"/>
          <w:color w:val="auto"/>
        </w:rPr>
        <w:t>. The Company acknowledges and agrees that: (a) the Agent has been retained solely to act as an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agent and/or principal in connection with the sale of the Shares and that no fiduciary, advisory or agency relationship between the Company and the Agent has been created in respect of any of the transactions contemplated by this Agreement, irrespective of whether the Agent has advised or are advising the Company on other matters; (b) the price and other terms of the Shares set forth in this Agreement were established by the Company following discussions and arms-length negotiations with the Agent and the Company is capable of evaluating and understanding and understands and accepts the terms, risks and conditions of the transactions contemplated by this Agreement; (c) it has been advised that the Agent and its affiliates are engaged in a broad range of transactions which may involve interests that differ from those of the Company and that the Agent has no obligation to disclose such interest and transactions to the Company by virtue of any fiduciary, advisory or agency relationship; (d) it has been advised that the Agent is acting, in respect of the transactions contemplated by this Agreement, solely for the benefit of the Agent, and not on behalf of the Company; and (e) it waives to the fullest extent permitted by law, any claims it may have against the Agent for breach of fiduciary duty or alleged breach of fiduciary duty in respect of any of the transactions contemplated by this Agreement and agrees that the Agent shall have no liability (whether direct or indirect) to the Company in respect of such a fiduciary duty claim on behalf of or in right of the Company, including stockholders, employees or creditors of the Company.</w:t>
      </w:r>
    </w:p>
    <w:p>
      <w:pPr>
        <w:spacing w:after="0" w:line="189" w:lineRule="exact"/>
        <w:rPr>
          <w:rFonts w:ascii="Times New Roman" w:cs="Times New Roman" w:eastAsia="Times New Roman" w:hAnsi="Times New Roman"/>
          <w:sz w:val="18"/>
          <w:szCs w:val="18"/>
          <w:color w:val="auto"/>
        </w:rPr>
      </w:pPr>
    </w:p>
    <w:p>
      <w:pPr>
        <w:jc w:val="both"/>
        <w:ind w:firstLine="656"/>
        <w:spacing w:after="0" w:line="268" w:lineRule="auto"/>
        <w:tabs>
          <w:tab w:leader="none" w:pos="9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New York, including Section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5-1401 of the General Obligations Law of the State of New York, but otherwise without regard to conflict of laws rules that would apply the laws of any other jurisdiction.</w:t>
      </w:r>
    </w:p>
    <w:p>
      <w:pPr>
        <w:spacing w:after="0" w:line="170" w:lineRule="exact"/>
        <w:rPr>
          <w:rFonts w:ascii="Times New Roman" w:cs="Times New Roman" w:eastAsia="Times New Roman" w:hAnsi="Times New Roman"/>
          <w:sz w:val="18"/>
          <w:szCs w:val="18"/>
          <w:color w:val="auto"/>
        </w:rPr>
      </w:pPr>
    </w:p>
    <w:p>
      <w:pPr>
        <w:ind w:firstLine="656"/>
        <w:spacing w:after="0" w:line="286" w:lineRule="auto"/>
        <w:tabs>
          <w:tab w:leader="none" w:pos="93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Counterparts</w:t>
      </w:r>
      <w:r>
        <w:rPr>
          <w:rFonts w:ascii="Times New Roman" w:cs="Times New Roman" w:eastAsia="Times New Roman" w:hAnsi="Times New Roman"/>
          <w:sz w:val="18"/>
          <w:szCs w:val="18"/>
          <w:color w:val="auto"/>
        </w:rPr>
        <w:t>. This Agreement may be executed in one or more counterparts and, if executed in more than one counterpart, the executed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counterparts shall each be deemed to be an original and all such counterparts shall together constitute one and the same instrument.</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9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Adjustments for Stock Splits</w:t>
      </w:r>
      <w:r>
        <w:rPr>
          <w:rFonts w:ascii="Times New Roman" w:cs="Times New Roman" w:eastAsia="Times New Roman" w:hAnsi="Times New Roman"/>
          <w:sz w:val="18"/>
          <w:szCs w:val="18"/>
          <w:color w:val="auto"/>
        </w:rPr>
        <w:t>. The parties acknowledge and agree that all share-related numbers contained in this Agreement shall be adjusted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take into account any stock split, stock dividend or similar event effected with respect to the Shares.</w:t>
      </w:r>
    </w:p>
    <w:p>
      <w:pPr>
        <w:spacing w:after="0" w:line="154" w:lineRule="exact"/>
        <w:rPr>
          <w:rFonts w:ascii="Times New Roman" w:cs="Times New Roman" w:eastAsia="Times New Roman" w:hAnsi="Times New Roman"/>
          <w:sz w:val="18"/>
          <w:szCs w:val="18"/>
          <w:color w:val="auto"/>
        </w:rPr>
      </w:pPr>
    </w:p>
    <w:p>
      <w:pPr>
        <w:jc w:val="both"/>
        <w:ind w:firstLine="656"/>
        <w:spacing w:after="0" w:line="254" w:lineRule="auto"/>
        <w:tabs>
          <w:tab w:leader="none" w:pos="97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Entire Agreement; Amendment; Severability; Headings</w:t>
      </w:r>
      <w:r>
        <w:rPr>
          <w:rFonts w:ascii="Times New Roman" w:cs="Times New Roman" w:eastAsia="Times New Roman" w:hAnsi="Times New Roman"/>
          <w:sz w:val="18"/>
          <w:szCs w:val="18"/>
          <w:color w:val="auto"/>
        </w:rPr>
        <w:t>. This Agreement (including all schedules and exhibits attached hereto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The section headings used in this Agreement are for convenience only and shall not affect the construction hereof.</w:t>
      </w:r>
    </w:p>
    <w:p>
      <w:pPr>
        <w:spacing w:after="0" w:line="188" w:lineRule="exact"/>
        <w:rPr>
          <w:rFonts w:ascii="Times New Roman" w:cs="Times New Roman" w:eastAsia="Times New Roman" w:hAnsi="Times New Roman"/>
          <w:sz w:val="18"/>
          <w:szCs w:val="18"/>
          <w:color w:val="auto"/>
        </w:rPr>
      </w:pPr>
    </w:p>
    <w:p>
      <w:pPr>
        <w:ind w:right="20" w:firstLine="656"/>
        <w:spacing w:after="0" w:line="286" w:lineRule="auto"/>
        <w:tabs>
          <w:tab w:leader="none" w:pos="9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Waiver of Jury Trial</w:t>
      </w:r>
      <w:r>
        <w:rPr>
          <w:rFonts w:ascii="Times New Roman" w:cs="Times New Roman" w:eastAsia="Times New Roman" w:hAnsi="Times New Roman"/>
          <w:sz w:val="18"/>
          <w:szCs w:val="18"/>
          <w:color w:val="auto"/>
        </w:rPr>
        <w:t>. Each of the Company and the Agent hereby waives any right it may have to a trial by jury in respect of any claim 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or arising out of this Agreement or the transactions contemplated hereby.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the Company the enclosed duplicate of this Agreement, whereupon this letter and your acceptance shall represent a binding agreement between the Company and the Agent in accordance with its terms.</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ARRIVE AI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as of the date first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 mentioned.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 GROUP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Permitted Free Writing Prospectus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Individuals Permitted to Authorize Sales of Shares</w:t>
      </w:r>
    </w:p>
    <w:p>
      <w:pPr>
        <w:spacing w:after="0" w:line="237" w:lineRule="exact"/>
        <w:rPr>
          <w:sz w:val="20"/>
          <w:szCs w:val="20"/>
          <w:color w:val="auto"/>
        </w:rPr>
      </w:pPr>
    </w:p>
    <w:p>
      <w:pPr>
        <w:ind w:left="840" w:hanging="656"/>
        <w:spacing w:after="0"/>
        <w:tabs>
          <w:tab w:leader="none" w:pos="8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Daniel S. O’Toole</w:t>
      </w:r>
    </w:p>
    <w:p>
      <w:pPr>
        <w:spacing w:after="0" w:line="225"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Todd Pepmeier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Transaction Notice</w:t>
      </w:r>
    </w:p>
    <w:p>
      <w:pPr>
        <w:sectPr>
          <w:pgSz w:w="11900" w:h="16838" w:orient="portrait"/>
          <w:cols w:equalWidth="0" w:num="1">
            <w:col w:w="11240"/>
          </w:cols>
          <w:pgMar w:left="320" w:top="684"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Arrive AI Inc.</w:t>
      </w:r>
    </w:p>
    <w:p>
      <w:pPr>
        <w:spacing w:after="0" w:line="200" w:lineRule="exact"/>
        <w:rPr>
          <w:sz w:val="20"/>
          <w:szCs w:val="20"/>
          <w:color w:val="auto"/>
        </w:rPr>
      </w:pPr>
    </w:p>
    <w:p>
      <w:pPr>
        <w:sectPr>
          <w:pgSz w:w="11900" w:h="16838" w:orient="portrait"/>
          <w:cols w:equalWidth="0" w:num="2">
            <w:col w:w="440" w:space="360"/>
            <w:col w:w="10440"/>
          </w:cols>
          <w:pgMar w:left="320" w:top="684"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 Group LLC</w:t>
      </w:r>
    </w:p>
    <w:p>
      <w:pPr>
        <w:spacing w:after="0" w:line="200" w:lineRule="exact"/>
        <w:rPr>
          <w:sz w:val="20"/>
          <w:szCs w:val="20"/>
          <w:color w:val="auto"/>
        </w:rPr>
      </w:pPr>
    </w:p>
    <w:p>
      <w:pPr>
        <w:sectPr>
          <w:pgSz w:w="11900" w:h="16838" w:orient="portrait"/>
          <w:cols w:equalWidth="0" w:num="2">
            <w:col w:w="240" w:space="560"/>
            <w:col w:w="10440"/>
          </w:cols>
          <w:pgMar w:left="320" w:top="684"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Notice</w:t>
      </w:r>
    </w:p>
    <w:p>
      <w:pPr>
        <w:spacing w:after="0" w:line="200" w:lineRule="exact"/>
        <w:rPr>
          <w:sz w:val="20"/>
          <w:szCs w:val="20"/>
          <w:color w:val="auto"/>
        </w:rPr>
      </w:pPr>
    </w:p>
    <w:p>
      <w:pPr>
        <w:sectPr>
          <w:pgSz w:w="11900" w:h="16838" w:orient="portrait"/>
          <w:cols w:equalWidth="0" w:num="2">
            <w:col w:w="600" w:space="200"/>
            <w:col w:w="10440"/>
          </w:cols>
          <w:pgMar w:left="320" w:top="684"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202___</w:t>
      </w:r>
    </w:p>
    <w:p>
      <w:pPr>
        <w:spacing w:after="0" w:line="200" w:lineRule="exact"/>
        <w:rPr>
          <w:sz w:val="20"/>
          <w:szCs w:val="20"/>
          <w:color w:val="auto"/>
        </w:rPr>
      </w:pPr>
    </w:p>
    <w:p>
      <w:pPr>
        <w:sectPr>
          <w:pgSz w:w="11900" w:h="16838" w:orient="portrait"/>
          <w:cols w:equalWidth="0" w:num="2">
            <w:col w:w="400" w:space="400"/>
            <w:col w:w="10440"/>
          </w:cols>
          <w:pgMar w:left="320" w:top="684"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Pursuant to the terms and subject to the conditions contained in the Sales Agreement between Arrive AI Inc.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Maxim Group LLC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dated [ ], 2026, the Company hereby requests that the Agent sell up to [●] of the Company’s common stock, par value $0.0002 per share, at a minimum market price of $[●] per share, during the time period beginning [month, day, time] and ending [month, day, time].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41" w:name="page42"/>
    <w:bookmarkEnd w:id="41"/>
    <w:p>
      <w:pPr>
        <w:jc w:val="center"/>
        <w:ind w:right="-440"/>
        <w:spacing w:after="0"/>
        <w:rPr>
          <w:sz w:val="20"/>
          <w:szCs w:val="20"/>
          <w:color w:val="auto"/>
        </w:rPr>
      </w:pPr>
      <w:r>
        <w:rPr>
          <w:rFonts w:ascii="Times New Roman" w:cs="Times New Roman" w:eastAsia="Times New Roman" w:hAnsi="Times New Roman"/>
          <w:sz w:val="18"/>
          <w:szCs w:val="18"/>
          <w:b w:val="1"/>
          <w:bCs w:val="1"/>
          <w:u w:val="single" w:color="auto"/>
          <w:color w:val="auto"/>
        </w:rPr>
        <w:t>Schedule D</w:t>
      </w:r>
    </w:p>
    <w:p>
      <w:pPr>
        <w:spacing w:after="0" w:line="229" w:lineRule="exact"/>
        <w:rPr>
          <w:sz w:val="20"/>
          <w:szCs w:val="20"/>
          <w:color w:val="auto"/>
        </w:rPr>
      </w:pPr>
    </w:p>
    <w:p>
      <w:pPr>
        <w:jc w:val="right"/>
        <w:ind w:right="2999"/>
        <w:spacing w:after="0"/>
        <w:rPr>
          <w:sz w:val="20"/>
          <w:szCs w:val="20"/>
          <w:color w:val="auto"/>
        </w:rPr>
      </w:pPr>
      <w:r>
        <w:rPr>
          <w:rFonts w:ascii="Times New Roman" w:cs="Times New Roman" w:eastAsia="Times New Roman" w:hAnsi="Times New Roman"/>
          <w:sz w:val="18"/>
          <w:szCs w:val="18"/>
          <w:color w:val="auto"/>
        </w:rPr>
        <w:t>Individual to Which Notice Can Be Given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 Group LLC</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Exhibit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479"/>
      </w:cols>
      <w:pgMar w:left="980" w:top="6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
    <w:nsid w:val="B03E0C6"/>
    <w:multiLevelType w:val="hybridMultilevel"/>
    <w:lvl w:ilvl="0">
      <w:lvlJc w:val="left"/>
      <w:lvlText w:val="(%1)"/>
      <w:numFmt w:val="lowerRoman"/>
      <w:start w:val="2"/>
    </w:lvl>
    <w:lvl w:ilvl="1">
      <w:lvlJc w:val="left"/>
      <w:lvlText w:val="(%2)"/>
      <w:numFmt w:val="upperLetter"/>
      <w:start w:val="2"/>
    </w:lvl>
  </w:abstractNum>
  <w:abstractNum w:abstractNumId="3">
    <w:nsid w:val="189A769B"/>
    <w:multiLevelType w:val="hybridMultilevel"/>
    <w:lvl w:ilvl="0">
      <w:lvlJc w:val="left"/>
      <w:lvlText w:val="(%1)"/>
      <w:numFmt w:val="lowerRoman"/>
      <w:start w:val="3"/>
    </w:lvl>
  </w:abstractNum>
  <w:abstractNum w:abstractNumId="4">
    <w:nsid w:val="54E49EB4"/>
    <w:multiLevelType w:val="hybridMultilevel"/>
    <w:lvl w:ilvl="0">
      <w:lvlJc w:val="left"/>
      <w:lvlText w:val="(%1)"/>
      <w:numFmt w:val="lowerRoman"/>
      <w:start w:val="6"/>
    </w:lvl>
  </w:abstractNum>
  <w:abstractNum w:abstractNumId="5">
    <w:nsid w:val="71F32454"/>
    <w:multiLevelType w:val="hybridMultilevel"/>
    <w:lvl w:ilvl="0">
      <w:lvlJc w:val="left"/>
      <w:lvlText w:val="(%1)"/>
      <w:numFmt w:val="lowerRoman"/>
      <w:start w:val="10"/>
    </w:lvl>
  </w:abstractNum>
  <w:abstractNum w:abstractNumId="6">
    <w:nsid w:val="2CA88611"/>
    <w:multiLevelType w:val="hybridMultilevel"/>
    <w:lvl w:ilvl="0">
      <w:lvlJc w:val="left"/>
      <w:lvlText w:val="(%1)"/>
      <w:numFmt w:val="lowerRoman"/>
      <w:start w:val="12"/>
    </w:lvl>
  </w:abstractNum>
  <w:abstractNum w:abstractNumId="7">
    <w:nsid w:val="836C40E"/>
    <w:multiLevelType w:val="hybridMultilevel"/>
    <w:lvl w:ilvl="0">
      <w:lvlJc w:val="left"/>
      <w:lvlText w:val="%1"/>
      <w:numFmt w:val="upperLetter"/>
      <w:start w:val="1"/>
    </w:lvl>
    <w:lvl w:ilvl="1">
      <w:lvlJc w:val="left"/>
      <w:lvlText w:val="(%2)"/>
      <w:numFmt w:val="lowerRoman"/>
      <w:start w:val="15"/>
    </w:lvl>
  </w:abstractNum>
  <w:abstractNum w:abstractNumId="8">
    <w:nsid w:val="2901D82"/>
    <w:multiLevelType w:val="hybridMultilevel"/>
    <w:lvl w:ilvl="0">
      <w:lvlJc w:val="left"/>
      <w:lvlText w:val="(%1)"/>
      <w:numFmt w:val="upperLetter"/>
      <w:start w:val="2"/>
    </w:lvl>
    <w:lvl w:ilvl="1">
      <w:lvlJc w:val="left"/>
      <w:lvlText w:val="(%2)"/>
      <w:numFmt w:val="lowerRoman"/>
      <w:start w:val="16"/>
    </w:lvl>
  </w:abstractNum>
  <w:abstractNum w:abstractNumId="9">
    <w:nsid w:val="3A95F874"/>
    <w:multiLevelType w:val="hybridMultilevel"/>
    <w:lvl w:ilvl="0">
      <w:lvlJc w:val="left"/>
      <w:lvlText w:val="(%1)"/>
      <w:numFmt w:val="lowerRoman"/>
      <w:start w:val="18"/>
    </w:lvl>
  </w:abstractNum>
  <w:abstractNum w:abstractNumId="10">
    <w:nsid w:val="8138641"/>
    <w:multiLevelType w:val="hybridMultilevel"/>
    <w:lvl w:ilvl="0">
      <w:lvlJc w:val="left"/>
      <w:lvlText w:val="(%1)"/>
      <w:numFmt w:val="lowerRoman"/>
      <w:start w:val="22"/>
    </w:lvl>
  </w:abstractNum>
  <w:abstractNum w:abstractNumId="11">
    <w:nsid w:val="1E7FF521"/>
    <w:multiLevelType w:val="hybridMultilevel"/>
    <w:lvl w:ilvl="0">
      <w:lvlJc w:val="left"/>
      <w:lvlText w:val="(%1)"/>
      <w:numFmt w:val="lowerRoman"/>
      <w:start w:val="25"/>
    </w:lvl>
  </w:abstractNum>
  <w:abstractNum w:abstractNumId="12">
    <w:nsid w:val="7C3DBD3D"/>
    <w:multiLevelType w:val="hybridMultilevel"/>
    <w:lvl w:ilvl="0">
      <w:lvlJc w:val="left"/>
      <w:lvlText w:val="(%1)"/>
      <w:numFmt w:val="lowerRoman"/>
      <w:start w:val="29"/>
    </w:lvl>
  </w:abstractNum>
  <w:abstractNum w:abstractNumId="13">
    <w:nsid w:val="737B8DDC"/>
    <w:multiLevelType w:val="hybridMultilevel"/>
    <w:lvl w:ilvl="0">
      <w:lvlJc w:val="left"/>
      <w:lvlText w:val="(%1)"/>
      <w:numFmt w:val="lowerRoman"/>
      <w:start w:val="33"/>
    </w:lvl>
  </w:abstractNum>
  <w:abstractNum w:abstractNumId="14">
    <w:nsid w:val="6CEAF087"/>
    <w:multiLevelType w:val="hybridMultilevel"/>
    <w:lvl w:ilvl="0">
      <w:lvlJc w:val="left"/>
      <w:lvlText w:val="(%1)"/>
      <w:numFmt w:val="lowerLetter"/>
      <w:start w:val="2"/>
    </w:lvl>
  </w:abstractNum>
  <w:abstractNum w:abstractNumId="15">
    <w:nsid w:val="22221A7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6">
    <w:nsid w:val="4516DDE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7">
    <w:nsid w:val="3006C83E"/>
    <w:multiLevelType w:val="hybridMultilevel"/>
    <w:lvl w:ilvl="0">
      <w:lvlJc w:val="left"/>
      <w:lvlText w:val="%1"/>
      <w:numFmt w:val="lowerRoman"/>
      <w:start w:val="1"/>
    </w:lvl>
    <w:lvl w:ilvl="1">
      <w:lvlJc w:val="left"/>
      <w:lvlText w:val="(%2)"/>
      <w:numFmt w:val="lowerRoman"/>
      <w:start w:val="3"/>
    </w:lvl>
  </w:abstractNum>
  <w:abstractNum w:abstractNumId="18">
    <w:nsid w:val="614FD4A1"/>
    <w:multiLevelType w:val="hybridMultilevel"/>
    <w:lvl w:ilvl="0">
      <w:lvlJc w:val="left"/>
      <w:lvlText w:val="(%1)"/>
      <w:numFmt w:val="lowerRoman"/>
      <w:start w:val="3"/>
    </w:lvl>
    <w:lvl w:ilvl="1">
      <w:lvlJc w:val="left"/>
      <w:lvlText w:val="(%2)"/>
      <w:numFmt w:val="lowerRoman"/>
      <w:start w:val="4"/>
    </w:lvl>
  </w:abstractNum>
  <w:abstractNum w:abstractNumId="19">
    <w:nsid w:val="419AC241"/>
    <w:multiLevelType w:val="hybridMultilevel"/>
    <w:lvl w:ilvl="0">
      <w:lvlJc w:val="left"/>
      <w:lvlText w:val="(%1)"/>
      <w:numFmt w:val="lowerRoman"/>
      <w:start w:val="7"/>
    </w:lvl>
  </w:abstractNum>
  <w:abstractNum w:abstractNumId="20">
    <w:nsid w:val="5577F8E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0"/>
    </w:lvl>
  </w:abstractNum>
  <w:abstractNum w:abstractNumId="21">
    <w:nsid w:val="440BADF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2">
    <w:nsid w:val="507236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3">
    <w:nsid w:val="3804823E"/>
    <w:multiLevelType w:val="hybridMultilevel"/>
    <w:lvl w:ilvl="0">
      <w:lvlJc w:val="left"/>
      <w:lvlText w:val="(%1)"/>
      <w:numFmt w:val="lowerLetter"/>
      <w:start w:val="2"/>
    </w:lvl>
    <w:lvl w:ilvl="1">
      <w:lvlJc w:val="left"/>
      <w:lvlText w:val="(%2)"/>
      <w:numFmt w:val="lowerLetter"/>
      <w:start w:val="35"/>
    </w:lvl>
  </w:abstractNum>
  <w:abstractNum w:abstractNumId="24">
    <w:nsid w:val="77465F01"/>
    <w:multiLevelType w:val="hybridMultilevel"/>
    <w:lvl w:ilvl="0">
      <w:lvlJc w:val="left"/>
      <w:lvlText w:val="%1"/>
      <w:numFmt w:val="lowerLetter"/>
      <w:start w:val="1"/>
    </w:lvl>
    <w:lvl w:ilvl="1">
      <w:lvlJc w:val="left"/>
      <w:lvlText w:val="(%2)"/>
      <w:numFmt w:val="lowerLetter"/>
      <w:start w:val="61"/>
    </w:lvl>
  </w:abstractNum>
  <w:abstractNum w:abstractNumId="25">
    <w:nsid w:val="7724C67E"/>
    <w:multiLevelType w:val="hybridMultilevel"/>
    <w:lvl w:ilvl="0">
      <w:lvlJc w:val="left"/>
      <w:lvlText w:val="(%1)"/>
      <w:numFmt w:val="lowerLetter"/>
      <w:start w:val="4"/>
    </w:lvl>
    <w:lvl w:ilvl="1">
      <w:lvlJc w:val="left"/>
      <w:lvlText w:val="%2"/>
      <w:numFmt w:val="lowerLetter"/>
      <w:start w:val="1"/>
    </w:lvl>
  </w:abstractNum>
  <w:abstractNum w:abstractNumId="26">
    <w:nsid w:val="5C482A97"/>
    <w:multiLevelType w:val="hybridMultilevel"/>
    <w:lvl w:ilvl="0">
      <w:lvlJc w:val="left"/>
      <w:lvlText w:val="(%1)"/>
      <w:numFmt w:val="lowerLetter"/>
      <w:start w:val="7"/>
    </w:lvl>
  </w:abstractNum>
  <w:abstractNum w:abstractNumId="27">
    <w:nsid w:val="2463B9EA"/>
    <w:multiLevelType w:val="hybridMultilevel"/>
    <w:lvl w:ilvl="0">
      <w:lvlJc w:val="left"/>
      <w:lvlText w:val="(%1)"/>
      <w:numFmt w:val="lowerLetter"/>
      <w:start w:val="10"/>
    </w:lvl>
  </w:abstractNum>
  <w:abstractNum w:abstractNumId="28">
    <w:nsid w:val="5E884ADC"/>
    <w:multiLevelType w:val="hybridMultilevel"/>
    <w:lvl w:ilvl="0">
      <w:lvlJc w:val="left"/>
      <w:lvlText w:val="%1"/>
      <w:numFmt w:val="upperLetter"/>
      <w:start w:val="1"/>
    </w:lvl>
    <w:lvl w:ilvl="1">
      <w:lvlJc w:val="left"/>
      <w:lvlText w:val="(%2)"/>
      <w:numFmt w:val="lowerLetter"/>
      <w:start w:val="16"/>
    </w:lvl>
  </w:abstractNum>
  <w:abstractNum w:abstractNumId="29">
    <w:nsid w:val="51EAD36B"/>
    <w:multiLevelType w:val="hybridMultilevel"/>
    <w:lvl w:ilvl="0">
      <w:lvlJc w:val="left"/>
      <w:lvlText w:val="(%1)"/>
      <w:numFmt w:val="upperLetter"/>
      <w:start w:val="3"/>
    </w:lvl>
    <w:lvl w:ilvl="1">
      <w:lvlJc w:val="left"/>
      <w:lvlText w:val="(%2)"/>
      <w:numFmt w:val="lowerLetter"/>
      <w:start w:val="17"/>
    </w:lvl>
  </w:abstractNum>
  <w:abstractNum w:abstractNumId="30">
    <w:nsid w:val="2D517796"/>
    <w:multiLevelType w:val="hybridMultilevel"/>
    <w:lvl w:ilvl="0">
      <w:lvlJc w:val="left"/>
      <w:lvlText w:val="(%1)"/>
      <w:numFmt w:val="lowerLetter"/>
      <w:start w:val="18"/>
    </w:lvl>
    <w:lvl w:ilvl="1">
      <w:lvlJc w:val="left"/>
      <w:lvlText w:val="(%2)"/>
      <w:numFmt w:val="lowerRoman"/>
      <w:start w:val="1"/>
    </w:lvl>
  </w:abstractNum>
  <w:abstractNum w:abstractNumId="31">
    <w:nsid w:val="580BD78F"/>
    <w:multiLevelType w:val="hybridMultilevel"/>
    <w:lvl w:ilvl="0">
      <w:lvlJc w:val="left"/>
      <w:lvlText w:val="%1"/>
      <w:numFmt w:val="lowerLetter"/>
      <w:start w:val="1"/>
    </w:lvl>
    <w:lvl w:ilvl="1">
      <w:lvlJc w:val="left"/>
      <w:lvlText w:val="(%2)"/>
      <w:numFmt w:val="lowerLetter"/>
      <w:start w:val="22"/>
    </w:lvl>
  </w:abstractNum>
  <w:abstractNum w:abstractNumId="32">
    <w:nsid w:val="153EA438"/>
    <w:multiLevelType w:val="hybridMultilevel"/>
    <w:lvl w:ilvl="0">
      <w:lvlJc w:val="left"/>
      <w:lvlText w:val="(%1)"/>
      <w:numFmt w:val="lowerLetter"/>
      <w:start w:val="19"/>
    </w:lvl>
    <w:lvl w:ilvl="1">
      <w:lvlJc w:val="left"/>
      <w:lvlText w:val="%2"/>
      <w:numFmt w:val="lowerLetter"/>
      <w:start w:val="1"/>
    </w:lvl>
  </w:abstractNum>
  <w:abstractNum w:abstractNumId="33">
    <w:nsid w:val="3855585C"/>
    <w:multiLevelType w:val="hybridMultilevel"/>
    <w:lvl w:ilvl="0">
      <w:lvlJc w:val="left"/>
      <w:lvlText w:val="(%1)"/>
      <w:numFmt w:val="lowerLetter"/>
      <w:start w:val="25"/>
    </w:lvl>
  </w:abstractNum>
  <w:abstractNum w:abstractNumId="34">
    <w:nsid w:val="70A64E2A"/>
    <w:multiLevelType w:val="hybridMultilevel"/>
    <w:lvl w:ilvl="0">
      <w:lvlJc w:val="left"/>
      <w:lvlText w:val="%1"/>
      <w:numFmt w:val="decimal"/>
      <w:start w:val="1"/>
    </w:lvl>
    <w:lvl w:ilvl="1">
      <w:lvlJc w:val="left"/>
      <w:lvlText w:val="(%2)"/>
      <w:numFmt w:val="lowerLetter"/>
      <w:start w:val="27"/>
    </w:lvl>
  </w:abstractNum>
  <w:abstractNum w:abstractNumId="35">
    <w:nsid w:val="6A2342EC"/>
    <w:multiLevelType w:val="hybridMultilevel"/>
    <w:lvl w:ilvl="0">
      <w:lvlJc w:val="left"/>
      <w:lvlText w:val="%1."/>
      <w:numFmt w:val="decimal"/>
      <w:start w:val="4"/>
    </w:lvl>
    <w:lvl w:ilvl="1">
      <w:lvlJc w:val="left"/>
      <w:lvlText w:val="(%2)"/>
      <w:numFmt w:val="lowerLetter"/>
      <w:start w:val="1"/>
    </w:lvl>
  </w:abstractNum>
  <w:abstractNum w:abstractNumId="36">
    <w:nsid w:val="2A487CB0"/>
    <w:multiLevelType w:val="hybridMultilevel"/>
    <w:lvl w:ilvl="0">
      <w:lvlJc w:val="left"/>
      <w:lvlText w:val="%1"/>
      <w:numFmt w:val="lowerLetter"/>
      <w:start w:val="1"/>
    </w:lvl>
    <w:lvl w:ilvl="1">
      <w:lvlJc w:val="left"/>
      <w:lvlText w:val="(%2)"/>
      <w:numFmt w:val="lowerLetter"/>
      <w:start w:val="2"/>
    </w:lvl>
  </w:abstractNum>
  <w:abstractNum w:abstractNumId="37">
    <w:nsid w:val="1D4ED43B"/>
    <w:multiLevelType w:val="hybridMultilevel"/>
    <w:lvl w:ilvl="0">
      <w:lvlJc w:val="left"/>
      <w:lvlText w:val="(%1)"/>
      <w:numFmt w:val="lowerLetter"/>
      <w:start w:val="9"/>
    </w:lvl>
    <w:lvl w:ilvl="1">
      <w:lvlJc w:val="left"/>
      <w:lvlText w:val="(%2)"/>
      <w:numFmt w:val="lowerLetter"/>
      <w:start w:val="3"/>
    </w:lvl>
  </w:abstractNum>
  <w:abstractNum w:abstractNumId="38">
    <w:nsid w:val="725A06F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35"/>
    </w:lvl>
  </w:abstractNum>
  <w:abstractNum w:abstractNumId="39">
    <w:nsid w:val="2CD89A32"/>
    <w:multiLevelType w:val="hybridMultilevel"/>
    <w:lvl w:ilvl="0">
      <w:lvlJc w:val="left"/>
      <w:lvlText w:val="(%1)"/>
      <w:numFmt w:val="lowerRoman"/>
      <w:start w:val="3"/>
    </w:lvl>
  </w:abstractNum>
  <w:abstractNum w:abstractNumId="40">
    <w:nsid w:val="57E4CCAF"/>
    <w:multiLevelType w:val="hybridMultilevel"/>
    <w:lvl w:ilvl="0">
      <w:lvlJc w:val="left"/>
      <w:lvlText w:val="(%1)"/>
      <w:numFmt w:val="lowerLetter"/>
      <w:start w:val="2"/>
    </w:lvl>
    <w:lvl w:ilvl="1">
      <w:lvlJc w:val="left"/>
      <w:lvlText w:val="(%2)"/>
      <w:numFmt w:val="lowerLetter"/>
      <w:start w:val="35"/>
    </w:lvl>
  </w:abstractNum>
  <w:abstractNum w:abstractNumId="41">
    <w:nsid w:val="7A6D8D3C"/>
    <w:multiLevelType w:val="hybridMultilevel"/>
    <w:lvl w:ilvl="0">
      <w:lvlJc w:val="left"/>
      <w:lvlText w:val="%1"/>
      <w:numFmt w:val="decimal"/>
      <w:start w:val="1"/>
    </w:lvl>
    <w:lvl w:ilvl="1">
      <w:lvlJc w:val="left"/>
      <w:lvlText w:val="(%2)"/>
      <w:numFmt w:val="lowerLetter"/>
      <w:start w:val="4"/>
    </w:lvl>
  </w:abstractNum>
  <w:abstractNum w:abstractNumId="42">
    <w:nsid w:val="4B588F54"/>
    <w:multiLevelType w:val="hybridMultilevel"/>
    <w:lvl w:ilvl="0">
      <w:lvlJc w:val="left"/>
      <w:lvlText w:val="%1."/>
      <w:numFmt w:val="decimal"/>
      <w:start w:val="6"/>
    </w:lvl>
    <w:lvl w:ilvl="1">
      <w:lvlJc w:val="left"/>
      <w:lvlText w:val="(%2)"/>
      <w:numFmt w:val="lowerLetter"/>
      <w:start w:val="1"/>
    </w:lvl>
  </w:abstractNum>
  <w:abstractNum w:abstractNumId="43">
    <w:nsid w:val="542289EC"/>
    <w:multiLevelType w:val="hybridMultilevel"/>
    <w:lvl w:ilvl="0">
      <w:lvlJc w:val="left"/>
      <w:lvlText w:val="%1"/>
      <w:numFmt w:val="decimal"/>
      <w:start w:val="1"/>
    </w:lvl>
    <w:lvl w:ilvl="1">
      <w:lvlJc w:val="left"/>
      <w:lvlText w:val="(%2)"/>
      <w:numFmt w:val="lowerLetter"/>
      <w:start w:val="3"/>
    </w:lvl>
  </w:abstractNum>
  <w:abstractNum w:abstractNumId="44">
    <w:nsid w:val="6DE91B18"/>
    <w:multiLevelType w:val="hybridMultilevel"/>
    <w:lvl w:ilvl="0">
      <w:lvlJc w:val="left"/>
      <w:lvlText w:val="%1."/>
      <w:numFmt w:val="decimal"/>
      <w:start w:val="8"/>
    </w:lvl>
    <w:lvl w:ilvl="1">
      <w:lvlJc w:val="left"/>
      <w:lvlText w:val="%2"/>
      <w:numFmt w:val="lowerLetter"/>
      <w:start w:val="1"/>
    </w:lvl>
  </w:abstractNum>
  <w:abstractNum w:abstractNumId="45">
    <w:nsid w:val="38437FDB"/>
    <w:multiLevelType w:val="hybridMultilevel"/>
    <w:lvl w:ilvl="0">
      <w:lvlJc w:val="left"/>
      <w:lvlText w:val="%1."/>
      <w:numFmt w:val="decimal"/>
      <w:start w:val="9"/>
    </w:lvl>
  </w:abstractNum>
  <w:abstractNum w:abstractNumId="46">
    <w:nsid w:val="7644A45C"/>
    <w:multiLevelType w:val="hybridMultilevel"/>
    <w:lvl w:ilvl="0">
      <w:lvlJc w:val="left"/>
      <w:lvlText w:val="%1."/>
      <w:numFmt w:val="decimal"/>
      <w:start w:val="10"/>
    </w:lvl>
  </w:abstractNum>
  <w:abstractNum w:abstractNumId="47">
    <w:nsid w:val="32FFF902"/>
    <w:multiLevelType w:val="hybridMultilevel"/>
    <w:lvl w:ilvl="0">
      <w:lvlJc w:val="left"/>
      <w:lvlText w:val="%1."/>
      <w:numFmt w:val="decimal"/>
      <w:start w:val="1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2026-06-12T15:16:09Z</dcterms:created>
  <dcterms:modified xsi:type="dcterms:W3CDTF">2026-06-12T15:16:09Z</dcterms:modified>
</cp:coreProperties>
</file>