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C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val="false"/>
          <w:i w:val="false"/>
          <w:caps w:val="false"/>
          <w:smallCaps w:val="false"/>
          <w:sz w:val="20"/>
        </w:rPr>
        <w:t xml:space="preserve">June 30, </w:t>
      </w:r>
      <w:bookmarkStart w:id="5" w:name="xdx_90E_edei--DocumentFiscalYearFocus_c2"/>
      <w:bookmarkEnd w:id="5"/>
      <w:r>
        <w:rPr>
          <w:rFonts w:ascii="Times New Roman;Times;Serif" w:hAnsi="Times New Roman;Times;Serif"/>
          <w:b w:val="false"/>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2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 to 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7_edei--EntityFileNumber_c20260101"/>
      <w:bookmarkEnd w:id="7"/>
      <w:r>
        <w:rPr>
          <w:rFonts w:ascii="Times New Roman;Times;Serif" w:hAnsi="Times New Roman;Times;Serif"/>
          <w:b/>
          <w:i w:val="false"/>
          <w:caps w:val="false"/>
          <w:smallCaps w:val="false"/>
          <w:sz w:val="20"/>
        </w:rPr>
        <w:t>001-42645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F_edei--EntityRegistrantName_c2026"/>
      <w:bookmarkEnd w:id="8"/>
      <w:r>
        <w:rPr>
          <w:rFonts w:ascii="Times New Roman;Times;Serif" w:hAnsi="Times New Roman;Times;Serif"/>
          <w:b/>
          <w:i w:val="false"/>
          <w:caps w:val="false"/>
          <w:smallCaps w:val="false"/>
          <w:sz w:val="36"/>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705"/>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9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TaxIdentificationNum"/>
            <w:bookmarkEnd w:id="10"/>
            <w:r>
              <w:rPr>
                <w:rFonts w:ascii="Times New Roman;Times;Serif" w:hAnsi="Times New Roman;Times;Serif"/>
                <w:b/>
                <w:i w:val="false"/>
                <w:caps w:val="false"/>
                <w:smallCaps w:val="false"/>
                <w:sz w:val="20"/>
              </w:rPr>
              <w:t>85-0935006</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215"/>
        <w:gridCol w:w="60"/>
        <w:gridCol w:w="87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7_edei--EntityAddressAddressLine1_"/>
            <w:bookmarkEnd w:id="11"/>
            <w:r>
              <w:rPr>
                <w:rFonts w:ascii="Times New Roman;Times;Serif" w:hAnsi="Times New Roman;Times;Serif"/>
                <w:b/>
                <w:i w:val="false"/>
                <w:caps w:val="false"/>
                <w:smallCaps w:val="false"/>
                <w:sz w:val="20"/>
              </w:rPr>
              <w:t>9100 Fall View Drive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E_edei--EntityAddressCityOrTown_c2"/>
            <w:bookmarkEnd w:id="12"/>
            <w:r>
              <w:rPr>
                <w:rFonts w:ascii="Times New Roman;Times;Serif" w:hAnsi="Times New Roman;Times;Serif"/>
                <w:b/>
                <w:i w:val="false"/>
                <w:caps w:val="false"/>
                <w:smallCaps w:val="false"/>
                <w:sz w:val="20"/>
              </w:rPr>
              <w:t xml:space="preserve">Fishers, </w:t>
            </w:r>
            <w:bookmarkStart w:id="13" w:name="xdx_90E_edei--EntityAddressStateOrProvin"/>
            <w:bookmarkEnd w:id="13"/>
            <w:r>
              <w:rPr>
                <w:rFonts w:ascii="Times New Roman;Times;Serif" w:hAnsi="Times New Roman;Times;Serif"/>
                <w:b/>
                <w:i w:val="false"/>
                <w:caps w:val="false"/>
                <w:smallCaps w:val="false"/>
                <w:sz w:val="20"/>
              </w:rPr>
              <w:t>Indiana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B_edei--EntityAddressPostalZipCode"/>
            <w:bookmarkEnd w:id="14"/>
            <w:r>
              <w:rPr>
                <w:rFonts w:ascii="Times New Roman;Times;Serif" w:hAnsi="Times New Roman;Times;Serif"/>
                <w:b/>
                <w:i w:val="false"/>
                <w:caps w:val="false"/>
                <w:smallCaps w:val="false"/>
                <w:sz w:val="20"/>
              </w:rPr>
              <w:t>46037</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xdx_908_edei--CityAreaCode_c20260101__20"/>
      <w:bookmarkEnd w:id="15"/>
      <w:r>
        <w:rPr>
          <w:rFonts w:ascii="Times New Roman;Times;Serif" w:hAnsi="Times New Roman;Times;Serif"/>
          <w:b/>
          <w:i w:val="false"/>
          <w:caps w:val="false"/>
          <w:smallCaps w:val="false"/>
          <w:sz w:val="20"/>
        </w:rPr>
        <w:t xml:space="preserve">(463) </w:t>
      </w:r>
      <w:bookmarkStart w:id="16" w:name="xdx_90E_edei--LocalPhoneNumber_c20260101"/>
      <w:bookmarkEnd w:id="16"/>
      <w:r>
        <w:rPr>
          <w:rFonts w:ascii="Times New Roman;Times;Serif" w:hAnsi="Times New Roman;Times;Serif"/>
          <w:b/>
          <w:i w:val="false"/>
          <w:caps w:val="false"/>
          <w:smallCaps w:val="false"/>
          <w:sz w:val="20"/>
        </w:rPr>
        <w:t>270-0092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w:t>
      </w:r>
    </w:p>
    <w:p>
      <w:pPr>
        <w:pStyle w:val="TextBody"/>
        <w:bidi w:val="0"/>
        <w:spacing w:before="0" w:after="0"/>
        <w:ind w:left="0" w:right="0" w:firstLine="360"/>
        <w:jc w:val="left"/>
        <w:rPr>
          <w:caps w:val="false"/>
          <w:smallCaps w:val="false"/>
        </w:rPr>
      </w:pPr>
      <w:r>
        <w:rPr>
          <w:caps w:val="false"/>
          <w:smallCaps w:val="false"/>
        </w:rPr>
        <w:t> </w:t>
      </w:r>
    </w:p>
    <w:tbl>
      <w:tblPr>
        <w:tblW w:w="1175" w:type="dxa"/>
        <w:jc w:val="left"/>
        <w:tblInd w:w="0" w:type="dxa"/>
        <w:tblLayout w:type="fixed"/>
        <w:tblCellMar>
          <w:top w:w="0" w:type="dxa"/>
          <w:left w:w="0" w:type="dxa"/>
          <w:bottom w:w="0" w:type="dxa"/>
          <w:right w:w="0" w:type="dxa"/>
        </w:tblCellMar>
      </w:tblPr>
      <w:tblGrid>
        <w:gridCol w:w="335"/>
        <w:gridCol w:w="230"/>
        <w:gridCol w:w="60"/>
        <w:gridCol w:w="305"/>
        <w:gridCol w:w="245"/>
      </w:tblGrid>
      <w:tr>
        <w:trPr/>
        <w:tc>
          <w:tcPr>
            <w:tcW w:w="3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7" w:name="xdx_906_edei--EntityCurrentReportingStat"/>
            <w:bookmarkEnd w:id="17"/>
            <w:r>
              <w:rPr>
                <w:rFonts w:ascii="Times New Roman;Times;Serif" w:hAnsi="Times New Roman;Times;Serif"/>
                <w:b/>
                <w:i w:val="false"/>
                <w:caps w:val="false"/>
                <w:smallCaps w:val="false"/>
                <w:sz w:val="20"/>
              </w:rPr>
              <w:t>Yes</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pStyle w:val="TextBody"/>
        <w:bidi w:val="0"/>
        <w:spacing w:before="0" w:after="0"/>
        <w:ind w:left="0" w:right="0" w:firstLine="360"/>
        <w:jc w:val="left"/>
        <w:rPr>
          <w:caps w:val="false"/>
          <w:smallCaps w:val="false"/>
        </w:rPr>
      </w:pPr>
      <w:r>
        <w:rPr>
          <w:caps w:val="false"/>
          <w:smallCaps w:val="false"/>
        </w:rPr>
        <w:t> </w:t>
      </w:r>
    </w:p>
    <w:tbl>
      <w:tblPr>
        <w:tblW w:w="1175" w:type="dxa"/>
        <w:jc w:val="left"/>
        <w:tblInd w:w="0" w:type="dxa"/>
        <w:tblLayout w:type="fixed"/>
        <w:tblCellMar>
          <w:top w:w="0" w:type="dxa"/>
          <w:left w:w="0" w:type="dxa"/>
          <w:bottom w:w="0" w:type="dxa"/>
          <w:right w:w="0" w:type="dxa"/>
        </w:tblCellMar>
      </w:tblPr>
      <w:tblGrid>
        <w:gridCol w:w="335"/>
        <w:gridCol w:w="230"/>
        <w:gridCol w:w="60"/>
        <w:gridCol w:w="305"/>
        <w:gridCol w:w="245"/>
      </w:tblGrid>
      <w:tr>
        <w:trPr/>
        <w:tc>
          <w:tcPr>
            <w:tcW w:w="3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8" w:name="xdx_906_edei--EntityInteractiveDataCurre"/>
            <w:bookmarkEnd w:id="18"/>
            <w:r>
              <w:rPr>
                <w:rFonts w:ascii="Times New Roman;Times;Serif" w:hAnsi="Times New Roman;Times;Serif"/>
                <w:b/>
                <w:i w:val="false"/>
                <w:caps w:val="false"/>
                <w:smallCaps w:val="false"/>
                <w:sz w:val="20"/>
              </w:rPr>
              <w:t>Yes</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or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2480"/>
        <w:gridCol w:w="230"/>
        <w:gridCol w:w="2345"/>
        <w:gridCol w:w="230"/>
        <w:gridCol w:w="1850"/>
        <w:gridCol w:w="245"/>
      </w:tblGrid>
      <w:tr>
        <w:trPr/>
        <w:tc>
          <w:tcPr>
            <w:tcW w:w="24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Large Accelerated Filer</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Accelerated filer </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1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9" w:name="xdx_90C_edei--EntityFilerCategory_c20260"/>
            <w:bookmarkEnd w:id="19"/>
            <w:r>
              <w:rPr>
                <w:rFonts w:ascii="Times New Roman;Times;Serif" w:hAnsi="Times New Roman;Times;Serif"/>
                <w:b/>
                <w:i w:val="false"/>
                <w:caps w:val="false"/>
                <w:smallCaps w:val="false"/>
                <w:sz w:val="20"/>
              </w:rPr>
              <w:t xml:space="preserve">Non-accelerated filer </w:t>
            </w:r>
          </w:p>
        </w:tc>
        <w:tc>
          <w:tcPr>
            <w:tcW w:w="245"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24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tc>
        <w:tc>
          <w:tcPr>
            <w:tcW w:w="230" w:type="dxa"/>
            <w:tcBorders/>
            <w:vAlign w:val="center"/>
          </w:tcPr>
          <w:p>
            <w:pPr>
              <w:pStyle w:val="TableContents"/>
              <w:bidi w:val="0"/>
              <w:spacing w:before="0" w:after="283"/>
              <w:jc w:val="center"/>
              <w:rPr>
                <w:caps w:val="false"/>
                <w:smallCaps w:val="false"/>
              </w:rPr>
            </w:pPr>
            <w:bookmarkStart w:id="20" w:name="xdx_908_edei--EntitySmallBusiness_c20260"/>
            <w:bookmarkEnd w:id="20"/>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tc>
        <w:tc>
          <w:tcPr>
            <w:tcW w:w="230" w:type="dxa"/>
            <w:tcBorders/>
            <w:vAlign w:val="center"/>
          </w:tcPr>
          <w:p>
            <w:pPr>
              <w:pStyle w:val="TableContents"/>
              <w:bidi w:val="0"/>
              <w:spacing w:before="0" w:after="283"/>
              <w:jc w:val="center"/>
              <w:rPr>
                <w:caps w:val="false"/>
                <w:smallCaps w:val="false"/>
              </w:rPr>
            </w:pPr>
            <w:bookmarkStart w:id="21" w:name="xdx_906_edei--EntityEmergingGrowthCompan"/>
            <w:bookmarkEnd w:id="21"/>
            <w:r>
              <w:rPr>
                <w:caps w:val="false"/>
                <w:smallCaps w:val="false"/>
              </w:rPr>
              <w:t>☒</w:t>
            </w:r>
          </w:p>
        </w:tc>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1175" w:type="dxa"/>
        <w:jc w:val="left"/>
        <w:tblInd w:w="0" w:type="dxa"/>
        <w:tblLayout w:type="fixed"/>
        <w:tblCellMar>
          <w:top w:w="0" w:type="dxa"/>
          <w:left w:w="0" w:type="dxa"/>
          <w:bottom w:w="0" w:type="dxa"/>
          <w:right w:w="0" w:type="dxa"/>
        </w:tblCellMar>
      </w:tblPr>
      <w:tblGrid>
        <w:gridCol w:w="335"/>
        <w:gridCol w:w="230"/>
        <w:gridCol w:w="60"/>
        <w:gridCol w:w="305"/>
        <w:gridCol w:w="245"/>
      </w:tblGrid>
      <w:tr>
        <w:trPr/>
        <w:tc>
          <w:tcPr>
            <w:tcW w:w="3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Yes</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w:t>
            </w:r>
          </w:p>
        </w:tc>
        <w:tc>
          <w:tcPr>
            <w:tcW w:w="245" w:type="dxa"/>
            <w:tcBorders/>
            <w:vAlign w:val="center"/>
          </w:tcPr>
          <w:p>
            <w:pPr>
              <w:pStyle w:val="TableContents"/>
              <w:bidi w:val="0"/>
              <w:spacing w:before="0" w:after="283"/>
              <w:jc w:val="left"/>
              <w:rPr>
                <w:caps w:val="false"/>
                <w:smallCaps w:val="false"/>
              </w:rPr>
            </w:pPr>
            <w:bookmarkStart w:id="23" w:name="xdx_90B_edei--EntityShellCompany_dbF_c20"/>
            <w:bookmarkEnd w:id="23"/>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9015" w:type="dxa"/>
        <w:jc w:val="left"/>
        <w:tblInd w:w="0" w:type="dxa"/>
        <w:tblLayout w:type="fixed"/>
        <w:tblCellMar>
          <w:top w:w="0" w:type="dxa"/>
          <w:left w:w="0" w:type="dxa"/>
          <w:bottom w:w="28" w:type="dxa"/>
          <w:right w:w="0" w:type="dxa"/>
        </w:tblCellMar>
      </w:tblPr>
      <w:tblGrid>
        <w:gridCol w:w="3575"/>
        <w:gridCol w:w="60"/>
        <w:gridCol w:w="1610"/>
        <w:gridCol w:w="60"/>
        <w:gridCol w:w="3710"/>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12bTitle_c20260101"/>
            <w:bookmarkEnd w:id="24"/>
            <w:r>
              <w:rPr>
                <w:rFonts w:ascii="Times New Roman;Times;Serif" w:hAnsi="Times New Roman;Times;Serif"/>
                <w:b w:val="false"/>
                <w:i w:val="false"/>
                <w:caps w:val="false"/>
                <w:smallCaps w:val="false"/>
                <w:sz w:val="20"/>
              </w:rPr>
              <w:t>Common Stock par value $0.0002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D_edei--TradingSymbol_c20260101__2"/>
            <w:bookmarkEnd w:id="25"/>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6" w:name="xdx_90E_edei--SecurityExchangeName_c2026"/>
            <w:bookmarkEnd w:id="26"/>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registrant’s common stock, par value $</w:t>
      </w:r>
      <w:bookmarkStart w:id="27" w:name="xdx_909_edei--EntityListingParValuePerSh"/>
      <w:bookmarkEnd w:id="27"/>
      <w:r>
        <w:rPr>
          <w:rFonts w:ascii="Times New Roman;Times;Serif" w:hAnsi="Times New Roman;Times;Serif"/>
          <w:b w:val="false"/>
          <w:i w:val="false"/>
          <w:caps w:val="false"/>
          <w:smallCaps w:val="false"/>
          <w:sz w:val="20"/>
        </w:rPr>
        <w:t xml:space="preserve">0.0002 per share, outstanding as of August 5, 2026, was </w:t>
      </w:r>
      <w:bookmarkStart w:id="28" w:name="xdx_90D_edei--EntityCommonStockSharesOut"/>
      <w:bookmarkEnd w:id="28"/>
      <w:r>
        <w:rPr>
          <w:rFonts w:ascii="Times New Roman;Times;Serif" w:hAnsi="Times New Roman;Times;Serif"/>
          <w:b w:val="false"/>
          <w:i w:val="false"/>
          <w:caps w:val="false"/>
          <w:smallCaps w:val="false"/>
          <w:sz w:val="20"/>
        </w:rPr>
        <w:t>51,876,209.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895"/>
        <w:gridCol w:w="620"/>
      </w:tblGrid>
      <w:tr>
        <w:trPr/>
        <w:tc>
          <w:tcPr>
            <w:tcW w:w="7895" w:type="dxa"/>
            <w:tcBorders/>
            <w:vAlign w:val="center"/>
          </w:tcPr>
          <w:p>
            <w:pPr>
              <w:pStyle w:val="TableContents"/>
              <w:bidi w:val="0"/>
              <w:spacing w:before="0" w:after="283"/>
              <w:jc w:val="left"/>
              <w:rPr>
                <w:sz w:val="4"/>
                <w:szCs w:val="4"/>
              </w:rPr>
            </w:pPr>
            <w:r>
              <w:rPr>
                <w:sz w:val="4"/>
                <w:szCs w:val="4"/>
              </w:rPr>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Page(s)</w:t>
            </w:r>
          </w:p>
        </w:tc>
      </w:tr>
      <w:tr>
        <w:trPr/>
        <w:tc>
          <w:tcPr>
            <w:tcW w:w="789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PART I. FINANCIAL INFORMATION</w:t>
              </w:r>
            </w:hyperlink>
          </w:p>
        </w:tc>
        <w:tc>
          <w:tcPr>
            <w:tcW w:w="6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8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Financial Statements (unaudited)</w:t>
              </w:r>
            </w:hyperlink>
          </w:p>
        </w:tc>
        <w:tc>
          <w:tcPr>
            <w:tcW w:w="6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8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Balance Sheets</w:t>
              </w:r>
            </w:hyperlink>
          </w:p>
        </w:tc>
        <w:tc>
          <w:tcPr>
            <w:tcW w:w="6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8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Statements of Operations</w:t>
              </w:r>
            </w:hyperlink>
          </w:p>
        </w:tc>
        <w:tc>
          <w:tcPr>
            <w:tcW w:w="6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89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Statements of Changes in Stockholders’ Equity</w:t>
              </w:r>
            </w:hyperlink>
          </w:p>
        </w:tc>
        <w:tc>
          <w:tcPr>
            <w:tcW w:w="6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89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Statements of Cash Flows</w:t>
              </w:r>
            </w:hyperlink>
          </w:p>
        </w:tc>
        <w:tc>
          <w:tcPr>
            <w:tcW w:w="6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8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Condensed Notes to Unaudited Financial Statements</w:t>
              </w:r>
            </w:hyperlink>
          </w:p>
        </w:tc>
        <w:tc>
          <w:tcPr>
            <w:tcW w:w="6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w:t>
            </w:r>
          </w:p>
        </w:tc>
      </w:tr>
      <w:tr>
        <w:trPr/>
        <w:tc>
          <w:tcPr>
            <w:tcW w:w="789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89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89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4. Controls and Procedures</w:t>
              </w:r>
            </w:hyperlink>
          </w:p>
        </w:tc>
        <w:tc>
          <w:tcPr>
            <w:tcW w:w="6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89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PART II. OTHER INFORMATION</w:t>
              </w:r>
            </w:hyperlink>
          </w:p>
        </w:tc>
        <w:tc>
          <w:tcPr>
            <w:tcW w:w="6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89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Item 1. Legal Proceedings</w:t>
              </w:r>
            </w:hyperlink>
          </w:p>
        </w:tc>
        <w:tc>
          <w:tcPr>
            <w:tcW w:w="6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89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1A. Risk Factors</w:t>
              </w:r>
            </w:hyperlink>
          </w:p>
        </w:tc>
        <w:tc>
          <w:tcPr>
            <w:tcW w:w="6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89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6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89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3. Defaults Upon Senior Securities</w:t>
              </w:r>
            </w:hyperlink>
          </w:p>
        </w:tc>
        <w:tc>
          <w:tcPr>
            <w:tcW w:w="6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89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4. Mine Safety Disclosures</w:t>
              </w:r>
            </w:hyperlink>
          </w:p>
        </w:tc>
        <w:tc>
          <w:tcPr>
            <w:tcW w:w="6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8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Item 5. Other Information</w:t>
              </w:r>
            </w:hyperlink>
          </w:p>
        </w:tc>
        <w:tc>
          <w:tcPr>
            <w:tcW w:w="6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89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Item 6. Exhibits</w:t>
              </w:r>
            </w:hyperlink>
          </w:p>
        </w:tc>
        <w:tc>
          <w:tcPr>
            <w:tcW w:w="6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We have based these forward-looking statements largely on our current expectations and projections about future events and financial trends impacting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all statements that are not historical facts.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and enforce our intellectual property protection and the scope and duration of such protection;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parties, including suppliers, delivery platforms, brand sponsors, software providers and service providers;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products at a large scale;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industry in which we operate, which is subject to rapid technological 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the full funds under the existing convertible note payable facility;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develop our technology and scale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and projections relating to our competitors and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control the costs associated with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current and future laws and regulations, especially those related to autonomous delivery;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cybersecurity risks to our operational systems, infrastructure, and integrated software by us or third-party vendors;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including those listed in our Annual Report on Form 10-K for the year ended December 31, 2025, including the factors described in the section entitled “Item 1A – Risk Factors.”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the underlying assumptions prove incorrect, actual results may differ significantly from those anticipated, believed, estimated, expected, intended or planned.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or events that could cause our actual results to differ may emerge from time to time, and it is not possible for us to predict all of them. We cannot guarantee future results, levels of activity, performance or achievements. Accordingly, the forward-looking statements in this Quarterly Report on Form 10-Q should not be regarded as representations that the results or conditions described in such statements will occur or that our objectives and plans will be achieved, and we do not assume any responsibility for the accuracy or completeness of any of these forward-looking statements.</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a_001"/>
      <w:bookmarkEnd w:id="29"/>
      <w:r>
        <w:rPr>
          <w:rFonts w:ascii="Times New Roman;Times;Serif" w:hAnsi="Times New Roman;Times;Serif"/>
          <w:b/>
          <w:i w:val="false"/>
          <w:caps w:val="false"/>
          <w:smallCaps w:val="false"/>
          <w:sz w:val="20"/>
        </w:rPr>
        <w:t>PART I -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02"/>
      <w:bookmarkEnd w:id="30"/>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1" w:name="a_003"/>
      <w:bookmarkEnd w:id="31"/>
      <w:r>
        <w:rPr>
          <w:rFonts w:ascii="Times New Roman;Times;Serif" w:hAnsi="Times New Roman;Times;Serif"/>
          <w:b w:val="false"/>
          <w:i w:val="false"/>
          <w:caps w:val="false"/>
          <w:smallCaps w:val="false"/>
          <w:sz w:val="20"/>
        </w:rPr>
        <w:t>CONDENSED BALANCE SHEETS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E_111_ztMk26NV4hPd"/>
      <w:bookmarkStart w:id="33" w:name="xdx_30E_111_ztMk26NV4hPd"/>
      <w:bookmarkEnd w:id="33"/>
    </w:p>
    <w:tbl>
      <w:tblPr>
        <w:tblW w:w="10205" w:type="dxa"/>
        <w:jc w:val="left"/>
        <w:tblInd w:w="0" w:type="dxa"/>
        <w:tblLayout w:type="fixed"/>
        <w:tblCellMar>
          <w:top w:w="0" w:type="dxa"/>
          <w:left w:w="0" w:type="dxa"/>
          <w:bottom w:w="0" w:type="dxa"/>
          <w:right w:w="0" w:type="dxa"/>
        </w:tblCellMar>
      </w:tblPr>
      <w:tblGrid>
        <w:gridCol w:w="6963"/>
        <w:gridCol w:w="60"/>
        <w:gridCol w:w="143"/>
        <w:gridCol w:w="1209"/>
        <w:gridCol w:w="95"/>
        <w:gridCol w:w="60"/>
        <w:gridCol w:w="166"/>
        <w:gridCol w:w="1396"/>
        <w:gridCol w:w="113"/>
      </w:tblGrid>
      <w:tr>
        <w:trPr/>
        <w:tc>
          <w:tcPr>
            <w:tcW w:w="69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1_20260630_z83guwCjBN97"/>
            <w:bookmarkEnd w:id="34"/>
          </w:p>
        </w:tc>
        <w:tc>
          <w:tcPr>
            <w:tcW w:w="13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7_20251231_zxRX9uDEw1o8"/>
            <w:bookmarkEnd w:id="35"/>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2"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2"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bookmarkStart w:id="36" w:name="xdx_40D_eus-gaap--AssetsAbstract_iB_zyBQ"/>
            <w:bookmarkEnd w:id="36"/>
          </w:p>
        </w:tc>
      </w:tr>
      <w:tr>
        <w:trPr/>
        <w:tc>
          <w:tcPr>
            <w:tcW w:w="6963"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7" w:name="xdx_402_eus-gaap--AssetsCurrentAbstract_"/>
            <w:bookmarkEnd w:id="37"/>
          </w:p>
        </w:tc>
      </w:tr>
      <w:tr>
        <w:trPr/>
        <w:tc>
          <w:tcPr>
            <w:tcW w:w="6963"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8" w:name="xdx_400_eus-gaap--CashAndCashEquivalents"/>
            <w:bookmarkEnd w:id="38"/>
          </w:p>
        </w:tc>
      </w:tr>
      <w:tr>
        <w:trPr/>
        <w:tc>
          <w:tcPr>
            <w:tcW w:w="696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2,976,535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96" w:type="dxa"/>
            <w:tcBorders/>
            <w:shd w:fill="CCEEFF" w:val="clear"/>
            <w:vAlign w:val="center"/>
          </w:tcPr>
          <w:p>
            <w:pPr>
              <w:pStyle w:val="TableContents"/>
              <w:bidi w:val="0"/>
              <w:spacing w:before="0" w:after="283"/>
              <w:jc w:val="right"/>
              <w:rPr/>
            </w:pPr>
            <w:r>
              <w:rPr/>
              <w:t>2,104,004</w:t>
            </w:r>
          </w:p>
        </w:tc>
        <w:tc>
          <w:tcPr>
            <w:tcW w:w="113" w:type="dxa"/>
            <w:tcBorders/>
            <w:shd w:fill="CCEEFF" w:val="clear"/>
            <w:vAlign w:val="center"/>
          </w:tcPr>
          <w:p>
            <w:pPr>
              <w:pStyle w:val="TableContents"/>
              <w:bidi w:val="0"/>
              <w:spacing w:before="0" w:after="283"/>
              <w:jc w:val="left"/>
              <w:rPr/>
            </w:pPr>
            <w:r>
              <w:rPr/>
              <w:t> </w:t>
            </w:r>
            <w:bookmarkStart w:id="39" w:name="xdx_40E_eus-gaap--ShortTermInvestments_i"/>
            <w:bookmarkEnd w:id="39"/>
          </w:p>
        </w:tc>
      </w:tr>
      <w:tr>
        <w:trPr/>
        <w:tc>
          <w:tcPr>
            <w:tcW w:w="6963" w:type="dxa"/>
            <w:tcBorders/>
            <w:shd w:fill="FFFFFF" w:val="clear"/>
            <w:vAlign w:val="center"/>
          </w:tcPr>
          <w:p>
            <w:pPr>
              <w:pStyle w:val="TableContents"/>
              <w:bidi w:val="0"/>
              <w:spacing w:before="0" w:after="283"/>
              <w:jc w:val="left"/>
              <w:rPr/>
            </w:pPr>
            <w:r>
              <w:rPr/>
              <w:t>Investments at fair value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2,160,954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40" w:name="xdx_40E_eus-gaap--AccountsReceivableNetC"/>
            <w:bookmarkEnd w:id="40"/>
          </w:p>
        </w:tc>
      </w:tr>
      <w:tr>
        <w:trPr/>
        <w:tc>
          <w:tcPr>
            <w:tcW w:w="6963" w:type="dxa"/>
            <w:tcBorders/>
            <w:shd w:fill="CCEEFF" w:val="clear"/>
            <w:vAlign w:val="center"/>
          </w:tcPr>
          <w:p>
            <w:pPr>
              <w:pStyle w:val="TableContents"/>
              <w:bidi w:val="0"/>
              <w:spacing w:before="0" w:after="283"/>
              <w:jc w:val="left"/>
              <w:rPr/>
            </w:pPr>
            <w:r>
              <w:rPr/>
              <w:t>Accounts receivable, net of allowance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9,800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4,975</w:t>
            </w:r>
          </w:p>
        </w:tc>
        <w:tc>
          <w:tcPr>
            <w:tcW w:w="113" w:type="dxa"/>
            <w:tcBorders/>
            <w:shd w:fill="CCEEFF" w:val="clear"/>
            <w:vAlign w:val="center"/>
          </w:tcPr>
          <w:p>
            <w:pPr>
              <w:pStyle w:val="TableContents"/>
              <w:bidi w:val="0"/>
              <w:spacing w:before="0" w:after="283"/>
              <w:jc w:val="left"/>
              <w:rPr/>
            </w:pPr>
            <w:r>
              <w:rPr/>
              <w:t> </w:t>
            </w:r>
            <w:bookmarkStart w:id="41" w:name="xdx_409_eus-gaap--InventoryNet_i02I_maAC"/>
            <w:bookmarkEnd w:id="41"/>
          </w:p>
        </w:tc>
      </w:tr>
      <w:tr>
        <w:trPr/>
        <w:tc>
          <w:tcPr>
            <w:tcW w:w="6963"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29,378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42" w:name="xdx_40B_eus-gaap--PrepaidExpenseCurrent_"/>
            <w:bookmarkEnd w:id="42"/>
          </w:p>
        </w:tc>
      </w:tr>
      <w:tr>
        <w:trPr/>
        <w:tc>
          <w:tcPr>
            <w:tcW w:w="6963"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462,859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189,878</w:t>
            </w:r>
          </w:p>
        </w:tc>
        <w:tc>
          <w:tcPr>
            <w:tcW w:w="113" w:type="dxa"/>
            <w:tcBorders/>
            <w:shd w:fill="CCEEFF" w:val="clear"/>
            <w:vAlign w:val="center"/>
          </w:tcPr>
          <w:p>
            <w:pPr>
              <w:pStyle w:val="TableContents"/>
              <w:bidi w:val="0"/>
              <w:spacing w:before="0" w:after="283"/>
              <w:jc w:val="left"/>
              <w:rPr/>
            </w:pPr>
            <w:r>
              <w:rPr/>
              <w:t> </w:t>
            </w:r>
            <w:bookmarkStart w:id="43" w:name="xdx_405_eus-gaap--OtherAssetsCurrent_i02"/>
            <w:bookmarkEnd w:id="43"/>
          </w:p>
        </w:tc>
      </w:tr>
      <w:tr>
        <w:trPr/>
        <w:tc>
          <w:tcPr>
            <w:tcW w:w="6963"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pPr>
            <w:r>
              <w:rPr/>
              <w:t>12,325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FFFFFF" w:val="clear"/>
            <w:tcMar>
              <w:bottom w:w="28" w:type="dxa"/>
            </w:tcMar>
            <w:vAlign w:val="center"/>
          </w:tcPr>
          <w:p>
            <w:pPr>
              <w:pStyle w:val="TableContents"/>
              <w:bidi w:val="0"/>
              <w:spacing w:before="0" w:after="283"/>
              <w:jc w:val="right"/>
              <w:rPr/>
            </w:pPr>
            <w:r>
              <w:rPr/>
              <w:t>12,325</w:t>
            </w:r>
          </w:p>
        </w:tc>
        <w:tc>
          <w:tcPr>
            <w:tcW w:w="113" w:type="dxa"/>
            <w:tcBorders/>
            <w:shd w:fill="FFFFFF" w:val="clear"/>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4" w:name="xdx_404_eus-gaap--AssetsCurrent_i02TI_mt"/>
            <w:bookmarkEnd w:id="44"/>
          </w:p>
        </w:tc>
      </w:tr>
      <w:tr>
        <w:trPr/>
        <w:tc>
          <w:tcPr>
            <w:tcW w:w="6963"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pPr>
            <w:r>
              <w:rPr/>
              <w:t>5,651,851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FFFFFF" w:val="clear"/>
            <w:tcMar>
              <w:bottom w:w="28" w:type="dxa"/>
            </w:tcMar>
            <w:vAlign w:val="center"/>
          </w:tcPr>
          <w:p>
            <w:pPr>
              <w:pStyle w:val="TableContents"/>
              <w:bidi w:val="0"/>
              <w:spacing w:before="0" w:after="283"/>
              <w:jc w:val="right"/>
              <w:rPr/>
            </w:pPr>
            <w:r>
              <w:rPr/>
              <w:t>2,311,182</w:t>
            </w:r>
          </w:p>
        </w:tc>
        <w:tc>
          <w:tcPr>
            <w:tcW w:w="113" w:type="dxa"/>
            <w:tcBorders/>
            <w:shd w:fill="FFFFFF" w:val="clear"/>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5" w:name="xdx_407_eus-gaap--AssetsNoncurrentAbstra"/>
            <w:bookmarkEnd w:id="45"/>
          </w:p>
        </w:tc>
      </w:tr>
      <w:tr>
        <w:trPr/>
        <w:tc>
          <w:tcPr>
            <w:tcW w:w="6963" w:type="dxa"/>
            <w:tcBorders/>
            <w:shd w:fill="FFFFFF" w:val="clear"/>
            <w:vAlign w:val="center"/>
          </w:tcPr>
          <w:p>
            <w:pPr>
              <w:pStyle w:val="TableContents"/>
              <w:bidi w:val="0"/>
              <w:spacing w:before="0" w:after="283"/>
              <w:jc w:val="left"/>
              <w:rPr>
                <w:b/>
              </w:rPr>
            </w:pPr>
            <w:r>
              <w:rPr>
                <w:b/>
              </w:rPr>
              <w:t>OTHER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6" w:name="xdx_40F_eus-gaap--PropertyPlantAndEquipm"/>
            <w:bookmarkEnd w:id="46"/>
          </w:p>
        </w:tc>
      </w:tr>
      <w:tr>
        <w:trPr/>
        <w:tc>
          <w:tcPr>
            <w:tcW w:w="6963"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817,337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514,684</w:t>
            </w:r>
          </w:p>
        </w:tc>
        <w:tc>
          <w:tcPr>
            <w:tcW w:w="113" w:type="dxa"/>
            <w:tcBorders/>
            <w:shd w:fill="CCEEFF" w:val="clear"/>
            <w:vAlign w:val="center"/>
          </w:tcPr>
          <w:p>
            <w:pPr>
              <w:pStyle w:val="TableContents"/>
              <w:bidi w:val="0"/>
              <w:spacing w:before="0" w:after="283"/>
              <w:jc w:val="left"/>
              <w:rPr/>
            </w:pPr>
            <w:r>
              <w:rPr/>
              <w:t> </w:t>
            </w:r>
            <w:bookmarkStart w:id="47" w:name="xdx_408_eus-gaap--OperatingLeaseRightOfU"/>
            <w:bookmarkEnd w:id="47"/>
          </w:p>
        </w:tc>
      </w:tr>
      <w:tr>
        <w:trPr/>
        <w:tc>
          <w:tcPr>
            <w:tcW w:w="6963" w:type="dxa"/>
            <w:tcBorders/>
            <w:shd w:fill="FFFFFF" w:val="clear"/>
            <w:vAlign w:val="center"/>
          </w:tcPr>
          <w:p>
            <w:pPr>
              <w:pStyle w:val="TableContents"/>
              <w:bidi w:val="0"/>
              <w:spacing w:before="0" w:after="283"/>
              <w:jc w:val="left"/>
              <w:rPr/>
            </w:pPr>
            <w:r>
              <w:rPr/>
              <w:t>Right of use assets - operating leases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1,926,885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2,117,284</w:t>
            </w:r>
          </w:p>
        </w:tc>
        <w:tc>
          <w:tcPr>
            <w:tcW w:w="113" w:type="dxa"/>
            <w:tcBorders/>
            <w:shd w:fill="FFFFFF" w:val="clear"/>
            <w:vAlign w:val="center"/>
          </w:tcPr>
          <w:p>
            <w:pPr>
              <w:pStyle w:val="TableContents"/>
              <w:bidi w:val="0"/>
              <w:spacing w:before="0" w:after="283"/>
              <w:jc w:val="left"/>
              <w:rPr/>
            </w:pPr>
            <w:r>
              <w:rPr/>
              <w:t> </w:t>
            </w:r>
            <w:bookmarkStart w:id="48" w:name="xdx_40F_eus-gaap--FiniteLivedIntangibleA"/>
            <w:bookmarkEnd w:id="48"/>
          </w:p>
        </w:tc>
      </w:tr>
      <w:tr>
        <w:trPr/>
        <w:tc>
          <w:tcPr>
            <w:tcW w:w="6963" w:type="dxa"/>
            <w:tcBorders/>
            <w:shd w:fill="CCEEFF" w:val="clear"/>
            <w:vAlign w:val="center"/>
          </w:tcPr>
          <w:p>
            <w:pPr>
              <w:pStyle w:val="TableContents"/>
              <w:bidi w:val="0"/>
              <w:spacing w:before="0" w:after="283"/>
              <w:jc w:val="left"/>
              <w:rPr/>
            </w:pPr>
            <w:r>
              <w:rPr/>
              <w:t>Patents, net of accumulated amortization of $</w:t>
            </w:r>
            <w:bookmarkStart w:id="49" w:name="xdx_90F_eus-gaap--AccumulatedAmortizatio"/>
            <w:bookmarkEnd w:id="49"/>
            <w:r>
              <w:rPr/>
              <w:t>3,636 and $</w:t>
            </w:r>
            <w:bookmarkStart w:id="50" w:name="xdx_905_eus-gaap--AccumulatedAmortizatio"/>
            <w:bookmarkEnd w:id="50"/>
            <w:r>
              <w:rPr/>
              <w:t>2,603</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271,064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272,097</w:t>
            </w:r>
          </w:p>
        </w:tc>
        <w:tc>
          <w:tcPr>
            <w:tcW w:w="113" w:type="dxa"/>
            <w:tcBorders/>
            <w:shd w:fill="CCEEFF" w:val="clear"/>
            <w:vAlign w:val="center"/>
          </w:tcPr>
          <w:p>
            <w:pPr>
              <w:pStyle w:val="TableContents"/>
              <w:bidi w:val="0"/>
              <w:spacing w:before="0" w:after="283"/>
              <w:jc w:val="left"/>
              <w:rPr/>
            </w:pPr>
            <w:r>
              <w:rPr/>
              <w:t> </w:t>
            </w:r>
            <w:bookmarkStart w:id="51" w:name="xdx_402_eus-gaap--DeferredOfferingCosts_"/>
            <w:bookmarkEnd w:id="51"/>
          </w:p>
        </w:tc>
      </w:tr>
      <w:tr>
        <w:trPr/>
        <w:tc>
          <w:tcPr>
            <w:tcW w:w="6963"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3,475,514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5,650,185</w:t>
            </w:r>
          </w:p>
        </w:tc>
        <w:tc>
          <w:tcPr>
            <w:tcW w:w="113" w:type="dxa"/>
            <w:tcBorders/>
            <w:shd w:fill="FFFFFF" w:val="clear"/>
            <w:vAlign w:val="center"/>
          </w:tcPr>
          <w:p>
            <w:pPr>
              <w:pStyle w:val="TableContents"/>
              <w:bidi w:val="0"/>
              <w:spacing w:before="0" w:after="283"/>
              <w:jc w:val="left"/>
              <w:rPr/>
            </w:pPr>
            <w:r>
              <w:rPr/>
              <w:t> </w:t>
            </w:r>
            <w:bookmarkStart w:id="52" w:name="xdx_404_eus-gaap--OtherAssetsNoncurrent_"/>
            <w:bookmarkEnd w:id="52"/>
          </w:p>
        </w:tc>
      </w:tr>
      <w:tr>
        <w:trPr/>
        <w:tc>
          <w:tcPr>
            <w:tcW w:w="6963"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pPr>
            <w:r>
              <w:rPr/>
              <w:t>301,257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65,633</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3" w:name="xdx_406_eus-gaap--AssetsNoncurrent_i01TI"/>
            <w:bookmarkEnd w:id="53"/>
          </w:p>
        </w:tc>
      </w:tr>
      <w:tr>
        <w:trPr/>
        <w:tc>
          <w:tcPr>
            <w:tcW w:w="6963" w:type="dxa"/>
            <w:tcBorders/>
            <w:shd w:fill="CCEEFF" w:val="clear"/>
            <w:vAlign w:val="center"/>
          </w:tcPr>
          <w:p>
            <w:pPr>
              <w:pStyle w:val="TableContents"/>
              <w:bidi w:val="0"/>
              <w:spacing w:before="0" w:after="283"/>
              <w:jc w:val="left"/>
              <w:rPr/>
            </w:pPr>
            <w:r>
              <w:rPr/>
              <w:t>Total other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pPr>
            <w:r>
              <w:rPr/>
              <w:t>6,792,057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8,619,883</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4" w:name="xdx_40E_eus-gaap--Assets_i01TI_mtAz0le_z"/>
            <w:bookmarkEnd w:id="54"/>
          </w:p>
        </w:tc>
      </w:tr>
      <w:tr>
        <w:trPr/>
        <w:tc>
          <w:tcPr>
            <w:tcW w:w="6963"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r>
              <w:rPr/>
              <w:t>12,443,908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6" w:type="dxa"/>
            <w:tcBorders>
              <w:bottom w:val="double" w:sz="6" w:space="0" w:color="000000"/>
            </w:tcBorders>
            <w:shd w:fill="CCEEFF" w:val="clear"/>
            <w:tcMar>
              <w:bottom w:w="28" w:type="dxa"/>
            </w:tcMar>
            <w:vAlign w:val="center"/>
          </w:tcPr>
          <w:p>
            <w:pPr>
              <w:pStyle w:val="TableContents"/>
              <w:bidi w:val="0"/>
              <w:spacing w:before="0" w:after="283"/>
              <w:jc w:val="right"/>
              <w:rPr/>
            </w:pPr>
            <w:r>
              <w:rPr/>
              <w:t>10,931,065</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5" w:name="xdx_405_eus-gaap--LiabilitiesAndStockhol"/>
            <w:bookmarkEnd w:id="55"/>
          </w:p>
        </w:tc>
      </w:tr>
      <w:tr>
        <w:trPr/>
        <w:tc>
          <w:tcPr>
            <w:tcW w:w="6963" w:type="dxa"/>
            <w:tcBorders/>
            <w:shd w:fill="CCEEFF" w:val="clear"/>
            <w:vAlign w:val="center"/>
          </w:tcPr>
          <w:p>
            <w:pPr>
              <w:pStyle w:val="TableContents"/>
              <w:bidi w:val="0"/>
              <w:spacing w:before="0" w:after="283"/>
              <w:jc w:val="center"/>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6" w:name="xdx_40D_eus-gaap--LiabilitiesCurrentAbst"/>
            <w:bookmarkEnd w:id="56"/>
          </w:p>
        </w:tc>
      </w:tr>
      <w:tr>
        <w:trPr/>
        <w:tc>
          <w:tcPr>
            <w:tcW w:w="696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7" w:name="xdx_401_eus-gaap--AccountsPayableCurrent"/>
            <w:bookmarkEnd w:id="57"/>
          </w:p>
        </w:tc>
      </w:tr>
      <w:tr>
        <w:trPr/>
        <w:tc>
          <w:tcPr>
            <w:tcW w:w="696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209" w:type="dxa"/>
            <w:tcBorders/>
            <w:shd w:fill="FFFFFF" w:val="clear"/>
            <w:vAlign w:val="center"/>
          </w:tcPr>
          <w:p>
            <w:pPr>
              <w:pStyle w:val="TableContents"/>
              <w:bidi w:val="0"/>
              <w:spacing w:before="0" w:after="283"/>
              <w:jc w:val="right"/>
              <w:rPr/>
            </w:pPr>
            <w:r>
              <w:rPr/>
              <w:t>249,611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396" w:type="dxa"/>
            <w:tcBorders/>
            <w:shd w:fill="FFFFFF" w:val="clear"/>
            <w:vAlign w:val="center"/>
          </w:tcPr>
          <w:p>
            <w:pPr>
              <w:pStyle w:val="TableContents"/>
              <w:bidi w:val="0"/>
              <w:spacing w:before="0" w:after="283"/>
              <w:jc w:val="right"/>
              <w:rPr/>
            </w:pPr>
            <w:r>
              <w:rPr/>
              <w:t>183,993</w:t>
            </w:r>
          </w:p>
        </w:tc>
        <w:tc>
          <w:tcPr>
            <w:tcW w:w="113" w:type="dxa"/>
            <w:tcBorders/>
            <w:shd w:fill="FFFFFF" w:val="clear"/>
            <w:vAlign w:val="center"/>
          </w:tcPr>
          <w:p>
            <w:pPr>
              <w:pStyle w:val="TableContents"/>
              <w:bidi w:val="0"/>
              <w:spacing w:before="0" w:after="283"/>
              <w:jc w:val="left"/>
              <w:rPr/>
            </w:pPr>
            <w:r>
              <w:rPr/>
              <w:t> </w:t>
            </w:r>
            <w:bookmarkStart w:id="58" w:name="xdx_402_eus-gaap--AccruedLiabilitiesCurr"/>
            <w:bookmarkEnd w:id="58"/>
          </w:p>
        </w:tc>
      </w:tr>
      <w:tr>
        <w:trPr/>
        <w:tc>
          <w:tcPr>
            <w:tcW w:w="6963"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1,669,322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538,234</w:t>
            </w:r>
          </w:p>
        </w:tc>
        <w:tc>
          <w:tcPr>
            <w:tcW w:w="113" w:type="dxa"/>
            <w:tcBorders/>
            <w:shd w:fill="CCEEFF" w:val="clear"/>
            <w:vAlign w:val="center"/>
          </w:tcPr>
          <w:p>
            <w:pPr>
              <w:pStyle w:val="TableContents"/>
              <w:bidi w:val="0"/>
              <w:spacing w:before="0" w:after="283"/>
              <w:jc w:val="left"/>
              <w:rPr/>
            </w:pPr>
            <w:r>
              <w:rPr/>
              <w:t> </w:t>
            </w:r>
            <w:bookmarkStart w:id="59" w:name="xdx_404_eus-gaap--OperatingLeaseLiabilit"/>
            <w:bookmarkEnd w:id="59"/>
          </w:p>
        </w:tc>
      </w:tr>
      <w:tr>
        <w:trPr/>
        <w:tc>
          <w:tcPr>
            <w:tcW w:w="6963"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424,215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392,950</w:t>
            </w:r>
          </w:p>
        </w:tc>
        <w:tc>
          <w:tcPr>
            <w:tcW w:w="113" w:type="dxa"/>
            <w:tcBorders/>
            <w:shd w:fill="FFFFFF" w:val="clear"/>
            <w:vAlign w:val="center"/>
          </w:tcPr>
          <w:p>
            <w:pPr>
              <w:pStyle w:val="TableContents"/>
              <w:bidi w:val="0"/>
              <w:spacing w:before="0" w:after="283"/>
              <w:jc w:val="left"/>
              <w:rPr/>
            </w:pPr>
            <w:r>
              <w:rPr/>
              <w:t> </w:t>
            </w:r>
            <w:bookmarkStart w:id="60" w:name="xdx_40F_eus-gaap--DerivativeLiabilitiesC"/>
            <w:bookmarkEnd w:id="60"/>
          </w:p>
        </w:tc>
      </w:tr>
      <w:tr>
        <w:trPr/>
        <w:tc>
          <w:tcPr>
            <w:tcW w:w="6963" w:type="dxa"/>
            <w:tcBorders/>
            <w:shd w:fill="CCEEFF" w:val="clear"/>
            <w:vAlign w:val="center"/>
          </w:tcPr>
          <w:p>
            <w:pPr>
              <w:pStyle w:val="TableContents"/>
              <w:bidi w:val="0"/>
              <w:spacing w:before="0" w:after="283"/>
              <w:jc w:val="left"/>
              <w:rPr/>
            </w:pPr>
            <w:r>
              <w:rPr/>
              <w:t>Derivative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348,830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1,460,000</w:t>
            </w:r>
          </w:p>
        </w:tc>
        <w:tc>
          <w:tcPr>
            <w:tcW w:w="113" w:type="dxa"/>
            <w:tcBorders/>
            <w:shd w:fill="CCEEFF" w:val="clear"/>
            <w:vAlign w:val="center"/>
          </w:tcPr>
          <w:p>
            <w:pPr>
              <w:pStyle w:val="TableContents"/>
              <w:bidi w:val="0"/>
              <w:spacing w:before="0" w:after="283"/>
              <w:jc w:val="left"/>
              <w:rPr/>
            </w:pPr>
            <w:r>
              <w:rPr/>
              <w:t> </w:t>
            </w:r>
            <w:bookmarkStart w:id="61" w:name="xdx_401_eus-gaap--ConvertibleNotesPayabl"/>
            <w:bookmarkEnd w:id="61"/>
          </w:p>
        </w:tc>
      </w:tr>
      <w:tr>
        <w:trPr/>
        <w:tc>
          <w:tcPr>
            <w:tcW w:w="6963" w:type="dxa"/>
            <w:tcBorders/>
            <w:shd w:fill="FFFFFF" w:val="clear"/>
            <w:vAlign w:val="center"/>
          </w:tcPr>
          <w:p>
            <w:pPr>
              <w:pStyle w:val="TableContents"/>
              <w:bidi w:val="0"/>
              <w:spacing w:before="0" w:after="283"/>
              <w:jc w:val="left"/>
              <w:rPr/>
            </w:pPr>
            <w:r>
              <w:rPr/>
              <w:t>Convertible note payable, net of discount and debt issuance costs of $</w:t>
            </w:r>
            <w:bookmarkStart w:id="62" w:name="xdx_902_eus-gaap--DebtInstrumentUnamorti"/>
            <w:bookmarkEnd w:id="62"/>
            <w:r>
              <w:rPr/>
              <w:t>1,842,184, and $</w:t>
            </w:r>
            <w:bookmarkStart w:id="63" w:name="xdx_90D_eus-gaap--DebtInstrumentUnamorti"/>
            <w:bookmarkEnd w:id="63"/>
            <w:r>
              <w:rPr/>
              <w:t>3,620,343, respectively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3,460,834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4,144,657</w:t>
            </w:r>
          </w:p>
        </w:tc>
        <w:tc>
          <w:tcPr>
            <w:tcW w:w="113" w:type="dxa"/>
            <w:tcBorders/>
            <w:shd w:fill="FFFFFF" w:val="clear"/>
            <w:vAlign w:val="center"/>
          </w:tcPr>
          <w:p>
            <w:pPr>
              <w:pStyle w:val="TableContents"/>
              <w:bidi w:val="0"/>
              <w:spacing w:before="0" w:after="283"/>
              <w:jc w:val="left"/>
              <w:rPr/>
            </w:pPr>
            <w:r>
              <w:rPr/>
              <w:t> </w:t>
            </w:r>
            <w:bookmarkStart w:id="64" w:name="xdx_408_eus-gaap--OtherNotesPayableCurre"/>
            <w:bookmarkEnd w:id="64"/>
          </w:p>
        </w:tc>
      </w:tr>
      <w:tr>
        <w:trPr/>
        <w:tc>
          <w:tcPr>
            <w:tcW w:w="6963" w:type="dxa"/>
            <w:tcBorders/>
            <w:shd w:fill="CCEEFF" w:val="clear"/>
            <w:vAlign w:val="center"/>
          </w:tcPr>
          <w:p>
            <w:pPr>
              <w:pStyle w:val="TableContents"/>
              <w:bidi w:val="0"/>
              <w:spacing w:before="0" w:after="283"/>
              <w:jc w:val="left"/>
              <w:rPr/>
            </w:pPr>
            <w:r>
              <w:rPr/>
              <w:t>Note payable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pPr>
            <w:r>
              <w:rPr/>
              <w:t>15,088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9,140</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5" w:name="xdx_400_eus-gaap--LiabilitiesCurrent_i02"/>
            <w:bookmarkEnd w:id="65"/>
          </w:p>
        </w:tc>
      </w:tr>
      <w:tr>
        <w:trPr/>
        <w:tc>
          <w:tcPr>
            <w:tcW w:w="6963"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pPr>
            <w:r>
              <w:rPr/>
              <w:t>6,167,900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6,728,974</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6" w:name="xdx_403_eus-gaap--LiabilitiesNoncurrentA"/>
            <w:bookmarkEnd w:id="66"/>
          </w:p>
        </w:tc>
      </w:tr>
      <w:tr>
        <w:trPr/>
        <w:tc>
          <w:tcPr>
            <w:tcW w:w="6963" w:type="dxa"/>
            <w:tcBorders/>
            <w:shd w:fill="CCEEFF" w:val="clear"/>
            <w:vAlign w:val="center"/>
          </w:tcPr>
          <w:p>
            <w:pPr>
              <w:pStyle w:val="TableContents"/>
              <w:bidi w:val="0"/>
              <w:spacing w:before="0" w:after="283"/>
              <w:jc w:val="left"/>
              <w:rPr>
                <w:b/>
              </w:rPr>
            </w:pPr>
            <w:r>
              <w:rPr>
                <w:b/>
              </w:rPr>
              <w:t>LONG TERM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7" w:name="xdx_409_eus-gaap--OperatingLeaseLiabilit"/>
            <w:bookmarkEnd w:id="67"/>
          </w:p>
        </w:tc>
      </w:tr>
      <w:tr>
        <w:trPr/>
        <w:tc>
          <w:tcPr>
            <w:tcW w:w="6963"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1,504,887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1,725,073</w:t>
            </w:r>
          </w:p>
        </w:tc>
        <w:tc>
          <w:tcPr>
            <w:tcW w:w="113" w:type="dxa"/>
            <w:tcBorders/>
            <w:shd w:fill="FFFFFF" w:val="clear"/>
            <w:vAlign w:val="center"/>
          </w:tcPr>
          <w:p>
            <w:pPr>
              <w:pStyle w:val="TableContents"/>
              <w:bidi w:val="0"/>
              <w:spacing w:before="0" w:after="283"/>
              <w:jc w:val="left"/>
              <w:rPr/>
            </w:pPr>
            <w:r>
              <w:rPr/>
              <w:t> </w:t>
            </w:r>
            <w:bookmarkStart w:id="68" w:name="xdx_401_eus-gaap--LongTermNotesPayable_i"/>
            <w:bookmarkEnd w:id="68"/>
          </w:p>
        </w:tc>
      </w:tr>
      <w:tr>
        <w:trPr/>
        <w:tc>
          <w:tcPr>
            <w:tcW w:w="6963" w:type="dxa"/>
            <w:tcBorders/>
            <w:shd w:fill="CCEEFF" w:val="clear"/>
            <w:vAlign w:val="center"/>
          </w:tcPr>
          <w:p>
            <w:pPr>
              <w:pStyle w:val="TableContents"/>
              <w:bidi w:val="0"/>
              <w:spacing w:before="0" w:after="283"/>
              <w:jc w:val="left"/>
              <w:rPr/>
            </w:pPr>
            <w:r>
              <w:rPr/>
              <w:t>Note payables, net of current portion</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pPr>
            <w:r>
              <w:rPr/>
              <w:t>31,563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1,418</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9" w:name="xdx_40C_eus-gaap--LiabilitiesNoncurrent_"/>
            <w:bookmarkEnd w:id="69"/>
          </w:p>
        </w:tc>
      </w:tr>
      <w:tr>
        <w:trPr/>
        <w:tc>
          <w:tcPr>
            <w:tcW w:w="6963" w:type="dxa"/>
            <w:tcBorders/>
            <w:shd w:fill="CCEEFF" w:val="clear"/>
            <w:vAlign w:val="center"/>
          </w:tcPr>
          <w:p>
            <w:pPr>
              <w:pStyle w:val="TableContents"/>
              <w:bidi w:val="0"/>
              <w:spacing w:before="0" w:after="283"/>
              <w:jc w:val="left"/>
              <w:rPr/>
            </w:pPr>
            <w:r>
              <w:rPr/>
              <w:t>Total long term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pPr>
            <w:r>
              <w:rPr/>
              <w:t>1,536,450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1,726,491</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0" w:name="xdx_408_eus-gaap--Liabilities_i01TI_mtLz"/>
            <w:bookmarkEnd w:id="70"/>
          </w:p>
        </w:tc>
      </w:tr>
      <w:tr>
        <w:trPr/>
        <w:tc>
          <w:tcPr>
            <w:tcW w:w="6963"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pPr>
            <w:r>
              <w:rPr/>
              <w:t>7,704,350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8,455,465</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1" w:name="xdx_402_eus-gaap--CommitmentsAndContinge"/>
            <w:bookmarkEnd w:id="71"/>
          </w:p>
        </w:tc>
      </w:tr>
      <w:tr>
        <w:trPr/>
        <w:tc>
          <w:tcPr>
            <w:tcW w:w="6963" w:type="dxa"/>
            <w:tcBorders/>
            <w:shd w:fill="CCEEFF" w:val="clear"/>
            <w:vAlign w:val="center"/>
          </w:tcPr>
          <w:p>
            <w:pPr>
              <w:pStyle w:val="TableContents"/>
              <w:bidi w:val="0"/>
              <w:spacing w:before="0" w:after="283"/>
              <w:jc w:val="left"/>
              <w:rPr>
                <w:b/>
              </w:rPr>
            </w:pPr>
            <w:r>
              <w:rPr>
                <w:b/>
              </w:rPr>
              <w:t>Commitments and Contingencies (See Note 16)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2" w:name="xdx_402_eus-gaap--StockholdersEquityAbst"/>
            <w:bookmarkEnd w:id="72"/>
          </w:p>
        </w:tc>
      </w:tr>
      <w:tr>
        <w:trPr/>
        <w:tc>
          <w:tcPr>
            <w:tcW w:w="6963"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3" w:name="xdx_40B_eus-gaap--CommonStockValue_i02I_"/>
            <w:bookmarkEnd w:id="73"/>
          </w:p>
        </w:tc>
      </w:tr>
      <w:tr>
        <w:trPr/>
        <w:tc>
          <w:tcPr>
            <w:tcW w:w="6963" w:type="dxa"/>
            <w:tcBorders/>
            <w:shd w:fill="FFFFFF" w:val="clear"/>
            <w:vAlign w:val="center"/>
          </w:tcPr>
          <w:p>
            <w:pPr>
              <w:pStyle w:val="TableContents"/>
              <w:bidi w:val="0"/>
              <w:spacing w:before="0" w:after="283"/>
              <w:jc w:val="left"/>
              <w:rPr/>
            </w:pPr>
            <w:r>
              <w:rPr/>
              <w:t>Common stock, $</w:t>
            </w:r>
            <w:bookmarkStart w:id="74" w:name="xdx_901_eus-gaap--CommonStockParOrStated"/>
            <w:bookmarkStart w:id="75" w:name="xdx_90F_eus-gaap--CommonStockParOrStated"/>
            <w:bookmarkEnd w:id="74"/>
            <w:bookmarkEnd w:id="75"/>
            <w:r>
              <w:rPr/>
              <w:t xml:space="preserve">0.0002 par value, </w:t>
            </w:r>
            <w:bookmarkStart w:id="76" w:name="xdx_906_eus-gaap--CommonStockSharesAutho"/>
            <w:bookmarkStart w:id="77" w:name="xdx_90A_eus-gaap--CommonStockSharesAutho"/>
            <w:bookmarkEnd w:id="76"/>
            <w:bookmarkEnd w:id="77"/>
            <w:r>
              <w:rPr/>
              <w:t xml:space="preserve">200,000,000 authorized, </w:t>
            </w:r>
            <w:bookmarkStart w:id="78" w:name="xdx_90D_eus-gaap--CommonStockSharesOutst"/>
            <w:bookmarkStart w:id="79" w:name="xdx_902_eus-gaap--CommonStockSharesIssue"/>
            <w:bookmarkEnd w:id="78"/>
            <w:bookmarkEnd w:id="79"/>
            <w:r>
              <w:rPr/>
              <w:t xml:space="preserve">51,859,347 and </w:t>
            </w:r>
            <w:bookmarkStart w:id="80" w:name="xdx_903_eus-gaap--CommonStockSharesOutst"/>
            <w:bookmarkStart w:id="81" w:name="xdx_90D_eus-gaap--CommonStockSharesIssue"/>
            <w:bookmarkEnd w:id="80"/>
            <w:bookmarkEnd w:id="81"/>
            <w:r>
              <w:rPr/>
              <w:t>34,213,387 issued and outstanding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10,371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6,841</w:t>
            </w:r>
          </w:p>
        </w:tc>
        <w:tc>
          <w:tcPr>
            <w:tcW w:w="113" w:type="dxa"/>
            <w:tcBorders/>
            <w:shd w:fill="FFFFFF" w:val="clear"/>
            <w:vAlign w:val="center"/>
          </w:tcPr>
          <w:p>
            <w:pPr>
              <w:pStyle w:val="TableContents"/>
              <w:bidi w:val="0"/>
              <w:spacing w:before="0" w:after="283"/>
              <w:jc w:val="left"/>
              <w:rPr/>
            </w:pPr>
            <w:r>
              <w:rPr/>
              <w:t> </w:t>
            </w:r>
            <w:bookmarkStart w:id="82" w:name="xdx_40D_eus-gaap--AdditionalPaidInCapita"/>
            <w:bookmarkEnd w:id="82"/>
          </w:p>
        </w:tc>
      </w:tr>
      <w:tr>
        <w:trPr/>
        <w:tc>
          <w:tcPr>
            <w:tcW w:w="696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53,949,594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31,215,698</w:t>
            </w:r>
          </w:p>
        </w:tc>
        <w:tc>
          <w:tcPr>
            <w:tcW w:w="113" w:type="dxa"/>
            <w:tcBorders/>
            <w:shd w:fill="CCEEFF" w:val="clear"/>
            <w:vAlign w:val="center"/>
          </w:tcPr>
          <w:p>
            <w:pPr>
              <w:pStyle w:val="TableContents"/>
              <w:bidi w:val="0"/>
              <w:spacing w:before="0" w:after="283"/>
              <w:jc w:val="left"/>
              <w:rPr/>
            </w:pPr>
            <w:r>
              <w:rPr/>
              <w:t> </w:t>
            </w:r>
            <w:bookmarkStart w:id="83" w:name="xdx_407_ecustom--DeferredCompensation_i0"/>
            <w:bookmarkEnd w:id="83"/>
          </w:p>
        </w:tc>
      </w:tr>
      <w:tr>
        <w:trPr/>
        <w:tc>
          <w:tcPr>
            <w:tcW w:w="6963" w:type="dxa"/>
            <w:tcBorders/>
            <w:shd w:fill="FFFFFF" w:val="clear"/>
            <w:vAlign w:val="center"/>
          </w:tcPr>
          <w:p>
            <w:pPr>
              <w:pStyle w:val="TableContents"/>
              <w:bidi w:val="0"/>
              <w:spacing w:before="0" w:after="283"/>
              <w:jc w:val="left"/>
              <w:rPr/>
            </w:pPr>
            <w:r>
              <w:rPr/>
              <w:t>Deferred compensation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(26,834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84" w:name="xdx_408_eus-gaap--RetainedEarningsAccumu"/>
            <w:bookmarkEnd w:id="84"/>
          </w:p>
        </w:tc>
      </w:tr>
      <w:tr>
        <w:trPr/>
        <w:tc>
          <w:tcPr>
            <w:tcW w:w="696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pPr>
            <w:r>
              <w:rPr/>
              <w:t>(49,193,573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(28,746,939</w:t>
            </w:r>
          </w:p>
        </w:tc>
        <w:tc>
          <w:tcPr>
            <w:tcW w:w="113" w:type="dxa"/>
            <w:tcBorders/>
            <w:shd w:fill="CCEEFF" w:val="clear"/>
            <w:vAlign w:val="center"/>
          </w:tcPr>
          <w:p>
            <w:pPr>
              <w:pStyle w:val="TableContents"/>
              <w:bidi w:val="0"/>
              <w:spacing w:before="0" w:after="283"/>
              <w:jc w:val="left"/>
              <w:rPr/>
            </w:pPr>
            <w:r>
              <w:rPr/>
              <w:t>)</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5" w:name="xdx_403_eus-gaap--StockholdersEquity_i02"/>
            <w:bookmarkEnd w:id="85"/>
          </w:p>
        </w:tc>
      </w:tr>
      <w:tr>
        <w:trPr/>
        <w:tc>
          <w:tcPr>
            <w:tcW w:w="6963"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pPr>
            <w:r>
              <w:rPr/>
              <w:t>4,739,558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2,475,600</w:t>
            </w:r>
          </w:p>
        </w:tc>
        <w:tc>
          <w:tcPr>
            <w:tcW w:w="113" w:type="dxa"/>
            <w:tcBorders/>
            <w:shd w:fill="CCEEFF" w:val="clear"/>
            <w:vAlign w:val="center"/>
          </w:tcPr>
          <w:p>
            <w:pPr>
              <w:pStyle w:val="TableContents"/>
              <w:bidi w:val="0"/>
              <w:spacing w:before="0" w:after="283"/>
              <w:jc w:val="left"/>
              <w:rPr/>
            </w:pPr>
            <w:r>
              <w:rPr/>
              <w:t> </w:t>
            </w:r>
          </w:p>
        </w:tc>
      </w:tr>
      <w:tr>
        <w:trPr/>
        <w:tc>
          <w:tcPr>
            <w:tcW w:w="69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6" w:name="xdx_407_eus-gaap--LiabilitiesAndStockhol"/>
            <w:bookmarkEnd w:id="86"/>
          </w:p>
        </w:tc>
      </w:tr>
      <w:tr>
        <w:trPr/>
        <w:tc>
          <w:tcPr>
            <w:tcW w:w="6963"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r>
              <w:rPr/>
              <w:t>12,443,908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6" w:type="dxa"/>
            <w:tcBorders>
              <w:bottom w:val="double" w:sz="6" w:space="0" w:color="000000"/>
            </w:tcBorders>
            <w:shd w:fill="CCEEFF" w:val="clear"/>
            <w:tcMar>
              <w:bottom w:w="28" w:type="dxa"/>
            </w:tcMar>
            <w:vAlign w:val="center"/>
          </w:tcPr>
          <w:p>
            <w:pPr>
              <w:pStyle w:val="TableContents"/>
              <w:bidi w:val="0"/>
              <w:spacing w:before="0" w:after="283"/>
              <w:jc w:val="right"/>
              <w:rPr/>
            </w:pPr>
            <w:r>
              <w:rPr/>
              <w:t>10,931,065</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condensed financial statements.</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7" w:name="a_004"/>
      <w:bookmarkEnd w:id="87"/>
      <w:r>
        <w:rPr>
          <w:rFonts w:ascii="Times New Roman;Times;Serif" w:hAnsi="Times New Roman;Times;Serif"/>
          <w:b w:val="false"/>
          <w:i w:val="false"/>
          <w:caps w:val="false"/>
          <w:smallCaps w:val="false"/>
          <w:sz w:val="20"/>
        </w:rPr>
        <w:t>CONDENSED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108"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8" w:name="xdx_30C_113_zp3EOqDkxFdf"/>
      <w:bookmarkStart w:id="89" w:name="xdx_30C_113_zp3EOqDkxFdf"/>
      <w:bookmarkEnd w:id="89"/>
    </w:p>
    <w:tbl>
      <w:tblPr>
        <w:tblW w:w="10205" w:type="dxa"/>
        <w:jc w:val="left"/>
        <w:tblInd w:w="0" w:type="dxa"/>
        <w:tblLayout w:type="fixed"/>
        <w:tblCellMar>
          <w:top w:w="0" w:type="dxa"/>
          <w:left w:w="0" w:type="dxa"/>
          <w:bottom w:w="0" w:type="dxa"/>
          <w:right w:w="0" w:type="dxa"/>
        </w:tblCellMar>
      </w:tblPr>
      <w:tblGrid>
        <w:gridCol w:w="4460"/>
        <w:gridCol w:w="60"/>
        <w:gridCol w:w="140"/>
        <w:gridCol w:w="1175"/>
        <w:gridCol w:w="95"/>
        <w:gridCol w:w="60"/>
        <w:gridCol w:w="140"/>
        <w:gridCol w:w="1100"/>
        <w:gridCol w:w="95"/>
        <w:gridCol w:w="60"/>
        <w:gridCol w:w="140"/>
        <w:gridCol w:w="1175"/>
        <w:gridCol w:w="95"/>
        <w:gridCol w:w="60"/>
        <w:gridCol w:w="140"/>
        <w:gridCol w:w="1100"/>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0" w:name="xdx_49C_20260401__20260630_zdozkNKBY7jj"/>
            <w:bookmarkEnd w:id="90"/>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 w:name="xdx_49D_20250401__20250630_zIldfectvoA5"/>
            <w:bookmarkEnd w:id="9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 w:name="xdx_491_20260101__20260630_ztrKHQc8WJ1d"/>
            <w:bookmarkEnd w:id="92"/>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 w:name="xdx_49C_20250101__20250630_zwQn4nCzKyL9"/>
            <w:bookmarkEnd w:id="9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94" w:name="xdx_40A_eus-gaap--RevenueFromContractWit"/>
            <w:bookmarkEnd w:id="94"/>
          </w:p>
        </w:tc>
      </w:tr>
      <w:tr>
        <w:trPr/>
        <w:tc>
          <w:tcPr>
            <w:tcW w:w="446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90,725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29,625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90,725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 w:name="xdx_40B_eus-gaap--OperatingExpensesAbstr"/>
            <w:bookmarkEnd w:id="95"/>
          </w:p>
        </w:tc>
      </w:tr>
      <w:tr>
        <w:trPr/>
        <w:tc>
          <w:tcPr>
            <w:tcW w:w="446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6" w:name="xdx_40F_eus-gaap--GeneralAndAdministrati"/>
            <w:bookmarkEnd w:id="96"/>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4,048,851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3,474,059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8,258,917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5,369,038</w:t>
            </w:r>
          </w:p>
        </w:tc>
        <w:tc>
          <w:tcPr>
            <w:tcW w:w="110" w:type="dxa"/>
            <w:tcBorders/>
            <w:shd w:fill="FFFFFF" w:val="clear"/>
            <w:vAlign w:val="center"/>
          </w:tcPr>
          <w:p>
            <w:pPr>
              <w:pStyle w:val="TableContents"/>
              <w:bidi w:val="0"/>
              <w:spacing w:before="0" w:after="283"/>
              <w:jc w:val="left"/>
              <w:rPr/>
            </w:pPr>
            <w:r>
              <w:rPr/>
              <w:t> </w:t>
            </w:r>
            <w:bookmarkStart w:id="97" w:name="xdx_40D_eus-gaap--ResearchAndDevelopment"/>
            <w:bookmarkEnd w:id="97"/>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346,541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293,468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703,614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384,731</w:t>
            </w:r>
          </w:p>
        </w:tc>
        <w:tc>
          <w:tcPr>
            <w:tcW w:w="110" w:type="dxa"/>
            <w:tcBorders/>
            <w:shd w:fill="CCEEFF" w:val="clear"/>
            <w:vAlign w:val="center"/>
          </w:tcPr>
          <w:p>
            <w:pPr>
              <w:pStyle w:val="TableContents"/>
              <w:bidi w:val="0"/>
              <w:spacing w:before="0" w:after="283"/>
              <w:jc w:val="left"/>
              <w:rPr/>
            </w:pPr>
            <w:r>
              <w:rPr/>
              <w:t> </w:t>
            </w:r>
            <w:bookmarkStart w:id="98" w:name="xdx_408_eus-gaap--SellingAndMarketingExp"/>
            <w:bookmarkEnd w:id="98"/>
          </w:p>
        </w:tc>
      </w:tr>
      <w:tr>
        <w:trPr/>
        <w:tc>
          <w:tcPr>
            <w:tcW w:w="446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72,064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49,602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183,414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57,263</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9" w:name="xdx_401_eus-gaap--OperatingExpenses_iT_m"/>
            <w:bookmarkEnd w:id="99"/>
          </w:p>
        </w:tc>
      </w:tr>
      <w:tr>
        <w:trPr/>
        <w:tc>
          <w:tcPr>
            <w:tcW w:w="446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4,467,456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3,817,129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9,145,945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5,811,032</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0" w:name="xdx_409_eus-gaap--NonoperatingIncomeExpe"/>
            <w:bookmarkEnd w:id="100"/>
          </w:p>
        </w:tc>
      </w:tr>
      <w:tr>
        <w:trPr/>
        <w:tc>
          <w:tcPr>
            <w:tcW w:w="4460"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1" w:name="xdx_40F_eus-gaap--OtherNonoperatingExpen"/>
            <w:bookmarkEnd w:id="101"/>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(153,476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(168,080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(515,346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(169,257</w:t>
            </w:r>
          </w:p>
        </w:tc>
        <w:tc>
          <w:tcPr>
            <w:tcW w:w="110" w:type="dxa"/>
            <w:tcBorders/>
            <w:shd w:fill="CCEEFF" w:val="clear"/>
            <w:vAlign w:val="center"/>
          </w:tcPr>
          <w:p>
            <w:pPr>
              <w:pStyle w:val="TableContents"/>
              <w:bidi w:val="0"/>
              <w:spacing w:before="0" w:after="283"/>
              <w:jc w:val="left"/>
              <w:rPr/>
            </w:pPr>
            <w:r>
              <w:rPr/>
              <w:t>)</w:t>
            </w:r>
            <w:bookmarkStart w:id="102" w:name="xdx_40B_eus-gaap--OtherNonoperatingIncom"/>
            <w:bookmarkEnd w:id="102"/>
          </w:p>
        </w:tc>
      </w:tr>
      <w:tr>
        <w:trPr/>
        <w:tc>
          <w:tcPr>
            <w:tcW w:w="446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150,878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328,668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60,066</w:t>
            </w:r>
          </w:p>
        </w:tc>
        <w:tc>
          <w:tcPr>
            <w:tcW w:w="110" w:type="dxa"/>
            <w:tcBorders/>
            <w:shd w:fill="FFFFFF" w:val="clear"/>
            <w:vAlign w:val="center"/>
          </w:tcPr>
          <w:p>
            <w:pPr>
              <w:pStyle w:val="TableContents"/>
              <w:bidi w:val="0"/>
              <w:spacing w:before="0" w:after="283"/>
              <w:jc w:val="left"/>
              <w:rPr/>
            </w:pPr>
            <w:r>
              <w:rPr/>
              <w:t> </w:t>
            </w:r>
            <w:bookmarkStart w:id="103" w:name="xdx_40C_eus-gaap--DerivativeGainLossOnDe"/>
            <w:bookmarkEnd w:id="103"/>
          </w:p>
        </w:tc>
      </w:tr>
      <w:tr>
        <w:trPr/>
        <w:tc>
          <w:tcPr>
            <w:tcW w:w="446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93,053</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1,222,822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190,000</w:t>
            </w:r>
          </w:p>
        </w:tc>
        <w:tc>
          <w:tcPr>
            <w:tcW w:w="110" w:type="dxa"/>
            <w:tcBorders/>
            <w:shd w:fill="CCEEFF" w:val="clear"/>
            <w:vAlign w:val="center"/>
          </w:tcPr>
          <w:p>
            <w:pPr>
              <w:pStyle w:val="TableContents"/>
              <w:bidi w:val="0"/>
              <w:spacing w:before="0" w:after="283"/>
              <w:jc w:val="left"/>
              <w:rPr/>
            </w:pPr>
            <w:r>
              <w:rPr/>
              <w:t> </w:t>
            </w:r>
            <w:bookmarkStart w:id="104" w:name="xdx_40F_ecustom--AccretionOfDebtDiscount"/>
            <w:bookmarkEnd w:id="104"/>
          </w:p>
        </w:tc>
      </w:tr>
      <w:tr>
        <w:trPr/>
        <w:tc>
          <w:tcPr>
            <w:tcW w:w="4460" w:type="dxa"/>
            <w:tcBorders/>
            <w:shd w:fill="FFFFFF" w:val="clear"/>
            <w:vAlign w:val="center"/>
          </w:tcPr>
          <w:p>
            <w:pPr>
              <w:pStyle w:val="TableContents"/>
              <w:bidi w:val="0"/>
              <w:spacing w:before="0" w:after="283"/>
              <w:jc w:val="left"/>
              <w:rPr/>
            </w:pPr>
            <w:r>
              <w:rPr/>
              <w:t>Accretion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(128,946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(379,915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(27,738</w:t>
            </w:r>
          </w:p>
        </w:tc>
        <w:tc>
          <w:tcPr>
            <w:tcW w:w="110" w:type="dxa"/>
            <w:tcBorders/>
            <w:shd w:fill="FFFFFF" w:val="clear"/>
            <w:vAlign w:val="center"/>
          </w:tcPr>
          <w:p>
            <w:pPr>
              <w:pStyle w:val="TableContents"/>
              <w:bidi w:val="0"/>
              <w:spacing w:before="0" w:after="283"/>
              <w:jc w:val="left"/>
              <w:rPr/>
            </w:pPr>
            <w:r>
              <w:rPr/>
              <w:t>)</w:t>
            </w:r>
            <w:bookmarkStart w:id="105" w:name="xdx_40C_ecustom--LossOnConversionOfConve"/>
            <w:bookmarkEnd w:id="105"/>
          </w:p>
        </w:tc>
      </w:tr>
      <w:tr>
        <w:trPr/>
        <w:tc>
          <w:tcPr>
            <w:tcW w:w="4460" w:type="dxa"/>
            <w:tcBorders/>
            <w:shd w:fill="CCEEFF" w:val="clear"/>
            <w:vAlign w:val="center"/>
          </w:tcPr>
          <w:p>
            <w:pPr>
              <w:pStyle w:val="TableContents"/>
              <w:bidi w:val="0"/>
              <w:spacing w:before="0" w:after="283"/>
              <w:jc w:val="left"/>
              <w:rPr/>
            </w:pPr>
            <w:r>
              <w:rPr/>
              <w:t>Loss 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(9,696,797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(12,042,410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6" w:name="xdx_40B_eus-gaap--RealizedInvestmentGain"/>
            <w:bookmarkEnd w:id="106"/>
          </w:p>
        </w:tc>
      </w:tr>
      <w:tr>
        <w:trPr/>
        <w:tc>
          <w:tcPr>
            <w:tcW w:w="4460" w:type="dxa"/>
            <w:tcBorders/>
            <w:shd w:fill="FFFFFF" w:val="clear"/>
            <w:vAlign w:val="center"/>
          </w:tcPr>
          <w:p>
            <w:pPr>
              <w:pStyle w:val="TableContents"/>
              <w:bidi w:val="0"/>
              <w:spacing w:before="0" w:after="283"/>
              <w:jc w:val="left"/>
              <w:rPr/>
            </w:pPr>
            <w:r>
              <w:rPr/>
              <w:t>Realized gain (loss)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322,818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7" w:name="xdx_40D_eus-gaap--UnrealizedGainLossOnIn"/>
            <w:bookmarkEnd w:id="107"/>
          </w:p>
        </w:tc>
      </w:tr>
      <w:tr>
        <w:trPr/>
        <w:tc>
          <w:tcPr>
            <w:tcW w:w="4460" w:type="dxa"/>
            <w:tcBorders/>
            <w:shd w:fill="CCEEFF" w:val="clear"/>
            <w:vAlign w:val="center"/>
          </w:tcPr>
          <w:p>
            <w:pPr>
              <w:pStyle w:val="TableContents"/>
              <w:bidi w:val="0"/>
              <w:spacing w:before="0" w:after="283"/>
              <w:jc w:val="left"/>
              <w:rPr/>
            </w:pPr>
            <w:r>
              <w:rPr/>
              <w:t>Unrealized gain (loss) on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241,136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(260,976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8" w:name="xdx_404_eus-gaap--GainsLossesOnSalesOfAs"/>
            <w:bookmarkEnd w:id="108"/>
          </w:p>
        </w:tc>
      </w:tr>
      <w:tr>
        <w:trPr/>
        <w:tc>
          <w:tcPr>
            <w:tcW w:w="4460" w:type="dxa"/>
            <w:tcBorders/>
            <w:shd w:fill="FFFFFF" w:val="clear"/>
            <w:vAlign w:val="center"/>
          </w:tcPr>
          <w:p>
            <w:pPr>
              <w:pStyle w:val="TableContents"/>
              <w:bidi w:val="0"/>
              <w:spacing w:before="0" w:after="283"/>
              <w:jc w:val="left"/>
              <w:rPr/>
            </w:pPr>
            <w:r>
              <w:rPr/>
              <w:t>Loss on disposal of 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9" w:name="xdx_402_eus-gaap--NonoperatingIncomeExpe"/>
            <w:bookmarkEnd w:id="109"/>
          </w:p>
        </w:tc>
      </w:tr>
      <w:tr>
        <w:trPr/>
        <w:tc>
          <w:tcPr>
            <w:tcW w:w="4460" w:type="dxa"/>
            <w:tcBorders/>
            <w:shd w:fill="FFFFFF" w:val="clear"/>
            <w:vAlign w:val="center"/>
          </w:tcPr>
          <w:p>
            <w:pPr>
              <w:pStyle w:val="TableContents"/>
              <w:bidi w:val="0"/>
              <w:spacing w:before="0" w:after="283"/>
              <w:jc w:val="left"/>
              <w:rPr/>
            </w:pPr>
            <w:r>
              <w:rPr/>
              <w:t>Total 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(9,623,632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37,333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(11,330,313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53,071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 w:name="xdx_40C_eus-gaap--IncomeLossFromContinui"/>
            <w:bookmarkEnd w:id="110"/>
          </w:p>
        </w:tc>
      </w:tr>
      <w:tr>
        <w:trPr/>
        <w:tc>
          <w:tcPr>
            <w:tcW w:w="4460"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(14,076,388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(3,689,071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(20,446,633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(5,667,236</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1" w:name="xdx_40B_eus-gaap--IncomeTaxExpenseBenefi"/>
            <w:bookmarkEnd w:id="111"/>
          </w:p>
        </w:tc>
      </w:tr>
      <w:tr>
        <w:trPr/>
        <w:tc>
          <w:tcPr>
            <w:tcW w:w="4460" w:type="dxa"/>
            <w:tcBorders/>
            <w:shd w:fill="FFFFFF" w:val="clear"/>
            <w:vAlign w:val="center"/>
          </w:tcPr>
          <w:p>
            <w:pPr>
              <w:pStyle w:val="TableContents"/>
              <w:bidi w:val="0"/>
              <w:spacing w:before="0" w:after="283"/>
              <w:jc w:val="left"/>
              <w:rPr>
                <w:b/>
              </w:rPr>
            </w:pPr>
            <w:r>
              <w:rPr>
                <w:b/>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 w:name="xdx_402_eus-gaap--NetIncomeLoss_iT_mtCzJ"/>
            <w:bookmarkEnd w:id="112"/>
          </w:p>
        </w:tc>
      </w:tr>
      <w:tr>
        <w:trPr/>
        <w:tc>
          <w:tcPr>
            <w:tcW w:w="446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(14,076,388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(3,689,071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(20,446,633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(5,667,236</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 w:name="xdx_40C_eus-gaap--EarningsPerShareAbstra"/>
            <w:bookmarkEnd w:id="113"/>
          </w:p>
        </w:tc>
      </w:tr>
      <w:tr>
        <w:trPr/>
        <w:tc>
          <w:tcPr>
            <w:tcW w:w="4460" w:type="dxa"/>
            <w:tcBorders/>
            <w:shd w:fill="FFFFFF" w:val="clear"/>
            <w:vAlign w:val="center"/>
          </w:tcPr>
          <w:p>
            <w:pPr>
              <w:pStyle w:val="TableContents"/>
              <w:bidi w:val="0"/>
              <w:spacing w:before="0" w:after="283"/>
              <w:jc w:val="left"/>
              <w:rPr>
                <w:b/>
              </w:rPr>
            </w:pPr>
            <w:r>
              <w:rPr>
                <w:b/>
              </w:rPr>
              <w:t>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4" w:name="xdx_904_eus-gaap--EarningsPerShareDilute"/>
            <w:bookmarkStart w:id="115" w:name="xdx_90B_eus-gaap--EarningsPerShareBasic_"/>
            <w:bookmarkEnd w:id="114"/>
            <w:bookmarkEnd w:id="115"/>
            <w:r>
              <w:rPr/>
              <w:t>(0.28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6" w:name="xdx_90B_eus-gaap--EarningsPerShareDilute"/>
            <w:bookmarkStart w:id="117" w:name="xdx_902_eus-gaap--EarningsPerShareBasic_"/>
            <w:bookmarkEnd w:id="116"/>
            <w:bookmarkEnd w:id="117"/>
            <w:r>
              <w:rPr/>
              <w:t>(0.12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 w:name="xdx_903_eus-gaap--EarningsPerShareDilute"/>
            <w:bookmarkStart w:id="119" w:name="xdx_907_eus-gaap--EarningsPerShareBasic_"/>
            <w:bookmarkEnd w:id="118"/>
            <w:bookmarkEnd w:id="119"/>
            <w:r>
              <w:rPr/>
              <w:t>(0.47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0" w:name="xdx_906_eus-gaap--EarningsPerShareDilute"/>
            <w:bookmarkStart w:id="121" w:name="xdx_90F_eus-gaap--EarningsPerShareBasic_"/>
            <w:bookmarkEnd w:id="120"/>
            <w:bookmarkEnd w:id="121"/>
            <w:r>
              <w:rPr/>
              <w:t>(0.18</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2" w:name="xdx_405_eus-gaap--WeightedAverageNumberO"/>
            <w:bookmarkEnd w:id="122"/>
          </w:p>
        </w:tc>
      </w:tr>
      <w:tr>
        <w:trPr/>
        <w:tc>
          <w:tcPr>
            <w:tcW w:w="4460" w:type="dxa"/>
            <w:tcBorders/>
            <w:shd w:fill="CCEEFF" w:val="clear"/>
            <w:vAlign w:val="center"/>
          </w:tcPr>
          <w:p>
            <w:pPr>
              <w:pStyle w:val="TableContents"/>
              <w:bidi w:val="0"/>
              <w:spacing w:before="0" w:after="283"/>
              <w:jc w:val="left"/>
              <w:rPr>
                <w:b/>
              </w:rPr>
            </w:pPr>
            <w:r>
              <w:rPr>
                <w:b/>
              </w:rPr>
              <w:t>WEIGHTED-AVERAGE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3" w:name="xdx_904_eus-gaap--WeightedAverageNumberO"/>
            <w:bookmarkStart w:id="124" w:name="xdx_902_eus-gaap--WeightedAverageNumberO"/>
            <w:bookmarkEnd w:id="123"/>
            <w:bookmarkEnd w:id="124"/>
            <w:r>
              <w:rPr/>
              <w:t>50,057,185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5" w:name="xdx_902_eus-gaap--WeightedAverageNumberO"/>
            <w:bookmarkStart w:id="126" w:name="xdx_900_eus-gaap--WeightedAverageNumberO"/>
            <w:bookmarkEnd w:id="125"/>
            <w:bookmarkEnd w:id="126"/>
            <w:r>
              <w:rPr/>
              <w:t>31,543,921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7" w:name="xdx_906_eus-gaap--WeightedAverageNumberO"/>
            <w:bookmarkStart w:id="128" w:name="xdx_900_eus-gaap--WeightedAverageNumberO"/>
            <w:bookmarkEnd w:id="127"/>
            <w:bookmarkEnd w:id="128"/>
            <w:r>
              <w:rPr/>
              <w:t>43,150,562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9" w:name="xdx_902_eus-gaap--WeightedAverageNumberO"/>
            <w:bookmarkStart w:id="130" w:name="xdx_90C_eus-gaap--WeightedAverageNumberO"/>
            <w:bookmarkEnd w:id="129"/>
            <w:bookmarkEnd w:id="130"/>
            <w:r>
              <w:rPr/>
              <w:t>30,637,620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condensed financial statements.</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31" w:name="a_005"/>
      <w:bookmarkEnd w:id="131"/>
      <w:r>
        <w:rPr>
          <w:rFonts w:ascii="Times New Roman;Times;Serif" w:hAnsi="Times New Roman;Times;Serif"/>
          <w:b w:val="false"/>
          <w:i w:val="false"/>
          <w:caps w:val="false"/>
          <w:smallCaps w:val="false"/>
          <w:sz w:val="20"/>
        </w:rPr>
        <w:t>CONDENSED STATEMENTS OF CHANGES IN STOCKHOLDERS’ EQUITY (DEFICIT)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2" w:name="xdx_309_114_zEgNFv2Lakfj"/>
      <w:bookmarkStart w:id="133" w:name="xdx_309_114_zEgNFv2Lakfj"/>
      <w:bookmarkEnd w:id="133"/>
    </w:p>
    <w:tbl>
      <w:tblPr>
        <w:tblW w:w="11495" w:type="dxa"/>
        <w:jc w:val="left"/>
        <w:tblInd w:w="0" w:type="dxa"/>
        <w:tblLayout w:type="fixed"/>
        <w:tblCellMar>
          <w:top w:w="0" w:type="dxa"/>
          <w:left w:w="0" w:type="dxa"/>
          <w:bottom w:w="0" w:type="dxa"/>
          <w:right w:w="0" w:type="dxa"/>
        </w:tblCellMar>
      </w:tblPr>
      <w:tblGrid>
        <w:gridCol w:w="1520"/>
        <w:gridCol w:w="60"/>
        <w:gridCol w:w="60"/>
        <w:gridCol w:w="1100"/>
        <w:gridCol w:w="95"/>
        <w:gridCol w:w="60"/>
        <w:gridCol w:w="164"/>
        <w:gridCol w:w="801"/>
        <w:gridCol w:w="95"/>
        <w:gridCol w:w="60"/>
        <w:gridCol w:w="140"/>
        <w:gridCol w:w="1100"/>
        <w:gridCol w:w="95"/>
        <w:gridCol w:w="60"/>
        <w:gridCol w:w="204"/>
        <w:gridCol w:w="1106"/>
        <w:gridCol w:w="95"/>
        <w:gridCol w:w="60"/>
        <w:gridCol w:w="205"/>
        <w:gridCol w:w="1285"/>
        <w:gridCol w:w="95"/>
        <w:gridCol w:w="60"/>
        <w:gridCol w:w="145"/>
        <w:gridCol w:w="1225"/>
        <w:gridCol w:w="95"/>
        <w:gridCol w:w="60"/>
        <w:gridCol w:w="142"/>
        <w:gridCol w:w="1198"/>
        <w:gridCol w:w="110"/>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 w:name="xdx_4B7_us-gaap--StatementEquityComponen"/>
            <w:bookmarkEnd w:id="134"/>
          </w:p>
        </w:tc>
        <w:tc>
          <w:tcPr>
            <w:tcW w:w="9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 w:name="xdx_4BE_us-gaap--StatementEquityComponen"/>
            <w:bookmarkEnd w:id="135"/>
          </w:p>
        </w:tc>
        <w:tc>
          <w:tcPr>
            <w:tcW w:w="124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6" w:name="xdx_4B6_us-gaap--StatementEquityComponen"/>
            <w:bookmarkEnd w:id="136"/>
          </w:p>
        </w:tc>
        <w:tc>
          <w:tcPr>
            <w:tcW w:w="1310" w:type="dxa"/>
            <w:gridSpan w:val="2"/>
            <w:tcBorders/>
            <w:vAlign w:val="center"/>
          </w:tcPr>
          <w:p>
            <w:pPr>
              <w:pStyle w:val="TableContents"/>
              <w:bidi w:val="0"/>
              <w:spacing w:before="0" w:after="283"/>
              <w:jc w:val="center"/>
              <w:rPr>
                <w:b/>
              </w:rPr>
            </w:pPr>
            <w:r>
              <w:rPr>
                <w:b/>
              </w:rPr>
              <w:t>Subscription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 w:name="xdx_4BC_us-gaap--StatementEquityComponen"/>
            <w:bookmarkEnd w:id="137"/>
          </w:p>
        </w:tc>
        <w:tc>
          <w:tcPr>
            <w:tcW w:w="1490" w:type="dxa"/>
            <w:gridSpan w:val="2"/>
            <w:tcBorders/>
            <w:vAlign w:val="center"/>
          </w:tcPr>
          <w:p>
            <w:pPr>
              <w:pStyle w:val="TableContents"/>
              <w:bidi w:val="0"/>
              <w:spacing w:before="0" w:after="283"/>
              <w:jc w:val="center"/>
              <w:rPr>
                <w:b/>
              </w:rPr>
            </w:pPr>
            <w:r>
              <w:rPr>
                <w:b/>
              </w:rPr>
              <w:t>Deferred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8" w:name="xdx_4B5_us-gaap--StatementEquityComponen"/>
            <w:bookmarkEnd w:id="138"/>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 w:name="xdx_4B6_zvqTActUMBr4"/>
            <w:bookmarkEnd w:id="139"/>
          </w:p>
        </w:tc>
        <w:tc>
          <w:tcPr>
            <w:tcW w:w="1340" w:type="dxa"/>
            <w:gridSpan w:val="2"/>
            <w:tcBorders/>
            <w:vAlign w:val="center"/>
          </w:tcPr>
          <w:p>
            <w:pPr>
              <w:pStyle w:val="TableContents"/>
              <w:bidi w:val="0"/>
              <w:jc w:val="center"/>
              <w:rPr>
                <w:b/>
              </w:rPr>
            </w:pPr>
            <w:r>
              <w:rPr>
                <w:b/>
              </w:rPr>
              <w:t>Total</w:t>
            </w:r>
          </w:p>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Common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Common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Receivable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 ($)</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40" w:name="xdx_432_c20250101__20250331_eus-gaap--St"/>
            <w:bookmarkEnd w:id="140"/>
          </w:p>
        </w:tc>
      </w:tr>
      <w:tr>
        <w:trPr/>
        <w:tc>
          <w:tcPr>
            <w:tcW w:w="1520" w:type="dxa"/>
            <w:tcBorders/>
            <w:shd w:fill="CCEEFF" w:val="clear"/>
            <w:vAlign w:val="center"/>
          </w:tcPr>
          <w:p>
            <w:pPr>
              <w:pStyle w:val="TableContents"/>
              <w:bidi w:val="0"/>
              <w:spacing w:before="0" w:after="283"/>
              <w:jc w:val="left"/>
              <w:rPr>
                <w:b/>
              </w:rPr>
            </w:pPr>
            <w:r>
              <w:rPr>
                <w:b/>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1" w:name="xdx_985_eus-gaap--SharesOutstanding_iS_p"/>
            <w:bookmarkEnd w:id="141"/>
          </w:p>
        </w:tc>
        <w:tc>
          <w:tcPr>
            <w:tcW w:w="1100" w:type="dxa"/>
            <w:tcBorders/>
            <w:shd w:fill="CCEEFF" w:val="clear"/>
            <w:vAlign w:val="center"/>
          </w:tcPr>
          <w:p>
            <w:pPr>
              <w:pStyle w:val="TableContents"/>
              <w:bidi w:val="0"/>
              <w:spacing w:before="0" w:after="283"/>
              <w:jc w:val="right"/>
              <w:rPr/>
            </w:pPr>
            <w:r>
              <w:rPr/>
              <w:t>29,120,905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5,822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14,984,561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(53,003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(15,920,555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(983,175</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2" w:name="xdx_403_ecustom--StockIssuedDuringPeriod"/>
            <w:bookmarkEnd w:id="142"/>
          </w:p>
        </w:tc>
      </w:tr>
      <w:tr>
        <w:trPr/>
        <w:tc>
          <w:tcPr>
            <w:tcW w:w="1520" w:type="dxa"/>
            <w:tcBorders/>
            <w:shd w:fill="CCEEFF" w:val="clear"/>
            <w:vAlign w:val="center"/>
          </w:tcPr>
          <w:p>
            <w:pPr>
              <w:pStyle w:val="TableContents"/>
              <w:bidi w:val="0"/>
              <w:spacing w:before="0" w:after="283"/>
              <w:jc w:val="left"/>
              <w:rPr/>
            </w:pPr>
            <w:r>
              <w:rPr/>
              <w:t>Issuance of common stock and warrants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3" w:name="xdx_98A_ecustom--StockIssuedDuringPeriod"/>
            <w:bookmarkEnd w:id="143"/>
          </w:p>
        </w:tc>
        <w:tc>
          <w:tcPr>
            <w:tcW w:w="1100" w:type="dxa"/>
            <w:tcBorders/>
            <w:shd w:fill="CCEEFF" w:val="clear"/>
            <w:vAlign w:val="center"/>
          </w:tcPr>
          <w:p>
            <w:pPr>
              <w:pStyle w:val="TableContents"/>
              <w:bidi w:val="0"/>
              <w:spacing w:before="0" w:after="283"/>
              <w:jc w:val="right"/>
              <w:rPr/>
            </w:pPr>
            <w:r>
              <w:rPr/>
              <w:t>96,346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677,390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40,219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717,628</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4" w:name="xdx_400_ecustom--StockIssuedDuringPeriod"/>
            <w:bookmarkEnd w:id="144"/>
          </w:p>
        </w:tc>
      </w:tr>
      <w:tr>
        <w:trPr/>
        <w:tc>
          <w:tcPr>
            <w:tcW w:w="1520" w:type="dxa"/>
            <w:tcBorders/>
            <w:shd w:fill="CCEEFF" w:val="clear"/>
            <w:vAlign w:val="center"/>
          </w:tcPr>
          <w:p>
            <w:pPr>
              <w:pStyle w:val="TableContents"/>
              <w:bidi w:val="0"/>
              <w:spacing w:before="0" w:after="283"/>
              <w:jc w:val="left"/>
              <w:rPr/>
            </w:pPr>
            <w:r>
              <w:rPr/>
              <w:t>Issuance of common stock for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5" w:name="xdx_98A_ecustom--StockIssuedDuringPeriod"/>
            <w:bookmarkEnd w:id="145"/>
          </w:p>
        </w:tc>
        <w:tc>
          <w:tcPr>
            <w:tcW w:w="1100" w:type="dxa"/>
            <w:tcBorders/>
            <w:shd w:fill="CCEEFF" w:val="clear"/>
            <w:vAlign w:val="center"/>
          </w:tcPr>
          <w:p>
            <w:pPr>
              <w:pStyle w:val="TableContents"/>
              <w:bidi w:val="0"/>
              <w:spacing w:before="0" w:after="283"/>
              <w:jc w:val="right"/>
              <w:rPr/>
            </w:pPr>
            <w:r>
              <w:rPr/>
              <w:t>532,913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6,927,762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6,927,869</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6" w:name="xdx_401_eus-gaap--StockIssuedDuringPerio"/>
            <w:bookmarkEnd w:id="146"/>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7" w:name="xdx_98C_eus-gaap--StockIssuedDuringPerio"/>
            <w:bookmarkEnd w:id="147"/>
          </w:p>
        </w:tc>
        <w:tc>
          <w:tcPr>
            <w:tcW w:w="1100" w:type="dxa"/>
            <w:tcBorders/>
            <w:shd w:fill="CCEEFF" w:val="clear"/>
            <w:vAlign w:val="center"/>
          </w:tcPr>
          <w:p>
            <w:pPr>
              <w:pStyle w:val="TableContents"/>
              <w:bidi w:val="0"/>
              <w:spacing w:before="0" w:after="283"/>
              <w:jc w:val="right"/>
              <w:rPr/>
            </w:pPr>
            <w:r>
              <w:rPr/>
              <w:t>84,874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1,348,228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1,348,245</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 w:name="xdx_404_eus-gaap--NetIncomeLoss_zHMbsUwG"/>
            <w:bookmarkEnd w:id="148"/>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(1,978,165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(1,978,165</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9" w:name="xdx_430_c20250401__20250630_eus-gaap--St"/>
            <w:bookmarkEnd w:id="149"/>
          </w:p>
        </w:tc>
      </w:tr>
      <w:tr>
        <w:trPr/>
        <w:tc>
          <w:tcPr>
            <w:tcW w:w="152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0" w:name="xdx_982_eus-gaap--SharesOutstanding_iS_p"/>
            <w:bookmarkEnd w:id="150"/>
          </w:p>
        </w:tc>
        <w:tc>
          <w:tcPr>
            <w:tcW w:w="1100" w:type="dxa"/>
            <w:tcBorders/>
            <w:shd w:fill="CCEEFF" w:val="clear"/>
            <w:vAlign w:val="center"/>
          </w:tcPr>
          <w:p>
            <w:pPr>
              <w:pStyle w:val="TableContents"/>
              <w:bidi w:val="0"/>
              <w:spacing w:before="0" w:after="283"/>
              <w:jc w:val="right"/>
              <w:rPr/>
            </w:pPr>
            <w:r>
              <w:rPr/>
              <w:t>29,835,038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5,965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23,937,941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(12,784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(17,898,720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6,032,402</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 w:name="xdx_40E_ecustom--StockIssuedDuringPeriod"/>
            <w:bookmarkEnd w:id="151"/>
          </w:p>
        </w:tc>
      </w:tr>
      <w:tr>
        <w:trPr/>
        <w:tc>
          <w:tcPr>
            <w:tcW w:w="1520" w:type="dxa"/>
            <w:tcBorders/>
            <w:shd w:fill="CCEEFF" w:val="clear"/>
            <w:vAlign w:val="center"/>
          </w:tcPr>
          <w:p>
            <w:pPr>
              <w:pStyle w:val="TableContents"/>
              <w:bidi w:val="0"/>
              <w:spacing w:before="0" w:after="283"/>
              <w:jc w:val="left"/>
              <w:rPr/>
            </w:pPr>
            <w:r>
              <w:rPr/>
              <w:t>Issuance of common stock, warrants, and options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2" w:name="xdx_986_ecustom--StockIssuedDuringPeriod"/>
            <w:bookmarkEnd w:id="152"/>
          </w:p>
        </w:tc>
        <w:tc>
          <w:tcPr>
            <w:tcW w:w="1100" w:type="dxa"/>
            <w:tcBorders/>
            <w:shd w:fill="CCEEFF" w:val="clear"/>
            <w:vAlign w:val="center"/>
          </w:tcPr>
          <w:p>
            <w:pPr>
              <w:pStyle w:val="TableContents"/>
              <w:bidi w:val="0"/>
              <w:spacing w:before="0" w:after="283"/>
              <w:jc w:val="right"/>
              <w:rPr/>
            </w:pPr>
            <w:r>
              <w:rPr/>
              <w:t>3,000,049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301,380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7,617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309,598</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3" w:name="xdx_401_ecustom--StockIssuedDuringPeriod"/>
            <w:bookmarkEnd w:id="153"/>
          </w:p>
        </w:tc>
      </w:tr>
      <w:tr>
        <w:trPr/>
        <w:tc>
          <w:tcPr>
            <w:tcW w:w="1520" w:type="dxa"/>
            <w:tcBorders/>
            <w:shd w:fill="CCEEFF" w:val="clear"/>
            <w:vAlign w:val="center"/>
          </w:tcPr>
          <w:p>
            <w:pPr>
              <w:pStyle w:val="TableContents"/>
              <w:bidi w:val="0"/>
              <w:spacing w:before="0" w:after="283"/>
              <w:jc w:val="left"/>
              <w:rPr/>
            </w:pPr>
            <w:r>
              <w:rPr/>
              <w:t>Issuance of common stock for settlement of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1_ecustom--StockIssuedDuringPeriod"/>
            <w:bookmarkEnd w:id="154"/>
          </w:p>
        </w:tc>
        <w:tc>
          <w:tcPr>
            <w:tcW w:w="1100" w:type="dxa"/>
            <w:tcBorders/>
            <w:shd w:fill="CCEEFF" w:val="clear"/>
            <w:vAlign w:val="center"/>
          </w:tcPr>
          <w:p>
            <w:pPr>
              <w:pStyle w:val="TableContents"/>
              <w:bidi w:val="0"/>
              <w:spacing w:before="0" w:after="283"/>
              <w:jc w:val="right"/>
              <w:rPr/>
            </w:pPr>
            <w:r>
              <w:rPr/>
              <w:t>92,673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1,204,718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1,204,737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5" w:name="xdx_40A_eus-gaap--AdjustmentsToAdditiona"/>
            <w:bookmarkEnd w:id="155"/>
          </w:p>
        </w:tc>
      </w:tr>
      <w:tr>
        <w:trPr/>
        <w:tc>
          <w:tcPr>
            <w:tcW w:w="1520" w:type="dxa"/>
            <w:tcBorders/>
            <w:shd w:fill="CCEEFF" w:val="clear"/>
            <w:vAlign w:val="center"/>
          </w:tcPr>
          <w:p>
            <w:pPr>
              <w:pStyle w:val="TableContents"/>
              <w:bidi w:val="0"/>
              <w:spacing w:before="0" w:after="283"/>
              <w:jc w:val="left"/>
              <w:rPr/>
            </w:pPr>
            <w:r>
              <w:rPr/>
              <w:t>Reclassification of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(871,882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(871,882</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6" w:name="xdx_408_ecustom--StockIssuedDuringPeriod"/>
            <w:bookmarkEnd w:id="156"/>
          </w:p>
        </w:tc>
      </w:tr>
      <w:tr>
        <w:trPr/>
        <w:tc>
          <w:tcPr>
            <w:tcW w:w="1520" w:type="dxa"/>
            <w:tcBorders/>
            <w:shd w:fill="CCEEFF" w:val="clear"/>
            <w:vAlign w:val="center"/>
          </w:tcPr>
          <w:p>
            <w:pPr>
              <w:pStyle w:val="TableContents"/>
              <w:bidi w:val="0"/>
              <w:spacing w:before="0" w:after="283"/>
              <w:jc w:val="left"/>
              <w:rPr/>
            </w:pPr>
            <w:r>
              <w:rPr/>
              <w:t>Issuance of common stock for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7" w:name="xdx_989_ecustom--StockIssuedDuringPeriod"/>
            <w:bookmarkEnd w:id="157"/>
          </w:p>
        </w:tc>
        <w:tc>
          <w:tcPr>
            <w:tcW w:w="1100" w:type="dxa"/>
            <w:tcBorders/>
            <w:shd w:fill="CCEEFF" w:val="clear"/>
            <w:vAlign w:val="center"/>
          </w:tcPr>
          <w:p>
            <w:pPr>
              <w:pStyle w:val="TableContents"/>
              <w:bidi w:val="0"/>
              <w:spacing w:before="0" w:after="283"/>
              <w:jc w:val="right"/>
              <w:rPr/>
            </w:pPr>
            <w:r>
              <w:rPr/>
              <w:t>62,500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828,113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828,125</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8" w:name="xdx_401_eus-gaap--StockIssuedDuringPerio"/>
            <w:bookmarkEnd w:id="158"/>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9" w:name="xdx_98A_eus-gaap--StockIssuedDuringPerio"/>
            <w:bookmarkEnd w:id="159"/>
          </w:p>
        </w:tc>
        <w:tc>
          <w:tcPr>
            <w:tcW w:w="1100" w:type="dxa"/>
            <w:tcBorders/>
            <w:shd w:fill="CCEEFF" w:val="clear"/>
            <w:vAlign w:val="center"/>
          </w:tcPr>
          <w:p>
            <w:pPr>
              <w:pStyle w:val="TableContents"/>
              <w:bidi w:val="0"/>
              <w:spacing w:before="0" w:after="283"/>
              <w:jc w:val="right"/>
              <w:rPr/>
            </w:pPr>
            <w:r>
              <w:rPr/>
              <w:t>33,125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675,501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675,508</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 w:name="xdx_404_eus-gaap--NetIncomeLoss_zBwlMxJ5"/>
            <w:bookmarkEnd w:id="160"/>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(3,689,071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(3,689,071</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1" w:name="xdx_43D_c20250401__20250630_eus-gaap--St"/>
            <w:bookmarkEnd w:id="161"/>
          </w:p>
        </w:tc>
      </w:tr>
      <w:tr>
        <w:trPr/>
        <w:tc>
          <w:tcPr>
            <w:tcW w:w="1520" w:type="dxa"/>
            <w:tcBorders/>
            <w:shd w:fill="CCEEFF" w:val="clear"/>
            <w:vAlign w:val="center"/>
          </w:tcPr>
          <w:p>
            <w:pPr>
              <w:pStyle w:val="TableContents"/>
              <w:bidi w:val="0"/>
              <w:spacing w:before="0" w:after="283"/>
              <w:jc w:val="left"/>
              <w:rPr>
                <w:b/>
              </w:rPr>
            </w:pPr>
            <w:r>
              <w:rPr>
                <w:b/>
              </w:rPr>
              <w:t>BALANCE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 w:name="xdx_98A_eus-gaap--SharesOutstanding_iE_p"/>
            <w:bookmarkEnd w:id="162"/>
          </w:p>
        </w:tc>
        <w:tc>
          <w:tcPr>
            <w:tcW w:w="1100" w:type="dxa"/>
            <w:tcBorders/>
            <w:shd w:fill="CCEEFF" w:val="clear"/>
            <w:vAlign w:val="center"/>
          </w:tcPr>
          <w:p>
            <w:pPr>
              <w:pStyle w:val="TableContents"/>
              <w:bidi w:val="0"/>
              <w:spacing w:before="0" w:after="283"/>
              <w:jc w:val="right"/>
              <w:rPr/>
            </w:pPr>
            <w:r>
              <w:rPr/>
              <w:t>33,023,385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6,604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26,075,771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(5,167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(21,587,791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4,489,417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3" w:name="xdx_438_c20260101__20260331_eus-gaap--St"/>
            <w:bookmarkEnd w:id="163"/>
          </w:p>
        </w:tc>
      </w:tr>
      <w:tr>
        <w:trPr/>
        <w:tc>
          <w:tcPr>
            <w:tcW w:w="1520" w:type="dxa"/>
            <w:tcBorders/>
            <w:shd w:fill="CCEEFF" w:val="clear"/>
            <w:vAlign w:val="center"/>
          </w:tcPr>
          <w:p>
            <w:pPr>
              <w:pStyle w:val="TableContents"/>
              <w:bidi w:val="0"/>
              <w:spacing w:before="0" w:after="283"/>
              <w:jc w:val="left"/>
              <w:rPr>
                <w:b/>
              </w:rPr>
            </w:pPr>
            <w:r>
              <w:rPr>
                <w:b/>
              </w:rPr>
              <w:t>BALANCE,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 w:name="xdx_98B_eus-gaap--SharesOutstanding_iS_p"/>
            <w:bookmarkEnd w:id="164"/>
          </w:p>
        </w:tc>
        <w:tc>
          <w:tcPr>
            <w:tcW w:w="1100" w:type="dxa"/>
            <w:tcBorders/>
            <w:shd w:fill="CCEEFF" w:val="clear"/>
            <w:vAlign w:val="center"/>
          </w:tcPr>
          <w:p>
            <w:pPr>
              <w:pStyle w:val="TableContents"/>
              <w:bidi w:val="0"/>
              <w:spacing w:before="0" w:after="283"/>
              <w:jc w:val="right"/>
              <w:rPr/>
            </w:pPr>
            <w:r>
              <w:rPr/>
              <w:t>34,213,387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6,841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31,215,698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(28,746,939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2,475,600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5" w:name="xdx_403_eus-gaap--StockIssuedDuringPerio"/>
            <w:bookmarkEnd w:id="165"/>
          </w:p>
        </w:tc>
      </w:tr>
      <w:tr>
        <w:trPr/>
        <w:tc>
          <w:tcPr>
            <w:tcW w:w="1520" w:type="dxa"/>
            <w:tcBorders/>
            <w:shd w:fill="CCEEFF" w:val="clear"/>
            <w:vAlign w:val="center"/>
          </w:tcPr>
          <w:p>
            <w:pPr>
              <w:pStyle w:val="TableContents"/>
              <w:bidi w:val="0"/>
              <w:spacing w:before="0" w:after="283"/>
              <w:jc w:val="left"/>
              <w:rPr/>
            </w:pPr>
            <w:r>
              <w:rPr/>
              <w:t>Issuance of common stock for deferred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A_eus-gaap--StockIssuedDuringPerio"/>
            <w:bookmarkEnd w:id="166"/>
          </w:p>
        </w:tc>
        <w:tc>
          <w:tcPr>
            <w:tcW w:w="1100" w:type="dxa"/>
            <w:tcBorders/>
            <w:shd w:fill="CCEEFF" w:val="clear"/>
            <w:vAlign w:val="center"/>
          </w:tcPr>
          <w:p>
            <w:pPr>
              <w:pStyle w:val="TableContents"/>
              <w:bidi w:val="0"/>
              <w:spacing w:before="0" w:after="283"/>
              <w:jc w:val="right"/>
              <w:rPr/>
            </w:pPr>
            <w:r>
              <w:rPr/>
              <w:t>118,343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(161,000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7" w:name="xdx_40E_eus-gaap--StockIssuedDuringPerio"/>
            <w:bookmarkEnd w:id="167"/>
          </w:p>
        </w:tc>
      </w:tr>
      <w:tr>
        <w:trPr/>
        <w:tc>
          <w:tcPr>
            <w:tcW w:w="1520" w:type="dxa"/>
            <w:tcBorders/>
            <w:shd w:fill="CCEEFF" w:val="clear"/>
            <w:vAlign w:val="center"/>
          </w:tcPr>
          <w:p>
            <w:pPr>
              <w:pStyle w:val="TableContents"/>
              <w:bidi w:val="0"/>
              <w:spacing w:before="0" w:after="283"/>
              <w:jc w:val="left"/>
              <w:rPr/>
            </w:pPr>
            <w:r>
              <w:rPr/>
              <w:t>Issuance of common stock under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 w:name="xdx_98D_eus-gaap--StockIssuedDuringPerio"/>
            <w:bookmarkEnd w:id="168"/>
          </w:p>
        </w:tc>
        <w:tc>
          <w:tcPr>
            <w:tcW w:w="1100" w:type="dxa"/>
            <w:tcBorders/>
            <w:shd w:fill="CCEEFF" w:val="clear"/>
            <w:vAlign w:val="center"/>
          </w:tcPr>
          <w:p>
            <w:pPr>
              <w:pStyle w:val="TableContents"/>
              <w:bidi w:val="0"/>
              <w:spacing w:before="0" w:after="283"/>
              <w:jc w:val="right"/>
              <w:rPr/>
            </w:pPr>
            <w:r>
              <w:rPr/>
              <w:t>102,492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9" w:name="xdx_404_eus-gaap--StockIssuedDuringPerio"/>
            <w:bookmarkEnd w:id="169"/>
          </w:p>
        </w:tc>
      </w:tr>
      <w:tr>
        <w:trPr/>
        <w:tc>
          <w:tcPr>
            <w:tcW w:w="1520" w:type="dxa"/>
            <w:tcBorders/>
            <w:shd w:fill="CCEEFF" w:val="clear"/>
            <w:vAlign w:val="center"/>
          </w:tcPr>
          <w:p>
            <w:pPr>
              <w:pStyle w:val="TableContents"/>
              <w:bidi w:val="0"/>
              <w:spacing w:before="0" w:after="283"/>
              <w:jc w:val="left"/>
              <w:rPr/>
            </w:pPr>
            <w:r>
              <w:rPr/>
              <w:t>Shares withheld for taxes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4_eus-gaap--StockIssuedDuringPerio"/>
            <w:bookmarkEnd w:id="170"/>
          </w:p>
        </w:tc>
        <w:tc>
          <w:tcPr>
            <w:tcW w:w="1100" w:type="dxa"/>
            <w:tcBorders/>
            <w:shd w:fill="CCEEFF" w:val="clear"/>
            <w:vAlign w:val="center"/>
          </w:tcPr>
          <w:p>
            <w:pPr>
              <w:pStyle w:val="TableContents"/>
              <w:bidi w:val="0"/>
              <w:spacing w:before="0" w:after="283"/>
              <w:jc w:val="right"/>
              <w:rPr/>
            </w:pPr>
            <w:r>
              <w:rPr/>
              <w:t>(32,308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(25,743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(25,749</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1" w:name="xdx_402_eus-gaap--StockIssuedDuringPerio"/>
            <w:bookmarkEnd w:id="171"/>
          </w:p>
        </w:tc>
      </w:tr>
      <w:tr>
        <w:trPr/>
        <w:tc>
          <w:tcPr>
            <w:tcW w:w="1520" w:type="dxa"/>
            <w:tcBorders/>
            <w:shd w:fill="CCEEFF" w:val="clear"/>
            <w:vAlign w:val="center"/>
          </w:tcPr>
          <w:p>
            <w:pPr>
              <w:pStyle w:val="TableContents"/>
              <w:bidi w:val="0"/>
              <w:spacing w:before="0" w:after="283"/>
              <w:jc w:val="left"/>
              <w:rPr/>
            </w:pPr>
            <w:r>
              <w:rPr/>
              <w:t>Issuance of common stock for the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 w:name="xdx_98F_eus-gaap--StockIssuedDuringPerio"/>
            <w:bookmarkEnd w:id="172"/>
          </w:p>
        </w:tc>
        <w:tc>
          <w:tcPr>
            <w:tcW w:w="1100" w:type="dxa"/>
            <w:tcBorders/>
            <w:shd w:fill="CCEEFF" w:val="clear"/>
            <w:vAlign w:val="center"/>
          </w:tcPr>
          <w:p>
            <w:pPr>
              <w:pStyle w:val="TableContents"/>
              <w:bidi w:val="0"/>
              <w:spacing w:before="0" w:after="283"/>
              <w:jc w:val="right"/>
              <w:rPr/>
            </w:pPr>
            <w:r>
              <w:rPr/>
              <w:t>3,329,477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6,468,237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6,468,903</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3" w:name="xdx_406_eus-gaap--AdjustmentsToAdditiona"/>
            <w:bookmarkEnd w:id="173"/>
          </w:p>
        </w:tc>
      </w:tr>
      <w:tr>
        <w:trPr/>
        <w:tc>
          <w:tcPr>
            <w:tcW w:w="1520" w:type="dxa"/>
            <w:tcBorders/>
            <w:shd w:fill="CCEEFF" w:val="clear"/>
            <w:vAlign w:val="center"/>
          </w:tcPr>
          <w:p>
            <w:pPr>
              <w:pStyle w:val="TableContents"/>
              <w:bidi w:val="0"/>
              <w:spacing w:before="0" w:after="283"/>
              <w:jc w:val="left"/>
              <w:rPr/>
            </w:pPr>
            <w:r>
              <w:rPr/>
              <w:t>Reclassification of derivative liabilities upon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1,200,231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1,200,231</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4" w:name="xdx_40A_eus-gaap--AdjustmentsToAdditiona"/>
            <w:bookmarkEnd w:id="174"/>
          </w:p>
        </w:tc>
      </w:tr>
      <w:tr>
        <w:trPr/>
        <w:tc>
          <w:tcPr>
            <w:tcW w:w="1520" w:type="dxa"/>
            <w:tcBorders/>
            <w:shd w:fill="CCEEFF" w:val="clear"/>
            <w:vAlign w:val="center"/>
          </w:tcPr>
          <w:p>
            <w:pPr>
              <w:pStyle w:val="TableContents"/>
              <w:bidi w:val="0"/>
              <w:spacing w:before="0" w:after="283"/>
              <w:jc w:val="left"/>
              <w:rPr/>
            </w:pPr>
            <w:r>
              <w:rPr/>
              <w:t>Reclassification of deferred offering costs upon financing drawdown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(2,174,671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(2,174,671</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5" w:name="xdx_401_eus-gaap--StockIssuedDuringPerio"/>
            <w:bookmarkEnd w:id="175"/>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990,123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53,666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1,043,789</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6" w:name="xdx_404_eus-gaap--NetIncomeLoss_zjQ0UOHh"/>
            <w:bookmarkEnd w:id="176"/>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(6,370,246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(6,370,246</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7" w:name="xdx_438_c20260401__20260630_eus-gaap--St"/>
            <w:bookmarkEnd w:id="177"/>
          </w:p>
        </w:tc>
      </w:tr>
      <w:tr>
        <w:trPr/>
        <w:tc>
          <w:tcPr>
            <w:tcW w:w="1520" w:type="dxa"/>
            <w:tcBorders/>
            <w:shd w:fill="CCEEFF" w:val="clear"/>
            <w:vAlign w:val="center"/>
          </w:tcPr>
          <w:p>
            <w:pPr>
              <w:pStyle w:val="TableContents"/>
              <w:bidi w:val="0"/>
              <w:spacing w:before="0" w:after="283"/>
              <w:jc w:val="left"/>
              <w:rPr>
                <w:b/>
              </w:rPr>
            </w:pP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 w:name="xdx_981_eus-gaap--SharesOutstanding_iS_p"/>
            <w:bookmarkEnd w:id="178"/>
          </w:p>
        </w:tc>
        <w:tc>
          <w:tcPr>
            <w:tcW w:w="1100" w:type="dxa"/>
            <w:tcBorders/>
            <w:shd w:fill="CCEEFF" w:val="clear"/>
            <w:vAlign w:val="center"/>
          </w:tcPr>
          <w:p>
            <w:pPr>
              <w:pStyle w:val="TableContents"/>
              <w:bidi w:val="0"/>
              <w:spacing w:before="0" w:after="283"/>
              <w:jc w:val="right"/>
              <w:rPr/>
            </w:pPr>
            <w:r>
              <w:rPr/>
              <w:t>37,731,391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37,834,831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(107,334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(35,117,185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2,617,857</w:t>
            </w:r>
          </w:p>
        </w:tc>
        <w:tc>
          <w:tcPr>
            <w:tcW w:w="110" w:type="dxa"/>
            <w:tcBorders/>
            <w:shd w:fill="CCEEFF" w:val="clear"/>
            <w:vAlign w:val="center"/>
          </w:tcPr>
          <w:p>
            <w:pPr>
              <w:pStyle w:val="TableContents"/>
              <w:bidi w:val="0"/>
              <w:spacing w:before="0" w:after="283"/>
              <w:jc w:val="left"/>
              <w:rPr/>
            </w:pPr>
            <w:r>
              <w:rPr/>
              <w:t> </w:t>
            </w:r>
            <w:bookmarkStart w:id="179" w:name="xdx_43D_c20260401__20260630_eus-gaap--St"/>
            <w:bookmarkEnd w:id="179"/>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0" w:name="xdx_980_eus-gaap--SharesOutstanding_iS_p"/>
            <w:bookmarkEnd w:id="180"/>
          </w:p>
        </w:tc>
        <w:tc>
          <w:tcPr>
            <w:tcW w:w="1100" w:type="dxa"/>
            <w:tcBorders/>
            <w:shd w:fill="CCEEFF" w:val="clear"/>
            <w:vAlign w:val="center"/>
          </w:tcPr>
          <w:p>
            <w:pPr>
              <w:pStyle w:val="TableContents"/>
              <w:bidi w:val="0"/>
              <w:spacing w:before="0" w:after="283"/>
              <w:jc w:val="right"/>
              <w:rPr/>
            </w:pPr>
            <w:r>
              <w:rPr/>
              <w:t>37,731,391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37,834,831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(107,334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(35,117,185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2,617,857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1" w:name="xdx_40A_eus-gaap--StockIssuedDuringPerio"/>
            <w:bookmarkEnd w:id="181"/>
          </w:p>
        </w:tc>
      </w:tr>
      <w:tr>
        <w:trPr/>
        <w:tc>
          <w:tcPr>
            <w:tcW w:w="1520" w:type="dxa"/>
            <w:tcBorders/>
            <w:shd w:fill="CCEEFF" w:val="clear"/>
            <w:vAlign w:val="center"/>
          </w:tcPr>
          <w:p>
            <w:pPr>
              <w:pStyle w:val="TableContents"/>
              <w:bidi w:val="0"/>
              <w:spacing w:before="0" w:after="283"/>
              <w:jc w:val="left"/>
              <w:rPr/>
            </w:pPr>
            <w:r>
              <w:rPr/>
              <w:t>Issuance of common stock for the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 w:name="xdx_983_eus-gaap--StockIssuedDuringPerio"/>
            <w:bookmarkEnd w:id="182"/>
          </w:p>
        </w:tc>
        <w:tc>
          <w:tcPr>
            <w:tcW w:w="1100" w:type="dxa"/>
            <w:tcBorders/>
            <w:shd w:fill="CCEEFF" w:val="clear"/>
            <w:vAlign w:val="center"/>
          </w:tcPr>
          <w:p>
            <w:pPr>
              <w:pStyle w:val="TableContents"/>
              <w:bidi w:val="0"/>
              <w:spacing w:before="0" w:after="283"/>
              <w:jc w:val="right"/>
              <w:rPr/>
            </w:pPr>
            <w:r>
              <w:rPr/>
              <w:t>14,127,956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14,336,026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14,338,852</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3" w:name="xdx_405_eus-gaap--AdjustmentsToAdditiona"/>
            <w:bookmarkEnd w:id="183"/>
          </w:p>
        </w:tc>
      </w:tr>
      <w:tr>
        <w:trPr/>
        <w:tc>
          <w:tcPr>
            <w:tcW w:w="1520" w:type="dxa"/>
            <w:tcBorders/>
            <w:shd w:fill="CCEEFF" w:val="clear"/>
            <w:vAlign w:val="center"/>
          </w:tcPr>
          <w:p>
            <w:pPr>
              <w:pStyle w:val="TableContents"/>
              <w:bidi w:val="0"/>
              <w:spacing w:before="0" w:after="283"/>
              <w:jc w:val="left"/>
              <w:rPr/>
            </w:pPr>
            <w:r>
              <w:rPr/>
              <w:t>Reclassification of derivative liabilities upon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1,056,948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1,056,948</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4" w:name="xdx_401_eus-gaap--StockIssuedDuringPerio"/>
            <w:bookmarkEnd w:id="184"/>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721,789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80,500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802,289</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5" w:name="xdx_404_eus-gaap--NetIncomeLoss_zxTJLFyx"/>
            <w:bookmarkEnd w:id="185"/>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(14,076,388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(14,076,388</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6" w:name="xdx_43A_c20260401__20260630_eus-gaap--St"/>
            <w:bookmarkEnd w:id="186"/>
          </w:p>
        </w:tc>
      </w:tr>
      <w:tr>
        <w:trPr/>
        <w:tc>
          <w:tcPr>
            <w:tcW w:w="1520" w:type="dxa"/>
            <w:tcBorders/>
            <w:shd w:fill="CCEEFF" w:val="clear"/>
            <w:vAlign w:val="center"/>
          </w:tcPr>
          <w:p>
            <w:pPr>
              <w:pStyle w:val="TableContents"/>
              <w:bidi w:val="0"/>
              <w:spacing w:before="0" w:after="283"/>
              <w:jc w:val="left"/>
              <w:rPr>
                <w:b/>
              </w:rPr>
            </w:pPr>
            <w:r>
              <w:rPr>
                <w:b/>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7" w:name="xdx_980_eus-gaap--SharesOutstanding_iE_p"/>
            <w:bookmarkEnd w:id="18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51,859,347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10,371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53,949,594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pPr>
            <w:r>
              <w:rPr/>
              <w:t>(26,834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(49,193,573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pPr>
            <w:r>
              <w:rPr/>
              <w:t>4,739,558</w:t>
            </w:r>
          </w:p>
        </w:tc>
        <w:tc>
          <w:tcPr>
            <w:tcW w:w="110" w:type="dxa"/>
            <w:tcBorders/>
            <w:shd w:fill="CCEEFF" w:val="clear"/>
            <w:vAlign w:val="center"/>
          </w:tcPr>
          <w:p>
            <w:pPr>
              <w:pStyle w:val="TableContents"/>
              <w:bidi w:val="0"/>
              <w:spacing w:before="0" w:after="283"/>
              <w:jc w:val="left"/>
              <w:rPr/>
            </w:pPr>
            <w:r>
              <w:rPr/>
              <w:t> </w:t>
            </w:r>
            <w:bookmarkStart w:id="188" w:name="xdx_432_c20260401__20260630_eus-gaap--St"/>
            <w:bookmarkEnd w:id="188"/>
          </w:p>
        </w:tc>
      </w:tr>
      <w:tr>
        <w:trPr/>
        <w:tc>
          <w:tcPr>
            <w:tcW w:w="1520"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9" w:name="xdx_988_eus-gaap--SharesOutstanding_iE_p"/>
            <w:bookmarkEnd w:id="18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51,859,347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10,371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53,949,594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pPr>
            <w:r>
              <w:rPr/>
              <w:t>(26,834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(49,193,573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pPr>
            <w:r>
              <w:rPr/>
              <w:t>4,739,558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condensed financial statements.</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90" w:name="a_006"/>
      <w:bookmarkEnd w:id="190"/>
      <w:r>
        <w:rPr>
          <w:rFonts w:ascii="Times New Roman;Times;Serif" w:hAnsi="Times New Roman;Times;Serif"/>
          <w:b w:val="false"/>
          <w:i w:val="false"/>
          <w:caps w:val="false"/>
          <w:smallCaps w:val="false"/>
          <w:sz w:val="20"/>
        </w:rPr>
        <w:t>CONDENSED STATEMENTS OF CASH FLOWS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1" w:name="xdx_30A_112_zBOHg4MEAAlb"/>
      <w:bookmarkStart w:id="192" w:name="xdx_30A_112_zBOHg4MEAAlb"/>
      <w:bookmarkEnd w:id="192"/>
    </w:p>
    <w:tbl>
      <w:tblPr>
        <w:tblW w:w="10205" w:type="dxa"/>
        <w:jc w:val="left"/>
        <w:tblInd w:w="0" w:type="dxa"/>
        <w:tblLayout w:type="fixed"/>
        <w:tblCellMar>
          <w:top w:w="0" w:type="dxa"/>
          <w:left w:w="0" w:type="dxa"/>
          <w:bottom w:w="0" w:type="dxa"/>
          <w:right w:w="0" w:type="dxa"/>
        </w:tblCellMar>
      </w:tblPr>
      <w:tblGrid>
        <w:gridCol w:w="7370"/>
        <w:gridCol w:w="60"/>
        <w:gridCol w:w="140"/>
        <w:gridCol w:w="1175"/>
        <w:gridCol w:w="95"/>
        <w:gridCol w:w="60"/>
        <w:gridCol w:w="140"/>
        <w:gridCol w:w="1055"/>
        <w:gridCol w:w="110"/>
      </w:tblGrid>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3" w:name="xdx_49C_20260101__20260630_zYrOZvl46Ldl"/>
            <w:bookmarkEnd w:id="193"/>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4" w:name="xdx_494_20250101__20250630_zI1YbPfBvkec"/>
            <w:bookmarkEnd w:id="194"/>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95" w:name="xdx_40C_eus-gaap--NetCashProvidedByUsedI"/>
            <w:bookmarkEnd w:id="195"/>
          </w:p>
        </w:tc>
      </w:tr>
      <w:tr>
        <w:trPr/>
        <w:tc>
          <w:tcPr>
            <w:tcW w:w="737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6" w:name="xdx_40D_eus-gaap--NetIncomeLoss_i01_maNC"/>
            <w:bookmarkEnd w:id="196"/>
          </w:p>
        </w:tc>
      </w:tr>
      <w:tr>
        <w:trPr/>
        <w:tc>
          <w:tcPr>
            <w:tcW w:w="73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(20,446,633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(5,667,236</w:t>
            </w:r>
          </w:p>
        </w:tc>
        <w:tc>
          <w:tcPr>
            <w:tcW w:w="110" w:type="dxa"/>
            <w:tcBorders/>
            <w:shd w:fill="FFFFFF" w:val="clear"/>
            <w:vAlign w:val="center"/>
          </w:tcPr>
          <w:p>
            <w:pPr>
              <w:pStyle w:val="TableContents"/>
              <w:bidi w:val="0"/>
              <w:spacing w:before="0" w:after="283"/>
              <w:jc w:val="left"/>
              <w:rPr/>
            </w:pPr>
            <w:r>
              <w:rPr/>
              <w:t>)</w:t>
            </w:r>
            <w:bookmarkStart w:id="197" w:name="xdx_400_eus-gaap--AdjustmentsToReconcile"/>
            <w:bookmarkEnd w:id="197"/>
          </w:p>
        </w:tc>
      </w:tr>
      <w:tr>
        <w:trPr/>
        <w:tc>
          <w:tcPr>
            <w:tcW w:w="737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8" w:name="xdx_403_eus-gaap--ShareBasedCompensation"/>
            <w:bookmarkEnd w:id="198"/>
          </w:p>
        </w:tc>
      </w:tr>
      <w:tr>
        <w:trPr/>
        <w:tc>
          <w:tcPr>
            <w:tcW w:w="737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1,846,078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2,032,723</w:t>
            </w:r>
          </w:p>
        </w:tc>
        <w:tc>
          <w:tcPr>
            <w:tcW w:w="110" w:type="dxa"/>
            <w:tcBorders/>
            <w:shd w:fill="FFFFFF" w:val="clear"/>
            <w:vAlign w:val="center"/>
          </w:tcPr>
          <w:p>
            <w:pPr>
              <w:pStyle w:val="TableContents"/>
              <w:bidi w:val="0"/>
              <w:spacing w:before="0" w:after="283"/>
              <w:jc w:val="left"/>
              <w:rPr/>
            </w:pPr>
            <w:r>
              <w:rPr/>
              <w:t> </w:t>
            </w:r>
            <w:bookmarkStart w:id="199" w:name="xdx_409_eus-gaap--DepreciationAndAmortiz"/>
            <w:bookmarkEnd w:id="199"/>
          </w:p>
        </w:tc>
      </w:tr>
      <w:tr>
        <w:trPr/>
        <w:tc>
          <w:tcPr>
            <w:tcW w:w="737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121,553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17,118</w:t>
            </w:r>
          </w:p>
        </w:tc>
        <w:tc>
          <w:tcPr>
            <w:tcW w:w="110" w:type="dxa"/>
            <w:tcBorders/>
            <w:shd w:fill="CCEEFF" w:val="clear"/>
            <w:vAlign w:val="center"/>
          </w:tcPr>
          <w:p>
            <w:pPr>
              <w:pStyle w:val="TableContents"/>
              <w:bidi w:val="0"/>
              <w:spacing w:before="0" w:after="283"/>
              <w:jc w:val="left"/>
              <w:rPr/>
            </w:pPr>
            <w:r>
              <w:rPr/>
              <w:t> </w:t>
            </w:r>
            <w:bookmarkStart w:id="200" w:name="xdx_402_eus-gaap--ProvisionForOtherCredi"/>
            <w:bookmarkEnd w:id="200"/>
          </w:p>
        </w:tc>
      </w:tr>
      <w:tr>
        <w:trPr/>
        <w:tc>
          <w:tcPr>
            <w:tcW w:w="7370" w:type="dxa"/>
            <w:tcBorders/>
            <w:shd w:fill="FFFFFF" w:val="clear"/>
            <w:vAlign w:val="center"/>
          </w:tcPr>
          <w:p>
            <w:pPr>
              <w:pStyle w:val="TableContents"/>
              <w:bidi w:val="0"/>
              <w:spacing w:before="0" w:after="283"/>
              <w:jc w:val="left"/>
              <w:rPr/>
            </w:pPr>
            <w:r>
              <w:rPr/>
              <w:t>Credit loss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1" w:name="xdx_409_ecustom--OperatingLeaseLiability"/>
            <w:bookmarkEnd w:id="201"/>
          </w:p>
        </w:tc>
      </w:tr>
      <w:tr>
        <w:trPr/>
        <w:tc>
          <w:tcPr>
            <w:tcW w:w="7370" w:type="dxa"/>
            <w:tcBorders/>
            <w:shd w:fill="CCEEFF" w:val="clear"/>
            <w:vAlign w:val="center"/>
          </w:tcPr>
          <w:p>
            <w:pPr>
              <w:pStyle w:val="TableContents"/>
              <w:bidi w:val="0"/>
              <w:spacing w:before="0" w:after="283"/>
              <w:jc w:val="left"/>
              <w:rPr/>
            </w:pPr>
            <w:r>
              <w:rPr/>
              <w:t>Operating lease liability - non-cash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2" w:name="xdx_407_eus-gaap--DerivativeGainLossOnDe"/>
            <w:bookmarkEnd w:id="202"/>
          </w:p>
        </w:tc>
      </w:tr>
      <w:tr>
        <w:trPr/>
        <w:tc>
          <w:tcPr>
            <w:tcW w:w="7370"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(1,222,822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(190,000</w:t>
            </w:r>
          </w:p>
        </w:tc>
        <w:tc>
          <w:tcPr>
            <w:tcW w:w="110" w:type="dxa"/>
            <w:tcBorders/>
            <w:shd w:fill="FFFFFF" w:val="clear"/>
            <w:vAlign w:val="center"/>
          </w:tcPr>
          <w:p>
            <w:pPr>
              <w:pStyle w:val="TableContents"/>
              <w:bidi w:val="0"/>
              <w:spacing w:before="0" w:after="283"/>
              <w:jc w:val="left"/>
              <w:rPr/>
            </w:pPr>
            <w:r>
              <w:rPr/>
              <w:t>)</w:t>
            </w:r>
            <w:bookmarkStart w:id="203" w:name="xdx_405_ecustom--LossOnConversionOfConve"/>
            <w:bookmarkEnd w:id="203"/>
          </w:p>
        </w:tc>
      </w:tr>
      <w:tr>
        <w:trPr/>
        <w:tc>
          <w:tcPr>
            <w:tcW w:w="7370" w:type="dxa"/>
            <w:tcBorders/>
            <w:shd w:fill="CCEEFF" w:val="clear"/>
            <w:vAlign w:val="center"/>
          </w:tcPr>
          <w:p>
            <w:pPr>
              <w:pStyle w:val="TableContents"/>
              <w:bidi w:val="0"/>
              <w:spacing w:before="0" w:after="283"/>
              <w:jc w:val="left"/>
              <w:rPr/>
            </w:pPr>
            <w:r>
              <w:rPr/>
              <w:t>Loss 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12,042,410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4" w:name="xdx_40E_eus-gaap--AmortizationOfDebtDisc"/>
            <w:bookmarkEnd w:id="204"/>
          </w:p>
        </w:tc>
      </w:tr>
      <w:tr>
        <w:trPr/>
        <w:tc>
          <w:tcPr>
            <w:tcW w:w="7370" w:type="dxa"/>
            <w:tcBorders/>
            <w:shd w:fill="FFFFFF" w:val="clear"/>
            <w:vAlign w:val="center"/>
          </w:tcPr>
          <w:p>
            <w:pPr>
              <w:pStyle w:val="TableContents"/>
              <w:bidi w:val="0"/>
              <w:spacing w:before="0" w:after="283"/>
              <w:jc w:val="left"/>
              <w:rPr/>
            </w:pPr>
            <w:r>
              <w:rPr/>
              <w:t>Accretion of discount on convertible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379,915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27,738</w:t>
            </w:r>
          </w:p>
        </w:tc>
        <w:tc>
          <w:tcPr>
            <w:tcW w:w="110" w:type="dxa"/>
            <w:tcBorders/>
            <w:shd w:fill="FFFFFF" w:val="clear"/>
            <w:vAlign w:val="center"/>
          </w:tcPr>
          <w:p>
            <w:pPr>
              <w:pStyle w:val="TableContents"/>
              <w:bidi w:val="0"/>
              <w:spacing w:before="0" w:after="283"/>
              <w:jc w:val="left"/>
              <w:rPr/>
            </w:pPr>
            <w:r>
              <w:rPr/>
              <w:t> </w:t>
            </w:r>
            <w:bookmarkStart w:id="205" w:name="xdx_40A_ecustom--AccretionAndImmediateEx"/>
            <w:bookmarkEnd w:id="205"/>
          </w:p>
        </w:tc>
      </w:tr>
      <w:tr>
        <w:trPr/>
        <w:tc>
          <w:tcPr>
            <w:tcW w:w="7370" w:type="dxa"/>
            <w:tcBorders/>
            <w:shd w:fill="CCEEFF" w:val="clear"/>
            <w:vAlign w:val="center"/>
          </w:tcPr>
          <w:p>
            <w:pPr>
              <w:pStyle w:val="TableContents"/>
              <w:bidi w:val="0"/>
              <w:spacing w:before="0" w:after="283"/>
              <w:jc w:val="left"/>
              <w:rPr/>
            </w:pPr>
            <w:r>
              <w:rPr/>
              <w:t>Accretion and immediate expensing of issuance costs on convertible 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133,927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165,869</w:t>
            </w:r>
          </w:p>
        </w:tc>
        <w:tc>
          <w:tcPr>
            <w:tcW w:w="110" w:type="dxa"/>
            <w:tcBorders/>
            <w:shd w:fill="CCEEFF" w:val="clear"/>
            <w:vAlign w:val="center"/>
          </w:tcPr>
          <w:p>
            <w:pPr>
              <w:pStyle w:val="TableContents"/>
              <w:bidi w:val="0"/>
              <w:spacing w:before="0" w:after="283"/>
              <w:jc w:val="left"/>
              <w:rPr/>
            </w:pPr>
            <w:r>
              <w:rPr/>
              <w:t> </w:t>
            </w:r>
            <w:bookmarkStart w:id="206" w:name="xdx_401_eus-gaap--RealizedInvestmentGain"/>
            <w:bookmarkEnd w:id="206"/>
          </w:p>
        </w:tc>
      </w:tr>
      <w:tr>
        <w:trPr/>
        <w:tc>
          <w:tcPr>
            <w:tcW w:w="7370" w:type="dxa"/>
            <w:tcBorders/>
            <w:shd w:fill="FFFFFF" w:val="clear"/>
            <w:vAlign w:val="center"/>
          </w:tcPr>
          <w:p>
            <w:pPr>
              <w:pStyle w:val="TableContents"/>
              <w:bidi w:val="0"/>
              <w:spacing w:before="0" w:after="283"/>
              <w:jc w:val="left"/>
              <w:rPr/>
            </w:pPr>
            <w:r>
              <w:rPr/>
              <w:t>Realized gain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(322,818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7" w:name="xdx_404_eus-gaap--UnrealizedGainLossOnIn"/>
            <w:bookmarkEnd w:id="207"/>
          </w:p>
        </w:tc>
      </w:tr>
      <w:tr>
        <w:trPr/>
        <w:tc>
          <w:tcPr>
            <w:tcW w:w="7370" w:type="dxa"/>
            <w:tcBorders/>
            <w:shd w:fill="CCEEFF" w:val="clear"/>
            <w:vAlign w:val="center"/>
          </w:tcPr>
          <w:p>
            <w:pPr>
              <w:pStyle w:val="TableContents"/>
              <w:bidi w:val="0"/>
              <w:spacing w:before="0" w:after="283"/>
              <w:jc w:val="left"/>
              <w:rPr/>
            </w:pPr>
            <w:r>
              <w:rPr/>
              <w:t>Unrealized loss on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260,976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8" w:name="xdx_409_eus-gaap--OtherNoncashIncomeExpe"/>
            <w:bookmarkEnd w:id="208"/>
          </w:p>
        </w:tc>
      </w:tr>
      <w:tr>
        <w:trPr/>
        <w:tc>
          <w:tcPr>
            <w:tcW w:w="7370" w:type="dxa"/>
            <w:tcBorders/>
            <w:shd w:fill="FFFFFF" w:val="clear"/>
            <w:vAlign w:val="center"/>
          </w:tcPr>
          <w:p>
            <w:pPr>
              <w:pStyle w:val="TableContents"/>
              <w:bidi w:val="0"/>
              <w:spacing w:before="0" w:after="283"/>
              <w:jc w:val="left"/>
              <w:rPr/>
            </w:pPr>
            <w:r>
              <w:rPr/>
              <w:t>Other non-cash item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9" w:name="xdx_40F_eus-gaap--IncreaseDecreaseInOper"/>
            <w:bookmarkEnd w:id="209"/>
          </w:p>
        </w:tc>
      </w:tr>
      <w:tr>
        <w:trPr/>
        <w:tc>
          <w:tcPr>
            <w:tcW w:w="737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0" w:name="xdx_40F_eus-gaap--IncreaseDecreaseInOper"/>
            <w:bookmarkEnd w:id="210"/>
          </w:p>
        </w:tc>
      </w:tr>
      <w:tr>
        <w:trPr/>
        <w:tc>
          <w:tcPr>
            <w:tcW w:w="7370" w:type="dxa"/>
            <w:tcBorders/>
            <w:shd w:fill="FFFFFF" w:val="clear"/>
            <w:vAlign w:val="center"/>
          </w:tcPr>
          <w:p>
            <w:pPr>
              <w:pStyle w:val="TableContents"/>
              <w:bidi w:val="0"/>
              <w:spacing w:before="0" w:after="283"/>
              <w:jc w:val="left"/>
              <w:rPr/>
            </w:pPr>
            <w:r>
              <w:rPr/>
              <w:t>(Increase) decrease 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1" w:name="xdx_40A_eus-gaap--IncreaseDecreaseInAcco"/>
            <w:bookmarkEnd w:id="211"/>
          </w:p>
        </w:tc>
      </w:tr>
      <w:tr>
        <w:trPr/>
        <w:tc>
          <w:tcPr>
            <w:tcW w:w="737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(89,075</w:t>
            </w:r>
          </w:p>
        </w:tc>
        <w:tc>
          <w:tcPr>
            <w:tcW w:w="110" w:type="dxa"/>
            <w:tcBorders/>
            <w:shd w:fill="CCEEFF" w:val="clear"/>
            <w:vAlign w:val="center"/>
          </w:tcPr>
          <w:p>
            <w:pPr>
              <w:pStyle w:val="TableContents"/>
              <w:bidi w:val="0"/>
              <w:spacing w:before="0" w:after="283"/>
              <w:jc w:val="left"/>
              <w:rPr/>
            </w:pPr>
            <w:r>
              <w:rPr/>
              <w:t>)</w:t>
            </w:r>
            <w:bookmarkStart w:id="212" w:name="xdx_403_eus-gaap--IncreaseDecreaseInInve"/>
            <w:bookmarkEnd w:id="212"/>
          </w:p>
        </w:tc>
      </w:tr>
      <w:tr>
        <w:trPr/>
        <w:tc>
          <w:tcPr>
            <w:tcW w:w="737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3" w:name="xdx_40C_eus-gaap--IncreaseDecreaseInPrep"/>
            <w:bookmarkEnd w:id="213"/>
          </w:p>
        </w:tc>
      </w:tr>
      <w:tr>
        <w:trPr/>
        <w:tc>
          <w:tcPr>
            <w:tcW w:w="737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(272,981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(141,431</w:t>
            </w:r>
          </w:p>
        </w:tc>
        <w:tc>
          <w:tcPr>
            <w:tcW w:w="110" w:type="dxa"/>
            <w:tcBorders/>
            <w:shd w:fill="CCEEFF" w:val="clear"/>
            <w:vAlign w:val="center"/>
          </w:tcPr>
          <w:p>
            <w:pPr>
              <w:pStyle w:val="TableContents"/>
              <w:bidi w:val="0"/>
              <w:spacing w:before="0" w:after="283"/>
              <w:jc w:val="left"/>
              <w:rPr/>
            </w:pPr>
            <w:r>
              <w:rPr/>
              <w:t>)</w:t>
            </w:r>
            <w:bookmarkStart w:id="214" w:name="xdx_409_eus-gaap--IncreaseDecreaseInOthe"/>
            <w:bookmarkEnd w:id="214"/>
          </w:p>
        </w:tc>
      </w:tr>
      <w:tr>
        <w:trPr/>
        <w:tc>
          <w:tcPr>
            <w:tcW w:w="737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971</w:t>
            </w:r>
          </w:p>
        </w:tc>
        <w:tc>
          <w:tcPr>
            <w:tcW w:w="110" w:type="dxa"/>
            <w:tcBorders/>
            <w:shd w:fill="FFFFFF" w:val="clear"/>
            <w:vAlign w:val="center"/>
          </w:tcPr>
          <w:p>
            <w:pPr>
              <w:pStyle w:val="TableContents"/>
              <w:bidi w:val="0"/>
              <w:spacing w:before="0" w:after="283"/>
              <w:jc w:val="left"/>
              <w:rPr/>
            </w:pPr>
            <w:r>
              <w:rPr/>
              <w:t> </w:t>
            </w:r>
            <w:bookmarkStart w:id="215" w:name="xdx_404_eus-gaap--IncreaseDecreaseInOthe"/>
            <w:bookmarkEnd w:id="215"/>
          </w:p>
        </w:tc>
      </w:tr>
      <w:tr>
        <w:trPr/>
        <w:tc>
          <w:tcPr>
            <w:tcW w:w="737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(235,624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6" w:name="xdx_40C_eus-gaap--IncreaseDecreaseInOper"/>
            <w:bookmarkEnd w:id="216"/>
          </w:p>
        </w:tc>
      </w:tr>
      <w:tr>
        <w:trPr/>
        <w:tc>
          <w:tcPr>
            <w:tcW w:w="7370" w:type="dxa"/>
            <w:tcBorders/>
            <w:shd w:fill="FFFFFF" w:val="clear"/>
            <w:vAlign w:val="center"/>
          </w:tcPr>
          <w:p>
            <w:pPr>
              <w:pStyle w:val="TableContents"/>
              <w:bidi w:val="0"/>
              <w:spacing w:before="0" w:after="283"/>
              <w:jc w:val="left"/>
              <w:rPr/>
            </w:pPr>
            <w:r>
              <w:rPr/>
              <w:t>Increase (decrease) 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7" w:name="xdx_406_eus-gaap--IncreaseDecreaseInAcco"/>
            <w:bookmarkEnd w:id="217"/>
          </w:p>
        </w:tc>
      </w:tr>
      <w:tr>
        <w:trPr/>
        <w:tc>
          <w:tcPr>
            <w:tcW w:w="737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65,618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61,131</w:t>
            </w:r>
          </w:p>
        </w:tc>
        <w:tc>
          <w:tcPr>
            <w:tcW w:w="110" w:type="dxa"/>
            <w:tcBorders/>
            <w:shd w:fill="CCEEFF" w:val="clear"/>
            <w:vAlign w:val="center"/>
          </w:tcPr>
          <w:p>
            <w:pPr>
              <w:pStyle w:val="TableContents"/>
              <w:bidi w:val="0"/>
              <w:spacing w:before="0" w:after="283"/>
              <w:jc w:val="left"/>
              <w:rPr/>
            </w:pPr>
            <w:r>
              <w:rPr/>
              <w:t> </w:t>
            </w:r>
            <w:bookmarkStart w:id="218" w:name="xdx_40C_eus-gaap--IncreaseDecreaseInAccr"/>
            <w:bookmarkEnd w:id="218"/>
          </w:p>
        </w:tc>
      </w:tr>
      <w:tr>
        <w:trPr/>
        <w:tc>
          <w:tcPr>
            <w:tcW w:w="737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1,408,768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(17,302</w:t>
            </w:r>
          </w:p>
        </w:tc>
        <w:tc>
          <w:tcPr>
            <w:tcW w:w="110" w:type="dxa"/>
            <w:tcBorders/>
            <w:shd w:fill="FFFFFF" w:val="clear"/>
            <w:vAlign w:val="center"/>
          </w:tcPr>
          <w:p>
            <w:pPr>
              <w:pStyle w:val="TableContents"/>
              <w:bidi w:val="0"/>
              <w:spacing w:before="0" w:after="283"/>
              <w:jc w:val="left"/>
              <w:rPr/>
            </w:pPr>
            <w:r>
              <w:rPr/>
              <w:t>)</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9" w:name="xdx_409_eus-gaap--NetCashProvidedByUsedI"/>
            <w:bookmarkEnd w:id="219"/>
          </w:p>
        </w:tc>
      </w:tr>
      <w:tr>
        <w:trPr/>
        <w:tc>
          <w:tcPr>
            <w:tcW w:w="737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(6,257,843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(3,799,494</w:t>
            </w:r>
          </w:p>
        </w:tc>
        <w:tc>
          <w:tcPr>
            <w:tcW w:w="110" w:type="dxa"/>
            <w:tcBorders/>
            <w:shd w:fill="FFFFFF" w:val="clear"/>
            <w:vAlign w:val="center"/>
          </w:tcPr>
          <w:p>
            <w:pPr>
              <w:pStyle w:val="TableContents"/>
              <w:bidi w:val="0"/>
              <w:spacing w:before="0" w:after="283"/>
              <w:jc w:val="left"/>
              <w:rPr/>
            </w:pPr>
            <w:r>
              <w:rPr/>
              <w:t>)</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0" w:name="xdx_404_eus-gaap--NetCashProvidedByUsedI"/>
            <w:bookmarkEnd w:id="220"/>
          </w:p>
        </w:tc>
      </w:tr>
      <w:tr>
        <w:trPr/>
        <w:tc>
          <w:tcPr>
            <w:tcW w:w="737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1" w:name="xdx_404_eus-gaap--PaymentsToAcquirePrope"/>
            <w:bookmarkEnd w:id="221"/>
          </w:p>
        </w:tc>
      </w:tr>
      <w:tr>
        <w:trPr/>
        <w:tc>
          <w:tcPr>
            <w:tcW w:w="7370" w:type="dxa"/>
            <w:tcBorders/>
            <w:shd w:fill="CCEEFF" w:val="clear"/>
            <w:vAlign w:val="center"/>
          </w:tcPr>
          <w:p>
            <w:pPr>
              <w:pStyle w:val="TableContents"/>
              <w:bidi w:val="0"/>
              <w:spacing w:before="0" w:after="283"/>
              <w:jc w:val="left"/>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(439,688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(47,827</w:t>
            </w:r>
          </w:p>
        </w:tc>
        <w:tc>
          <w:tcPr>
            <w:tcW w:w="110" w:type="dxa"/>
            <w:tcBorders/>
            <w:shd w:fill="CCEEFF" w:val="clear"/>
            <w:vAlign w:val="center"/>
          </w:tcPr>
          <w:p>
            <w:pPr>
              <w:pStyle w:val="TableContents"/>
              <w:bidi w:val="0"/>
              <w:spacing w:before="0" w:after="283"/>
              <w:jc w:val="left"/>
              <w:rPr/>
            </w:pPr>
            <w:r>
              <w:rPr/>
              <w:t>)</w:t>
            </w:r>
            <w:bookmarkStart w:id="222" w:name="xdx_40F_eus-gaap--ProceedsFromSaleMaturi"/>
            <w:bookmarkEnd w:id="222"/>
          </w:p>
        </w:tc>
      </w:tr>
      <w:tr>
        <w:trPr/>
        <w:tc>
          <w:tcPr>
            <w:tcW w:w="7370" w:type="dxa"/>
            <w:tcBorders/>
            <w:shd w:fill="FFFFFF" w:val="clear"/>
            <w:vAlign w:val="center"/>
          </w:tcPr>
          <w:p>
            <w:pPr>
              <w:pStyle w:val="TableContents"/>
              <w:bidi w:val="0"/>
              <w:spacing w:before="0" w:after="283"/>
              <w:jc w:val="left"/>
              <w:rPr/>
            </w:pPr>
            <w:r>
              <w:rPr/>
              <w:t>Proceeds from sales of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24,258,747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3" w:name="xdx_401_eus-gaap--PaymentsToAcquireInves"/>
            <w:bookmarkEnd w:id="223"/>
          </w:p>
        </w:tc>
      </w:tr>
      <w:tr>
        <w:trPr/>
        <w:tc>
          <w:tcPr>
            <w:tcW w:w="7370" w:type="dxa"/>
            <w:tcBorders/>
            <w:shd w:fill="CCEEFF" w:val="clear"/>
            <w:vAlign w:val="center"/>
          </w:tcPr>
          <w:p>
            <w:pPr>
              <w:pStyle w:val="TableContents"/>
              <w:bidi w:val="0"/>
              <w:spacing w:before="0" w:after="283"/>
              <w:jc w:val="left"/>
              <w:rPr/>
            </w:pPr>
            <w:r>
              <w:rPr/>
              <w:t>Purchase of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(26,299,029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4" w:name="xdx_404_eus-gaap--NetCashProvidedByUsedI"/>
            <w:bookmarkEnd w:id="224"/>
          </w:p>
        </w:tc>
      </w:tr>
      <w:tr>
        <w:trPr/>
        <w:tc>
          <w:tcPr>
            <w:tcW w:w="737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(2,479,970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(47,827</w:t>
            </w:r>
          </w:p>
        </w:tc>
        <w:tc>
          <w:tcPr>
            <w:tcW w:w="110" w:type="dxa"/>
            <w:tcBorders/>
            <w:shd w:fill="CCEEFF" w:val="clear"/>
            <w:vAlign w:val="center"/>
          </w:tcPr>
          <w:p>
            <w:pPr>
              <w:pStyle w:val="TableContents"/>
              <w:bidi w:val="0"/>
              <w:spacing w:before="0" w:after="283"/>
              <w:jc w:val="left"/>
              <w:rPr/>
            </w:pPr>
            <w:r>
              <w:rPr/>
              <w:t>)</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5" w:name="xdx_405_eus-gaap--NetCashProvidedByUsedI"/>
            <w:bookmarkEnd w:id="225"/>
          </w:p>
        </w:tc>
      </w:tr>
      <w:tr>
        <w:trPr/>
        <w:tc>
          <w:tcPr>
            <w:tcW w:w="737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6" w:name="xdx_403_eus-gaap--ProceedsFromIssuanceOf"/>
            <w:bookmarkEnd w:id="226"/>
          </w:p>
        </w:tc>
      </w:tr>
      <w:tr>
        <w:trPr/>
        <w:tc>
          <w:tcPr>
            <w:tcW w:w="7370" w:type="dxa"/>
            <w:tcBorders/>
            <w:shd w:fill="FFFFFF" w:val="clear"/>
            <w:vAlign w:val="center"/>
          </w:tcPr>
          <w:p>
            <w:pPr>
              <w:pStyle w:val="TableContents"/>
              <w:bidi w:val="0"/>
              <w:spacing w:before="0" w:after="283"/>
              <w:jc w:val="left"/>
              <w:rPr/>
            </w:pPr>
            <w:r>
              <w:rPr/>
              <w:t>Proceeds from sale of common stock,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444,360</w:t>
            </w:r>
          </w:p>
        </w:tc>
        <w:tc>
          <w:tcPr>
            <w:tcW w:w="110" w:type="dxa"/>
            <w:tcBorders/>
            <w:shd w:fill="FFFFFF" w:val="clear"/>
            <w:vAlign w:val="center"/>
          </w:tcPr>
          <w:p>
            <w:pPr>
              <w:pStyle w:val="TableContents"/>
              <w:bidi w:val="0"/>
              <w:spacing w:before="0" w:after="283"/>
              <w:jc w:val="left"/>
              <w:rPr/>
            </w:pPr>
            <w:r>
              <w:rPr/>
              <w:t> </w:t>
            </w:r>
            <w:bookmarkStart w:id="227" w:name="xdx_403_eus-gaap--PaymentsRelatedToTaxWi"/>
            <w:bookmarkEnd w:id="227"/>
          </w:p>
        </w:tc>
      </w:tr>
      <w:tr>
        <w:trPr/>
        <w:tc>
          <w:tcPr>
            <w:tcW w:w="7370" w:type="dxa"/>
            <w:tcBorders/>
            <w:shd w:fill="CCEEFF" w:val="clear"/>
            <w:vAlign w:val="center"/>
          </w:tcPr>
          <w:p>
            <w:pPr>
              <w:pStyle w:val="TableContents"/>
              <w:bidi w:val="0"/>
              <w:spacing w:before="0" w:after="283"/>
              <w:jc w:val="left"/>
              <w:rPr/>
            </w:pPr>
            <w:r>
              <w:rPr/>
              <w:t>Taxes paid for shares withheld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8" w:name="xdx_409_eus-gaap--ProceedsFromWarrantExe"/>
            <w:bookmarkEnd w:id="228"/>
          </w:p>
        </w:tc>
      </w:tr>
      <w:tr>
        <w:trPr/>
        <w:tc>
          <w:tcPr>
            <w:tcW w:w="7370" w:type="dxa"/>
            <w:tcBorders/>
            <w:shd w:fill="FFFFFF" w:val="clear"/>
            <w:vAlign w:val="center"/>
          </w:tcPr>
          <w:p>
            <w:pPr>
              <w:pStyle w:val="TableContents"/>
              <w:bidi w:val="0"/>
              <w:spacing w:before="0" w:after="283"/>
              <w:jc w:val="left"/>
              <w:rPr/>
            </w:pPr>
            <w:r>
              <w:rPr/>
              <w:t>Proceeds from the exercise of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573,896</w:t>
            </w:r>
          </w:p>
        </w:tc>
        <w:tc>
          <w:tcPr>
            <w:tcW w:w="110" w:type="dxa"/>
            <w:tcBorders/>
            <w:shd w:fill="FFFFFF" w:val="clear"/>
            <w:vAlign w:val="center"/>
          </w:tcPr>
          <w:p>
            <w:pPr>
              <w:pStyle w:val="TableContents"/>
              <w:bidi w:val="0"/>
              <w:spacing w:before="0" w:after="283"/>
              <w:jc w:val="left"/>
              <w:rPr/>
            </w:pPr>
            <w:r>
              <w:rPr/>
              <w:t> </w:t>
            </w:r>
            <w:bookmarkStart w:id="229" w:name="xdx_40E_eus-gaap--ProceedsFromNotesPayab"/>
            <w:bookmarkEnd w:id="229"/>
          </w:p>
        </w:tc>
      </w:tr>
      <w:tr>
        <w:trPr/>
        <w:tc>
          <w:tcPr>
            <w:tcW w:w="7370" w:type="dxa"/>
            <w:tcBorders/>
            <w:shd w:fill="CCEEFF" w:val="clear"/>
            <w:vAlign w:val="center"/>
          </w:tcPr>
          <w:p>
            <w:pPr>
              <w:pStyle w:val="TableContents"/>
              <w:bidi w:val="0"/>
              <w:spacing w:before="0" w:after="283"/>
              <w:jc w:val="left"/>
              <w:rPr/>
            </w:pPr>
            <w:r>
              <w:rPr/>
              <w:t>Proceeds from note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0" w:name="xdx_40C_eus-gaap--RepaymentsOfNotesPayab"/>
            <w:bookmarkEnd w:id="230"/>
          </w:p>
        </w:tc>
      </w:tr>
      <w:tr>
        <w:trPr/>
        <w:tc>
          <w:tcPr>
            <w:tcW w:w="7370" w:type="dxa"/>
            <w:tcBorders/>
            <w:shd w:fill="FFFFFF" w:val="clear"/>
            <w:vAlign w:val="center"/>
          </w:tcPr>
          <w:p>
            <w:pPr>
              <w:pStyle w:val="TableContents"/>
              <w:bidi w:val="0"/>
              <w:spacing w:before="0" w:after="283"/>
              <w:jc w:val="left"/>
              <w:rPr/>
            </w:pPr>
            <w:r>
              <w:rPr/>
              <w:t>Repayments of note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(4,486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(4,187</w:t>
            </w:r>
          </w:p>
        </w:tc>
        <w:tc>
          <w:tcPr>
            <w:tcW w:w="110" w:type="dxa"/>
            <w:tcBorders/>
            <w:shd w:fill="FFFFFF" w:val="clear"/>
            <w:vAlign w:val="center"/>
          </w:tcPr>
          <w:p>
            <w:pPr>
              <w:pStyle w:val="TableContents"/>
              <w:bidi w:val="0"/>
              <w:spacing w:before="0" w:after="283"/>
              <w:jc w:val="left"/>
              <w:rPr/>
            </w:pPr>
            <w:r>
              <w:rPr/>
              <w:t>)</w:t>
            </w:r>
            <w:bookmarkStart w:id="231" w:name="xdx_407_eus-gaap--ProceedsFromConvertibl"/>
            <w:bookmarkEnd w:id="231"/>
          </w:p>
        </w:tc>
      </w:tr>
      <w:tr>
        <w:trPr/>
        <w:tc>
          <w:tcPr>
            <w:tcW w:w="7370" w:type="dxa"/>
            <w:tcBorders/>
            <w:shd w:fill="CCEEFF" w:val="clear"/>
            <w:vAlign w:val="center"/>
          </w:tcPr>
          <w:p>
            <w:pPr>
              <w:pStyle w:val="TableContents"/>
              <w:bidi w:val="0"/>
              <w:spacing w:before="0" w:after="283"/>
              <w:jc w:val="left"/>
              <w:rPr/>
            </w:pPr>
            <w:r>
              <w:rPr/>
              <w:t>Proceeds from issuance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4,000,000</w:t>
            </w:r>
          </w:p>
        </w:tc>
        <w:tc>
          <w:tcPr>
            <w:tcW w:w="110" w:type="dxa"/>
            <w:tcBorders/>
            <w:shd w:fill="CCEEFF" w:val="clear"/>
            <w:vAlign w:val="center"/>
          </w:tcPr>
          <w:p>
            <w:pPr>
              <w:pStyle w:val="TableContents"/>
              <w:bidi w:val="0"/>
              <w:spacing w:before="0" w:after="283"/>
              <w:jc w:val="left"/>
              <w:rPr/>
            </w:pPr>
            <w:r>
              <w:rPr/>
              <w:t> </w:t>
            </w:r>
            <w:bookmarkStart w:id="232" w:name="xdx_405_eus-gaap--PaymentsOfDebtIssuance"/>
            <w:bookmarkEnd w:id="232"/>
          </w:p>
        </w:tc>
      </w:tr>
      <w:tr>
        <w:trPr/>
        <w:tc>
          <w:tcPr>
            <w:tcW w:w="7370" w:type="dxa"/>
            <w:tcBorders/>
            <w:shd w:fill="FFFFFF" w:val="clear"/>
            <w:vAlign w:val="center"/>
          </w:tcPr>
          <w:p>
            <w:pPr>
              <w:pStyle w:val="TableContents"/>
              <w:bidi w:val="0"/>
              <w:spacing w:before="0" w:after="283"/>
              <w:jc w:val="left"/>
              <w:rPr/>
            </w:pPr>
            <w:r>
              <w:rPr/>
              <w:t>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33" w:name="xdx_40F_ecustom--RepaymentOfDeferredOffe"/>
            <w:bookmarkEnd w:id="233"/>
          </w:p>
        </w:tc>
      </w:tr>
      <w:tr>
        <w:trPr/>
        <w:tc>
          <w:tcPr>
            <w:tcW w:w="7370"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(688,570</w:t>
            </w:r>
          </w:p>
        </w:tc>
        <w:tc>
          <w:tcPr>
            <w:tcW w:w="110" w:type="dxa"/>
            <w:tcBorders/>
            <w:shd w:fill="CCEEFF" w:val="clear"/>
            <w:vAlign w:val="center"/>
          </w:tcPr>
          <w:p>
            <w:pPr>
              <w:pStyle w:val="TableContents"/>
              <w:bidi w:val="0"/>
              <w:spacing w:before="0" w:after="283"/>
              <w:jc w:val="left"/>
              <w:rPr/>
            </w:pPr>
            <w:r>
              <w:rPr/>
              <w:t>)</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4" w:name="xdx_408_eus-gaap--NetCashProvidedByUsedI"/>
            <w:bookmarkEnd w:id="234"/>
          </w:p>
        </w:tc>
      </w:tr>
      <w:tr>
        <w:trPr/>
        <w:tc>
          <w:tcPr>
            <w:tcW w:w="737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9,610,344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4,325,499</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5" w:name="xdx_403_eus-gaap--CashCashEquivalentsRes"/>
            <w:bookmarkEnd w:id="235"/>
          </w:p>
        </w:tc>
      </w:tr>
      <w:tr>
        <w:trPr/>
        <w:tc>
          <w:tcPr>
            <w:tcW w:w="7370" w:type="dxa"/>
            <w:tcBorders/>
            <w:shd w:fill="CCEEFF" w:val="clear"/>
            <w:vAlign w:val="center"/>
          </w:tcPr>
          <w:p>
            <w:pPr>
              <w:pStyle w:val="TableContents"/>
              <w:bidi w:val="0"/>
              <w:spacing w:before="0" w:after="283"/>
              <w:jc w:val="left"/>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872,531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478,178</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6" w:name="xdx_409_eus-gaap--CashCashEquivalentsRes"/>
            <w:bookmarkEnd w:id="236"/>
          </w:p>
        </w:tc>
      </w:tr>
      <w:tr>
        <w:trPr/>
        <w:tc>
          <w:tcPr>
            <w:tcW w:w="7370"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2,104,004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129,318</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7" w:name="xdx_40E_eus-gaap--CashCashEquivalentsRes"/>
            <w:bookmarkEnd w:id="237"/>
          </w:p>
        </w:tc>
      </w:tr>
      <w:tr>
        <w:trPr/>
        <w:tc>
          <w:tcPr>
            <w:tcW w:w="7370" w:type="dxa"/>
            <w:tcBorders/>
            <w:shd w:fill="CCEEFF" w:val="clear"/>
            <w:vAlign w:val="center"/>
          </w:tcPr>
          <w:p>
            <w:pPr>
              <w:pStyle w:val="TableContents"/>
              <w:bidi w:val="0"/>
              <w:spacing w:before="0" w:after="283"/>
              <w:jc w:val="left"/>
              <w:rPr>
                <w:b/>
              </w:rPr>
            </w:pPr>
            <w:r>
              <w:rPr>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2,976,535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607,496</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8" w:name="xdx_406_eus-gaap--SupplementalCashFlowIn"/>
            <w:bookmarkEnd w:id="238"/>
          </w:p>
        </w:tc>
      </w:tr>
      <w:tr>
        <w:trPr/>
        <w:tc>
          <w:tcPr>
            <w:tcW w:w="7370" w:type="dxa"/>
            <w:tcBorders/>
            <w:shd w:fill="CCEEFF" w:val="cle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9" w:name="xdx_40A_ecustom--CashPaidAbstract_i01B_z"/>
            <w:bookmarkEnd w:id="239"/>
          </w:p>
        </w:tc>
      </w:tr>
      <w:tr>
        <w:trPr/>
        <w:tc>
          <w:tcPr>
            <w:tcW w:w="7370" w:type="dxa"/>
            <w:tcBorders/>
            <w:shd w:fill="FFFFFF" w:val="clear"/>
            <w:vAlign w:val="center"/>
          </w:tcPr>
          <w:p>
            <w:pPr>
              <w:pStyle w:val="TableContents"/>
              <w:bidi w:val="0"/>
              <w:spacing w:before="0" w:after="283"/>
              <w:jc w:val="left"/>
              <w:rPr/>
            </w:pPr>
            <w:r>
              <w:rPr/>
              <w:t>Cash paid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0" w:name="xdx_401_eus-gaap--InterestPaidNet_i02_zM"/>
            <w:bookmarkEnd w:id="240"/>
          </w:p>
        </w:tc>
      </w:tr>
      <w:tr>
        <w:trPr/>
        <w:tc>
          <w:tcPr>
            <w:tcW w:w="7370"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1,939</w:t>
            </w:r>
          </w:p>
        </w:tc>
        <w:tc>
          <w:tcPr>
            <w:tcW w:w="110" w:type="dxa"/>
            <w:tcBorders/>
            <w:shd w:fill="CCEEFF" w:val="clear"/>
            <w:vAlign w:val="center"/>
          </w:tcPr>
          <w:p>
            <w:pPr>
              <w:pStyle w:val="TableContents"/>
              <w:bidi w:val="0"/>
              <w:spacing w:before="0" w:after="283"/>
              <w:jc w:val="left"/>
              <w:rPr/>
            </w:pPr>
            <w:r>
              <w:rPr/>
              <w:t> </w:t>
            </w:r>
            <w:bookmarkStart w:id="241" w:name="xdx_40D_eus-gaap--IncomeTaxesPaidNet_i02"/>
            <w:bookmarkEnd w:id="241"/>
          </w:p>
        </w:tc>
      </w:tr>
      <w:tr>
        <w:trPr/>
        <w:tc>
          <w:tcPr>
            <w:tcW w:w="7370" w:type="dxa"/>
            <w:tcBorders/>
            <w:shd w:fill="FFFFFF" w:val="clear"/>
            <w:vAlign w:val="center"/>
          </w:tcPr>
          <w:p>
            <w:pPr>
              <w:pStyle w:val="TableContents"/>
              <w:bidi w:val="0"/>
              <w:spacing w:before="0" w:after="283"/>
              <w:jc w:val="left"/>
              <w:rPr/>
            </w:pPr>
            <w:r>
              <w:rPr/>
              <w:t>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2" w:name="xdx_405_eus-gaap--NoncashInvestingAndFin"/>
            <w:bookmarkEnd w:id="242"/>
          </w:p>
        </w:tc>
      </w:tr>
      <w:tr>
        <w:trPr/>
        <w:tc>
          <w:tcPr>
            <w:tcW w:w="7370" w:type="dxa"/>
            <w:tcBorders/>
            <w:shd w:fill="FFFFFF" w:val="clear"/>
            <w:vAlign w:val="center"/>
          </w:tcPr>
          <w:p>
            <w:pPr>
              <w:pStyle w:val="TableContents"/>
              <w:bidi w:val="0"/>
              <w:spacing w:before="0" w:after="283"/>
              <w:jc w:val="left"/>
              <w:rPr>
                <w:b/>
              </w:rPr>
            </w:pPr>
            <w:r>
              <w:rPr>
                <w:b/>
              </w:rPr>
              <w:t>SUPPLEMENTAL DISCLOSURE OF NONCASH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3" w:name="xdx_406_ecustom--CommonStockIssuedAsPaym"/>
            <w:bookmarkEnd w:id="243"/>
          </w:p>
        </w:tc>
      </w:tr>
      <w:tr>
        <w:trPr/>
        <w:tc>
          <w:tcPr>
            <w:tcW w:w="7370" w:type="dxa"/>
            <w:tcBorders/>
            <w:shd w:fill="CCEEFF" w:val="clear"/>
            <w:vAlign w:val="center"/>
          </w:tcPr>
          <w:p>
            <w:pPr>
              <w:pStyle w:val="TableContents"/>
              <w:bidi w:val="0"/>
              <w:spacing w:before="0" w:after="283"/>
              <w:jc w:val="left"/>
              <w:rPr/>
            </w:pPr>
            <w:r>
              <w:rPr/>
              <w:t>Common stock issued as payment of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6,927,869</w:t>
            </w:r>
          </w:p>
        </w:tc>
        <w:tc>
          <w:tcPr>
            <w:tcW w:w="110" w:type="dxa"/>
            <w:tcBorders/>
            <w:shd w:fill="CCEEFF" w:val="clear"/>
            <w:vAlign w:val="center"/>
          </w:tcPr>
          <w:p>
            <w:pPr>
              <w:pStyle w:val="TableContents"/>
              <w:bidi w:val="0"/>
              <w:spacing w:before="0" w:after="283"/>
              <w:jc w:val="left"/>
              <w:rPr/>
            </w:pPr>
            <w:r>
              <w:rPr/>
              <w:t> </w:t>
            </w:r>
            <w:bookmarkStart w:id="244" w:name="xdx_408_ecustom--CommonStockIssuedInExch"/>
            <w:bookmarkEnd w:id="244"/>
          </w:p>
        </w:tc>
      </w:tr>
      <w:tr>
        <w:trPr/>
        <w:tc>
          <w:tcPr>
            <w:tcW w:w="7370" w:type="dxa"/>
            <w:tcBorders/>
            <w:shd w:fill="FFFFFF" w:val="clear"/>
            <w:vAlign w:val="center"/>
          </w:tcPr>
          <w:p>
            <w:pPr>
              <w:pStyle w:val="TableContents"/>
              <w:bidi w:val="0"/>
              <w:spacing w:before="0" w:after="283"/>
              <w:jc w:val="left"/>
              <w:rPr/>
            </w:pPr>
            <w:r>
              <w:rPr/>
              <w:t>Common stock issued in exchange for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161,000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1,204,737</w:t>
            </w:r>
          </w:p>
        </w:tc>
        <w:tc>
          <w:tcPr>
            <w:tcW w:w="110" w:type="dxa"/>
            <w:tcBorders/>
            <w:shd w:fill="FFFFFF" w:val="clear"/>
            <w:vAlign w:val="center"/>
          </w:tcPr>
          <w:p>
            <w:pPr>
              <w:pStyle w:val="TableContents"/>
              <w:bidi w:val="0"/>
              <w:spacing w:before="0" w:after="283"/>
              <w:jc w:val="left"/>
              <w:rPr/>
            </w:pPr>
            <w:r>
              <w:rPr/>
              <w:t> </w:t>
            </w:r>
            <w:bookmarkStart w:id="245" w:name="xdx_401_ecustom--CommonStockIssuedForCon"/>
            <w:bookmarkEnd w:id="245"/>
          </w:p>
        </w:tc>
      </w:tr>
      <w:tr>
        <w:trPr/>
        <w:tc>
          <w:tcPr>
            <w:tcW w:w="7370" w:type="dxa"/>
            <w:tcBorders/>
            <w:shd w:fill="CCEEFF" w:val="clear"/>
            <w:vAlign w:val="center"/>
          </w:tcPr>
          <w:p>
            <w:pPr>
              <w:pStyle w:val="TableContents"/>
              <w:bidi w:val="0"/>
              <w:spacing w:before="0" w:after="283"/>
              <w:jc w:val="left"/>
              <w:rPr/>
            </w:pPr>
            <w:r>
              <w:rPr/>
              <w:t>Common stock issued for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20,807,755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6" w:name="xdx_407_ecustom--DerivativeLiabilitiesRe"/>
            <w:bookmarkEnd w:id="246"/>
          </w:p>
        </w:tc>
      </w:tr>
      <w:tr>
        <w:trPr/>
        <w:tc>
          <w:tcPr>
            <w:tcW w:w="7370" w:type="dxa"/>
            <w:tcBorders/>
            <w:shd w:fill="FFFFFF" w:val="clear"/>
            <w:vAlign w:val="center"/>
          </w:tcPr>
          <w:p>
            <w:pPr>
              <w:pStyle w:val="TableContents"/>
              <w:bidi w:val="0"/>
              <w:spacing w:before="0" w:after="283"/>
              <w:jc w:val="left"/>
              <w:rPr/>
            </w:pPr>
            <w:r>
              <w:rPr/>
              <w:t>Derivative liabilities reclassified as additional paid-in capital upon conversion of convertible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2,257,179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7" w:name="xdx_403_ecustom--DeferredOfferingCostsRe"/>
            <w:bookmarkEnd w:id="247"/>
          </w:p>
        </w:tc>
      </w:tr>
      <w:tr>
        <w:trPr/>
        <w:tc>
          <w:tcPr>
            <w:tcW w:w="7370" w:type="dxa"/>
            <w:tcBorders/>
            <w:shd w:fill="CCEEFF" w:val="clear"/>
            <w:vAlign w:val="center"/>
          </w:tcPr>
          <w:p>
            <w:pPr>
              <w:pStyle w:val="TableContents"/>
              <w:bidi w:val="0"/>
              <w:spacing w:before="0" w:after="283"/>
              <w:jc w:val="left"/>
              <w:rPr/>
            </w:pPr>
            <w:r>
              <w:rPr/>
              <w:t>Deferred offering costs recognized as additional paid-in capital upon financing drawdown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2,174,671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871,882</w:t>
            </w:r>
          </w:p>
        </w:tc>
        <w:tc>
          <w:tcPr>
            <w:tcW w:w="110" w:type="dxa"/>
            <w:tcBorders/>
            <w:shd w:fill="CCEEFF" w:val="clear"/>
            <w:vAlign w:val="center"/>
          </w:tcPr>
          <w:p>
            <w:pPr>
              <w:pStyle w:val="TableContents"/>
              <w:bidi w:val="0"/>
              <w:spacing w:before="0" w:after="283"/>
              <w:jc w:val="left"/>
              <w:rPr/>
            </w:pPr>
            <w:r>
              <w:rPr/>
              <w:t> </w:t>
            </w:r>
            <w:bookmarkStart w:id="248" w:name="xdx_404_ecustom--CashlessExerciseOfStock"/>
            <w:bookmarkEnd w:id="248"/>
          </w:p>
        </w:tc>
      </w:tr>
      <w:tr>
        <w:trPr/>
        <w:tc>
          <w:tcPr>
            <w:tcW w:w="7370" w:type="dxa"/>
            <w:tcBorders/>
            <w:shd w:fill="FFFFFF" w:val="clear"/>
            <w:vAlign w:val="center"/>
          </w:tcPr>
          <w:p>
            <w:pPr>
              <w:pStyle w:val="TableContents"/>
              <w:bidi w:val="0"/>
              <w:spacing w:before="0" w:after="283"/>
              <w:jc w:val="left"/>
              <w:rPr/>
            </w:pPr>
            <w:r>
              <w:rPr/>
              <w:t>Cashless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8,970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condensed financial statements.</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249" w:name="a_007"/>
      <w:bookmarkEnd w:id="249"/>
      <w:r>
        <w:rPr>
          <w:rFonts w:ascii="Times New Roman;Times;Serif" w:hAnsi="Times New Roman;Times;Serif"/>
          <w:b w:val="false"/>
          <w:i w:val="false"/>
          <w:caps w:val="false"/>
          <w:smallCaps w:val="false"/>
          <w:sz w:val="20"/>
        </w:rPr>
        <w:t>CONDENSED NOTES TO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val="false"/>
          <w:caps w:val="false"/>
          <w:smallCaps w:val="false"/>
          <w:sz w:val="20"/>
        </w:rPr>
      </w:pPr>
      <w:bookmarkStart w:id="250" w:name="xdx_804_eus-gaap--NatureOfOperations_zZS"/>
      <w:bookmarkEnd w:id="250"/>
      <w:r>
        <w:rPr>
          <w:rFonts w:ascii="Times New Roman;Times;Serif" w:hAnsi="Times New Roman;Times;Serif"/>
          <w:b/>
          <w:i w:val="false"/>
          <w:caps w:val="false"/>
          <w:smallCaps w:val="false"/>
          <w:sz w:val="20"/>
        </w:rPr>
        <w:t xml:space="preserve">NOTE 1 - </w:t>
      </w:r>
      <w:bookmarkStart w:id="251" w:name="xdx_82B_zv6sKbN2xQN5"/>
      <w:bookmarkEnd w:id="251"/>
      <w:r>
        <w:rPr>
          <w:rFonts w:ascii="Times New Roman;Times;Serif" w:hAnsi="Times New Roman;Times;Serif"/>
          <w:b/>
          <w:i w:val="false"/>
          <w:caps w:val="false"/>
          <w:smallCaps w:val="false"/>
          <w:sz w:val="20"/>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 (the Company) was incorporated on April 30, 2020, in the State of Delaware as Dronedek Corporation. On July 27, 2023, Dronedek Corporation changed its name to Arrive Technology Inc. On September 27, 2024, Arrive Technology Inc. changed its name to Arrive AI Inc. The Company is an early-stage technology company with a focus on designing and implementing a commercially-viable smart mailbox for drone, robotic and human package receiving and storage.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the term is used in The Jumpstart Our Business Startups Act (JOBS Act), enacted on April 5, 2012 and has elected to comply with certain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252" w:name="xdx_80C_eus-gaap--SignificantAccountingP"/>
      <w:bookmarkEnd w:id="252"/>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2 - </w:t>
      </w:r>
      <w:bookmarkStart w:id="253" w:name="xdx_82E_z47djCDiPwkk"/>
      <w:bookmarkEnd w:id="253"/>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54" w:name="xdx_86F_zcPUegyx3tS7"/>
      <w:bookmarkStart w:id="255" w:name="xdx_84F_eus-gaap--BasisOfAccountingPolic"/>
      <w:bookmarkEnd w:id="254"/>
      <w:bookmarkEnd w:id="255"/>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of the Company have been prepared in accordance with accounting principles generally accepted in the United States of America (“US GAAP”). These statements include all adjustments which management believes are necessary for a fair presentation of the statements and have been prepared on a consistent basis using the accounting policies described in the Significant Accounting Policies included in the Company’s Annual Report on Form 10-K for the year ended December 31, 2025 as originally filed with the Securities and Exchange Commission on April 15, 2026 (“the 2025 Annual Report”). Certain financial information and footnote disclosures normally included in financial statements prepared in accordance with accounting principles generally accepted in the United States have been condensed or omitted pursuant to the rules and regulations of the Securities and Exchange Commission, although the Company firmly believes that the accompanying disclosures are adequate to make the information presented not misleading. The financial statements should be read in conjunction with the financial statements and notes thereto included in the 2025 Annual Report. The interim operating results for the three and six months ended June 30, 2026 may not be indicative of operating results expected for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56" w:name="xdx_865_zKsTwdVgTUSl"/>
      <w:bookmarkStart w:id="257" w:name="xdx_847_eus-gaap--UseOfEstimates_zXkKTK4"/>
      <w:bookmarkEnd w:id="256"/>
      <w:bookmarkEnd w:id="257"/>
      <w:r>
        <w:rPr>
          <w:rFonts w:ascii="Times New Roman;Times;Serif" w:hAnsi="Times New Roman;Times;Serif"/>
          <w:b w:val="false"/>
          <w:i w:val="false"/>
          <w:caps w:val="false"/>
          <w:smallCaps w:val="false"/>
          <w:sz w:val="20"/>
          <w:u w:val="single"/>
        </w:rPr>
        <w:t>Use of Estimates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58" w:name="xdx_86F_zy84p0tUfN76"/>
      <w:bookmarkStart w:id="259" w:name="xdx_84D_eus-gaap--CashAndCashEquivalents"/>
      <w:bookmarkEnd w:id="258"/>
      <w:bookmarkEnd w:id="259"/>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at the time of purchase to be cash equivalents, including money market accounts held at financial institutions. The Company had cash equivalents of $</w:t>
      </w:r>
      <w:bookmarkStart w:id="260" w:name="xdx_903_eus-gaap--CashEquivalentsAtCarry"/>
      <w:bookmarkEnd w:id="260"/>
      <w:r>
        <w:rPr>
          <w:rFonts w:ascii="Times New Roman;Times;Serif" w:hAnsi="Times New Roman;Times;Serif"/>
          <w:b w:val="false"/>
          <w:i w:val="false"/>
          <w:caps w:val="false"/>
          <w:smallCaps w:val="false"/>
          <w:sz w:val="20"/>
        </w:rPr>
        <w:t>1,649,682 at June 30, 2026, and $</w:t>
      </w:r>
      <w:bookmarkStart w:id="261" w:name="xdx_90F_eus-gaap--CashEquivalentsAtCarry"/>
      <w:bookmarkEnd w:id="261"/>
      <w:r>
        <w:rPr>
          <w:rFonts w:ascii="Times New Roman;Times;Serif" w:hAnsi="Times New Roman;Times;Serif"/>
          <w:b w:val="false"/>
          <w:i w:val="false"/>
          <w:caps w:val="false"/>
          <w:smallCaps w:val="false"/>
          <w:sz w:val="20"/>
        </w:rPr>
        <w:t>0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62" w:name="xdx_865_zgXtmyhBFbo8"/>
      <w:bookmarkStart w:id="263" w:name="xdx_84A_eus-gaap--ConcentrationRiskCredi"/>
      <w:bookmarkEnd w:id="262"/>
      <w:bookmarkEnd w:id="263"/>
      <w:r>
        <w:rPr>
          <w:rFonts w:ascii="Times New Roman;Times;Serif" w:hAnsi="Times New Roman;Times;Serif"/>
          <w:b w:val="false"/>
          <w:i w:val="false"/>
          <w:caps w:val="false"/>
          <w:smallCaps w:val="false"/>
          <w:sz w:val="20"/>
          <w:u w:val="single"/>
        </w:rPr>
        <w:t>Concentration of Credit Risk</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maintain its cash balances in accounts insured by the Federal Deposit Insurance Corporation (the “FDIC”) or by the Securities Investor Protection Corporation (the “SIPC”). The Company may periodically have cash balances in financial institutions in excess of FDIC and SIPC insurance limits. At June 30, 2026, and December 31, 2025, the Company had approximately $</w:t>
      </w:r>
      <w:bookmarkStart w:id="264" w:name="xdx_907_eus-gaap--CashUninsuredAmount_iI"/>
      <w:bookmarkEnd w:id="264"/>
      <w:r>
        <w:rPr>
          <w:rFonts w:ascii="Times New Roman;Times;Serif" w:hAnsi="Times New Roman;Times;Serif"/>
          <w:b w:val="false"/>
          <w:i w:val="false"/>
          <w:caps w:val="false"/>
          <w:smallCaps w:val="false"/>
          <w:sz w:val="20"/>
        </w:rPr>
        <w:t>2,476,535 and $</w:t>
      </w:r>
      <w:bookmarkStart w:id="265" w:name="xdx_90D_eus-gaap--CashUninsuredAmount_iI"/>
      <w:bookmarkEnd w:id="265"/>
      <w:r>
        <w:rPr>
          <w:rFonts w:ascii="Times New Roman;Times;Serif" w:hAnsi="Times New Roman;Times;Serif"/>
          <w:b w:val="false"/>
          <w:i w:val="false"/>
          <w:caps w:val="false"/>
          <w:smallCaps w:val="false"/>
          <w:sz w:val="20"/>
        </w:rPr>
        <w:t>1,604,004 of cash in excess of insured limits, respectively.</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Company is not exposed to any significant risk concerning its cash balances. To date, the Company has not recognized any losses caused by uninsured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66" w:name="xdx_867_zlctAyyxVqU9"/>
      <w:bookmarkStart w:id="267" w:name="xdx_84F_eus-gaap--EquityMethodInvestment"/>
      <w:bookmarkEnd w:id="266"/>
      <w:bookmarkEnd w:id="267"/>
      <w:r>
        <w:rPr>
          <w:rFonts w:ascii="Times New Roman;Times;Serif" w:hAnsi="Times New Roman;Times;Serif"/>
          <w:b w:val="false"/>
          <w:i w:val="false"/>
          <w:caps w:val="false"/>
          <w:smallCaps w:val="false"/>
          <w:sz w:val="20"/>
          <w:u w:val="single"/>
        </w:rPr>
        <w:t>Investments at Fair Value</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the Company invested a portion of its excess cash in exchange-traded equity securities. The Company accounts for these investments in accordance with Financial Accounting Standards Board (“FASB”) Accounting Standards Codification (“ASC”) ASC 321, </w:t>
      </w:r>
      <w:r>
        <w:rPr>
          <w:rFonts w:ascii="Times New Roman;Times;Serif" w:hAnsi="Times New Roman;Times;Serif"/>
          <w:b w:val="false"/>
          <w:i/>
          <w:caps w:val="false"/>
          <w:smallCaps w:val="false"/>
          <w:sz w:val="20"/>
        </w:rPr>
        <w:t>Investments—Equity Securities</w:t>
      </w:r>
      <w:r>
        <w:rPr>
          <w:rFonts w:ascii="Times New Roman;Times;Serif" w:hAnsi="Times New Roman;Times;Serif"/>
          <w:b w:val="false"/>
          <w:i w:val="false"/>
          <w:caps w:val="false"/>
          <w:smallCaps w:val="false"/>
          <w:sz w:val="20"/>
        </w:rPr>
        <w:t xml:space="preserve">. Equity securities with readily determinable fair values are measured at fair value at each reporting date, with changes in fair value recognized in the statement of operations as unrealized gains or losses. Realized gains and losses on the sale or disposition of equity securities are also recognized in the statement of operations in the period of sale. The Company classifies the fair value of these securities within Level 1 of the fair value hierarchy established under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as the securities are exchange-traded with quoted prices in active markets. As of June 30, 2026 the company held equity securities. At December 31, 2025, the Company held no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and the year ended December 31, 2025, the Company wrote covered call options against its long equity security positions to generate income from option premiums. Written call options are recognized as liabilities at fair value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are remeasured at fair value at each reporting date. The Company does not designate these instruments as accounting hedges; accordingly, changes in fair value are recognized in the statement of operations within other income (expense). These instruments are classified within Level 1 of the fair value hierarchy, as they are exchange-traded and valued using quoted market prices in active markets. Premiums received are reflected in the initial fair value of the derivative liability and are subsequently recognized in earnings through changes in fair value over the life of the contract, as the options are traded on recognized national exchanges with quoted prices in active markets. Option premium income received at the time of writing is initially recorded as a liability representing the fair value of the written option and is recognized in earnings upon settlement or expiration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68" w:name="xdx_867_zdRsrrdRvn36"/>
      <w:bookmarkStart w:id="269" w:name="xdx_84A_eus-gaap--CreditLossFinancialIns"/>
      <w:bookmarkEnd w:id="268"/>
      <w:bookmarkEnd w:id="269"/>
      <w:r>
        <w:rPr>
          <w:rFonts w:ascii="Times New Roman;Times;Serif" w:hAnsi="Times New Roman;Times;Serif"/>
          <w:b w:val="false"/>
          <w:i w:val="false"/>
          <w:caps w:val="false"/>
          <w:smallCaps w:val="false"/>
          <w:sz w:val="20"/>
          <w:u w:val="single"/>
        </w:rPr>
        <w:t>Accounts Receivable and Allowance for Credit Losses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customer obligations due under normal trade terms, which are typically due upon receipt of the invoice. Credit is extended based on an evaluation of a customer’s financial condition and collateral is not required. Accounts receivable are stated as amounts due from customers net of an allowance for credit losses. The Company recognizes an allowance for expected credit losses at each balance sheet date. This estimate is derived from a review of the Company’s historical losses based on the aging of receivables. Receivables with similar risk characteristics are pooled for the estimation of expected credit losses. Management adjusts its historical estimate based on its assessment of current conditions, reasonable and supportable forecasts regarding future events, and any other factors deemed relevant by the Company. At each reporting date, the Company updates its estimate of expected credit losses to reflect any changes in credit risk since the receivable was initially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writes off receivables when there is information that indicates the debtor is facing significant financial difficulty and there is no possibility of recovery. If any recoveries are made from any accounts previously written off, they will be recognized in earnings in the year of recovery, in accordance with the entity’s accounting policy. At June 30, 2026 and December 31, 2025, management determined that substantially all outstanding receivables were fully collectible. The Company did not incur material write-offs during the six months ended June 30, 2026 and year ended December 31, 2025.</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70" w:name="xdx_861_z93IuHErCJI6"/>
      <w:bookmarkStart w:id="271" w:name="xdx_84E_eus-gaap--PropertyPlantAndEquipm"/>
      <w:bookmarkEnd w:id="270"/>
      <w:bookmarkEnd w:id="271"/>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is recorded at cost. Depreciation is computed using the straight-line method over the estimated useful life of the asset ranging from </w:t>
      </w:r>
      <w:bookmarkStart w:id="272" w:name="xdx_90B_eus-gaap--PropertyPlantAndEquipm"/>
      <w:bookmarkEnd w:id="272"/>
      <w:r>
        <w:rPr>
          <w:rFonts w:ascii="Times New Roman;Times;Serif" w:hAnsi="Times New Roman;Times;Serif"/>
          <w:b w:val="false"/>
          <w:i w:val="false"/>
          <w:caps w:val="false"/>
          <w:smallCaps w:val="false"/>
          <w:sz w:val="20"/>
        </w:rPr>
        <w:t xml:space="preserve">2two to </w:t>
      </w:r>
      <w:bookmarkStart w:id="273" w:name="xdx_90D_eus-gaap--PropertyPlantAndEquipm"/>
      <w:bookmarkEnd w:id="273"/>
      <w:r>
        <w:rPr>
          <w:rFonts w:ascii="Times New Roman;Times;Serif" w:hAnsi="Times New Roman;Times;Serif"/>
          <w:b w:val="false"/>
          <w:i w:val="false"/>
          <w:caps w:val="false"/>
          <w:smallCaps w:val="false"/>
          <w:sz w:val="20"/>
        </w:rPr>
        <w:t>5five years. The cost of leasehold improvements is amortized over the lesser of the length of the related leases or the estimated useful lives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repairs of property are charged to operations, and major improvements are capitalized. Upon retirement, sale, or other disposition of property and equipment, the costs and accumulated depreciation are eliminated from the accounts, and any resulting gain or loss is included in operations.</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74" w:name="xdx_865_zg7sIXJFiic1"/>
      <w:bookmarkStart w:id="275" w:name="xdx_847_eus-gaap--GoodwillAndIntangibleA"/>
      <w:bookmarkEnd w:id="274"/>
      <w:bookmarkEnd w:id="275"/>
      <w:r>
        <w:rPr>
          <w:rFonts w:ascii="Times New Roman;Times;Serif" w:hAnsi="Times New Roman;Times;Serif"/>
          <w:b w:val="false"/>
          <w:i w:val="false"/>
          <w:caps w:val="false"/>
          <w:smallCaps w:val="false"/>
          <w:sz w:val="20"/>
          <w:u w:val="single"/>
        </w:rPr>
        <w:t>Intangible Assets –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external costs, such as filing fees, registration documentation, and attorney fees associated with the application and issuance of patents. Amortization commences when the patent is granted and placed in service and is calculated on a straight-line basis over the remaining legal life of the patent. Costs associated with pending applications are capitalized but not amortized until issuance. Maintenance patent fees are paid to a government patent authority to maintain a granted patent in force. Some countries require the payment of maintenance fees for pending patent applications; these are expensed as incurred. Maintenance fees paid after a patent is granted are expensed, as these are considered ongoing costs to “maintain a patent.” The Company expenses costs associated with maintaining and defending patents subsequent to issuance in the period incurred. The Company assesses the potential impairment of all capitalized patent costs when events or changes in circumstances indicate that the carrying amount of the Company’s patent portfolio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76" w:name="xdx_861_zjdePR63taVa"/>
      <w:bookmarkStart w:id="277" w:name="xdx_84C_eus-gaap--ImpairmentOrDisposalOf"/>
      <w:bookmarkEnd w:id="276"/>
      <w:bookmarkEnd w:id="277"/>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the recoverability of its long-lived assets in accordance with ASC 360, </w:t>
      </w:r>
      <w:r>
        <w:rPr>
          <w:rFonts w:ascii="Times New Roman;Times;Serif" w:hAnsi="Times New Roman;Times;Serif"/>
          <w:b w:val="false"/>
          <w:i/>
          <w:caps w:val="false"/>
          <w:smallCaps w:val="false"/>
          <w:sz w:val="20"/>
        </w:rPr>
        <w:t xml:space="preserve">Property, Plant, and Equipment. </w:t>
      </w: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Recoverability of long-lived assets are measured by a comparison of the carrying amount of an asset to future cashflows expected to be generated by the asset, undiscounted and without interest or independent appraisals. If such assets are considered to be impaired, the impairment to be recognized is measured by the amount by which the carrying amount of the asset exceeds the fair value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three types of long-lived assets: property and equipment, including vehicles, equipment, and leasehold improvements; construction-in-progress (CIP), and intangible patent assets including those acquired by the acquisition of Airbox Technology in 2023. </w:t>
      </w:r>
      <w:bookmarkStart w:id="278" w:name="xdx_90D_eus-gaap--ImpairmentOfLongLivedA"/>
      <w:bookmarkStart w:id="279" w:name="xdx_90B_eus-gaap--ImpairmentOfLongLivedA"/>
      <w:bookmarkEnd w:id="278"/>
      <w:bookmarkEnd w:id="279"/>
      <w:r>
        <w:rPr>
          <w:rFonts w:ascii="Times New Roman;Times;Serif" w:hAnsi="Times New Roman;Times;Serif"/>
          <w:b w:val="false"/>
          <w:i w:val="false"/>
          <w:caps w:val="false"/>
          <w:smallCaps w:val="false"/>
          <w:sz w:val="20"/>
        </w:rPr>
        <w:t>No impairments of long-lived assets were considered necessary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0" w:name="xdx_86D_zqydRseyg3nf"/>
      <w:bookmarkStart w:id="281" w:name="xdx_849_eus-gaap--RevenueFromContractWit"/>
      <w:bookmarkEnd w:id="280"/>
      <w:bookmarkEnd w:id="281"/>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generates revenue from consulting and implementation services and recurring subscription services for access to the Arrive Point network. The Company identifies performance obligations in its contracts with customers, which generally consist of consulting services, installation services, and subscription services. The transaction price is allocated to each distinct performance obligation based on relative standalone selling prices. Contracts are typically short-term in nature and generally do not include significant variable consideration or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subscription services are recognized over time as the customer simultaneously receives and consumes the benefits of the services in accordance with ASC 606-10-25-27(a). Revenue is recognized using an appropriate measure of progress that reflects the transfer of control to the customer, generally based on time elapsed or services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services are generally recognized at a point in time when control of the service is transferred to the customer, which typically occurs upon completion of installation and customer acceptance,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2" w:name="xdx_86F_z6vyWdbfYHZ1"/>
      <w:bookmarkStart w:id="283" w:name="xdx_849_ecustom--ContractBalancesPolicyT"/>
      <w:bookmarkEnd w:id="282"/>
      <w:bookmarkEnd w:id="283"/>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and, when applicable, unbilled receivables (contract assets), and customer advances and deposits (contract liabilities) on the balance sheet. The Company may request advances or deposits from customers before revenue is recognized, which results in contract liabilities. These contract liabilities are released as the performance obligations are satisfied. As disclosed in NOTE 3, the Company did not have any contract assets or contract liabilities recorded on the balance sheet as of June 30, 2026 and December 31, 2025.</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4" w:name="xdx_868_zORmDXxeqtA5"/>
      <w:bookmarkStart w:id="285" w:name="xdx_84B_eus-gaap--LesseeLeasesPolicyText"/>
      <w:bookmarkEnd w:id="284"/>
      <w:bookmarkEnd w:id="285"/>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whether an arrangement is a lease at contract inception. The Company classifies leases as operating or finance leases at commencement; however, all of the Company’s leases are currently classified as operating leases. Operating leases are included in “Right-of-use assets – operating leases” and “Operating lease liabilities” in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(“ROU”) assets represent the Company’s right to use the underlying asset for the lease term, and lease liabilities represent the Company’s obligation to make lease payments arising from the lease. Operating lease ROU assets and lease liabilities are recognized at the commencement date based on the present value of lease payments over the lease term. Lease payments included in the measurement of the lease liability consist of fixed payments and variable payments that depend on an index or rate, as applicable. Variable lease payments that do not depend on an index or rate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rate implicit in the lease when that rate is readily determinable. If the implicit rate is not readily determinable, the Company uses its incremental borrowing rate at the commencement date, which reflects the rate of interest the Company would pay to borrow on a collateralized basis over a similar term in a similar economic environment. The lease term includes options to extend or terminate the lease when it is reasonably certain that the Company will exercise such options. Lease and non-lease components are generally accounted for separately. The Company has elected the short-term lease exemption and does not recognize ROU assets or lease liabilities for leases with an initial term of 12 months or less. Lease expense for operating leases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86" w:name="xdx_868_zmV6wcKZ9Gz4"/>
      <w:bookmarkStart w:id="287" w:name="xdx_84E_eus-gaap--StockholdersEquityPoli"/>
      <w:bookmarkEnd w:id="286"/>
      <w:bookmarkEnd w:id="287"/>
      <w:r>
        <w:rPr>
          <w:rFonts w:ascii="Times New Roman;Times;Serif" w:hAnsi="Times New Roman;Times;Serif"/>
          <w:b w:val="false"/>
          <w:i w:val="false"/>
          <w:caps w:val="false"/>
          <w:smallCaps w:val="false"/>
          <w:sz w:val="20"/>
          <w:u w:val="single"/>
        </w:rPr>
        <w:t>Equity Financing</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equity financing transactions to obtain the funds necessary to continue operations and develop a commercially viable smart mailbox system for drone, robotic and human package receiving and storage. These transactions have included the issuance of common stock and 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warrants issued in connection with equity financing transactions under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if the warrants are not required to be classified as liabilities under ASC 480, the Company then evaluates them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to determine whether they are indexed to the Company’s own stock and meet the criteria for equity classification. The Company concluded that the warrants meet the criteria for equity classification and are accounted for as equity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terms and conditions of each equity financing transaction, the warrants are exercisable into additional common shares at an agreed-upon price, as defined in the Stock and Warrant Purchase Agreement (“the agreement”) prior to the expiration of the warrants as stipulated by the terms of the transaction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eligible for issuance under the outstanding warrants were registered under the Securities Act of 1933 on July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8" w:name="xdx_86F_zMxXtbDBTmJa"/>
      <w:bookmarkStart w:id="289" w:name="xdx_84F_eus-gaap--EarningsPerSharePolicy"/>
      <w:bookmarkEnd w:id="288"/>
      <w:bookmarkEnd w:id="289"/>
      <w:r>
        <w:rPr>
          <w:rFonts w:ascii="Times New Roman;Times;Serif" w:hAnsi="Times New Roman;Times;Serif"/>
          <w:b w:val="false"/>
          <w:i w:val="false"/>
          <w:caps w:val="false"/>
          <w:smallCaps w:val="false"/>
          <w:sz w:val="20"/>
          <w:u w:val="single"/>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resulting in the presentation of basic and diluted earnings per share. Basic loss per share is computed by dividing net loss by weighted average number of shares of common stock outstanding during each period. Diluted loss per share is computed by dividing net loss by the weighted average number of shares of common stock, common stock equivalents, and potentially dilutive securities outstanding during the period. Because the Company reported a net loss for the three and six months ended June 30, 2026 and 2025, common stock equivalents, including stock options and warrants, were anti-dilutive; therefore, the amounts reported for basic and diluted loss per share were the same.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0" w:name="xdx_89C_eus-gaap--ScheduleOfAntidilutive"/>
      <w:bookmarkEnd w:id="290"/>
      <w:r>
        <w:rPr>
          <w:rFonts w:ascii="Times New Roman;Times;Serif" w:hAnsi="Times New Roman;Times;Serif"/>
          <w:b w:val="false"/>
          <w:i w:val="false"/>
          <w:caps w:val="false"/>
          <w:smallCaps w:val="false"/>
          <w:sz w:val="20"/>
        </w:rPr>
        <w:t>The following securities were excluded from the computation of diluted loss per share because their effect would have been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1" w:name="xdx_8BE_zVYtd06cfzQ5"/>
      <w:bookmarkEnd w:id="291"/>
      <w:r>
        <w:rPr>
          <w:rFonts w:ascii="Times New Roman;Times;Serif" w:hAnsi="Times New Roman;Times;Serif"/>
          <w:b w:val="false"/>
          <w:i w:val="false"/>
          <w:caps w:val="false"/>
          <w:smallCaps w:val="false"/>
          <w:sz w:val="20"/>
        </w:rPr>
        <w:t xml:space="preserve">SCHEDULE OF DILUTIVE SECURITIES </w:t>
      </w:r>
    </w:p>
    <w:tbl>
      <w:tblPr>
        <w:tblW w:w="8639" w:type="dxa"/>
        <w:jc w:val="left"/>
        <w:tblInd w:w="0" w:type="dxa"/>
        <w:tblLayout w:type="fixed"/>
        <w:tblCellMar>
          <w:top w:w="0" w:type="dxa"/>
          <w:left w:w="0" w:type="dxa"/>
          <w:bottom w:w="0" w:type="dxa"/>
          <w:right w:w="0" w:type="dxa"/>
        </w:tblCellMar>
      </w:tblPr>
      <w:tblGrid>
        <w:gridCol w:w="2450"/>
        <w:gridCol w:w="60"/>
        <w:gridCol w:w="76"/>
        <w:gridCol w:w="1412"/>
        <w:gridCol w:w="65"/>
        <w:gridCol w:w="65"/>
        <w:gridCol w:w="103"/>
        <w:gridCol w:w="1385"/>
        <w:gridCol w:w="60"/>
        <w:gridCol w:w="60"/>
        <w:gridCol w:w="70"/>
        <w:gridCol w:w="1284"/>
        <w:gridCol w:w="60"/>
        <w:gridCol w:w="60"/>
        <w:gridCol w:w="94"/>
        <w:gridCol w:w="1260"/>
        <w:gridCol w:w="7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92" w:name="xdx_49C_20260401__20260630_zgKTe2UvNsSl"/>
            <w:bookmarkEnd w:id="292"/>
          </w:p>
        </w:tc>
        <w:tc>
          <w:tcPr>
            <w:tcW w:w="1488"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bookmarkStart w:id="293" w:name="xdx_498_20250401__20250630_z4B1nISvqnj2"/>
            <w:bookmarkEnd w:id="293"/>
          </w:p>
        </w:tc>
        <w:tc>
          <w:tcPr>
            <w:tcW w:w="1488" w:type="dxa"/>
            <w:gridSpan w:val="2"/>
            <w:tcBorders>
              <w:bottom w:val="single" w:sz="8" w:space="0" w:color="000000"/>
            </w:tcBorders>
            <w:tcMar>
              <w:bottom w:w="28" w:type="dxa"/>
            </w:tcMar>
            <w:vAlign w:val="center"/>
          </w:tcPr>
          <w:p>
            <w:pPr>
              <w:pStyle w:val="TableContents"/>
              <w:bidi w:val="0"/>
              <w:spacing w:before="0" w:after="283"/>
              <w:jc w:val="center"/>
              <w:rPr/>
            </w:pPr>
            <w:r>
              <w:rPr/>
              <w:t>June 30,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94" w:name="xdx_497_20260101__20260630_z5bjUeoofRMf"/>
            <w:bookmarkEnd w:id="294"/>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95" w:name="xdx_49B_20250101__20250630_z4P1ALDIV0M6"/>
            <w:bookmarkEnd w:id="295"/>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2025</w:t>
            </w:r>
          </w:p>
        </w:tc>
        <w:tc>
          <w:tcPr>
            <w:tcW w:w="75"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8"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488" w:type="dxa"/>
            <w:gridSpan w:val="2"/>
            <w:tcBorders>
              <w:bottom w:val="single" w:sz="8" w:space="0" w:color="000000"/>
            </w:tcBorders>
            <w:tcMar>
              <w:bottom w:w="28" w:type="dxa"/>
            </w:tcMar>
            <w:vAlign w:val="center"/>
          </w:tcPr>
          <w:p>
            <w:pPr>
              <w:pStyle w:val="TableContents"/>
              <w:bidi w:val="0"/>
              <w:spacing w:before="0" w:after="283"/>
              <w:jc w:val="center"/>
              <w:rPr/>
            </w:pPr>
            <w:r>
              <w:rPr/>
              <w:t>June 30,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2025</w:t>
            </w:r>
          </w:p>
        </w:tc>
        <w:tc>
          <w:tcPr>
            <w:tcW w:w="75" w:type="dxa"/>
            <w:tcBorders/>
            <w:vAlign w:val="center"/>
          </w:tcPr>
          <w:p>
            <w:pPr>
              <w:pStyle w:val="TableContents"/>
              <w:bidi w:val="0"/>
              <w:spacing w:before="0" w:after="283"/>
              <w:jc w:val="center"/>
              <w:rPr/>
            </w:pPr>
            <w:r>
              <w:rPr/>
              <w:t> </w:t>
            </w:r>
            <w:bookmarkStart w:id="296" w:name="xdx_40F_eus-gaap--AntidilutiveSecurities"/>
            <w:bookmarkEnd w:id="296"/>
          </w:p>
        </w:tc>
      </w:tr>
      <w:tr>
        <w:trPr/>
        <w:tc>
          <w:tcPr>
            <w:tcW w:w="24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Convertible notes payable </w:t>
            </w:r>
            <w:bookmarkStart w:id="297" w:name="xdx_F49_zDZHtVjz54Ch"/>
            <w:bookmarkEnd w:id="297"/>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16,090,884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704,272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16,090,884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704,272</w:t>
            </w:r>
          </w:p>
        </w:tc>
        <w:tc>
          <w:tcPr>
            <w:tcW w:w="75" w:type="dxa"/>
            <w:tcBorders/>
            <w:shd w:fill="CCEEFF" w:val="clear"/>
            <w:vAlign w:val="center"/>
          </w:tcPr>
          <w:p>
            <w:pPr>
              <w:pStyle w:val="TableContents"/>
              <w:bidi w:val="0"/>
              <w:spacing w:before="0" w:after="283"/>
              <w:jc w:val="left"/>
              <w:rPr/>
            </w:pPr>
            <w:r>
              <w:rPr/>
              <w:t> </w:t>
            </w:r>
            <w:bookmarkStart w:id="298" w:name="xdx_40C_eus-gaap--AntidilutiveSecurities"/>
            <w:bookmarkEnd w:id="298"/>
          </w:p>
        </w:tc>
      </w:tr>
      <w:tr>
        <w:trPr/>
        <w:tc>
          <w:tcPr>
            <w:tcW w:w="2450" w:type="dxa"/>
            <w:tcBorders/>
            <w:shd w:fill="FFFFFF" w:val="clear"/>
            <w:vAlign w:val="center"/>
          </w:tcPr>
          <w:p>
            <w:pPr>
              <w:pStyle w:val="TableContents"/>
              <w:bidi w:val="0"/>
              <w:spacing w:before="0" w:after="283"/>
              <w:jc w:val="both"/>
              <w:rPr/>
            </w:pPr>
            <w:r>
              <w:rPr/>
              <w:t>Warrants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4,504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11,137</w:t>
            </w:r>
          </w:p>
        </w:tc>
        <w:tc>
          <w:tcPr>
            <w:tcW w:w="75" w:type="dxa"/>
            <w:tcBorders/>
            <w:shd w:fill="FFFFFF" w:val="clear"/>
            <w:vAlign w:val="center"/>
          </w:tcPr>
          <w:p>
            <w:pPr>
              <w:pStyle w:val="TableContents"/>
              <w:bidi w:val="0"/>
              <w:spacing w:before="0" w:after="283"/>
              <w:jc w:val="left"/>
              <w:rPr/>
            </w:pPr>
            <w:r>
              <w:rPr/>
              <w:t> </w:t>
            </w:r>
            <w:bookmarkStart w:id="299" w:name="xdx_40A_eus-gaap--AntidilutiveSecurities"/>
            <w:bookmarkEnd w:id="299"/>
          </w:p>
        </w:tc>
      </w:tr>
      <w:tr>
        <w:trPr/>
        <w:tc>
          <w:tcPr>
            <w:tcW w:w="2450"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177,485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193,721</w:t>
            </w:r>
          </w:p>
        </w:tc>
        <w:tc>
          <w:tcPr>
            <w:tcW w:w="75" w:type="dxa"/>
            <w:tcBorders/>
            <w:shd w:fill="CCEEFF" w:val="clear"/>
            <w:vAlign w:val="center"/>
          </w:tcPr>
          <w:p>
            <w:pPr>
              <w:pStyle w:val="TableContents"/>
              <w:bidi w:val="0"/>
              <w:spacing w:before="0" w:after="283"/>
              <w:jc w:val="left"/>
              <w:rPr/>
            </w:pPr>
            <w:r>
              <w:rPr/>
              <w:t> </w:t>
            </w:r>
            <w:bookmarkStart w:id="300" w:name="xdx_40A_eus-gaap--AntidilutiveSecurities"/>
            <w:bookmarkEnd w:id="300"/>
          </w:p>
        </w:tc>
      </w:tr>
      <w:tr>
        <w:trPr/>
        <w:tc>
          <w:tcPr>
            <w:tcW w:w="2450"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2" w:type="dxa"/>
            <w:tcBorders>
              <w:bottom w:val="single" w:sz="8" w:space="0" w:color="000000"/>
            </w:tcBorders>
            <w:shd w:fill="FFFFFF" w:val="clear"/>
            <w:tcMar>
              <w:bottom w:w="28" w:type="dxa"/>
            </w:tcMar>
            <w:vAlign w:val="center"/>
          </w:tcPr>
          <w:p>
            <w:pPr>
              <w:pStyle w:val="TableContents"/>
              <w:bidi w:val="0"/>
              <w:spacing w:before="0" w:after="283"/>
              <w:jc w:val="right"/>
              <w:rPr/>
            </w:pPr>
            <w:r>
              <w:rPr/>
              <w:t>170,604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1,040,726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1" w:name="xdx_403_eus-gaap--AntidilutiveSecurities"/>
            <w:bookmarkEnd w:id="301"/>
          </w:p>
        </w:tc>
      </w:tr>
      <w:tr>
        <w:trPr/>
        <w:tc>
          <w:tcPr>
            <w:tcW w:w="2450" w:type="dxa"/>
            <w:tcBorders/>
            <w:shd w:fill="CCEEFF" w:val="clear"/>
            <w:vAlign w:val="center"/>
          </w:tcPr>
          <w:p>
            <w:pPr>
              <w:pStyle w:val="TableContents"/>
              <w:bidi w:val="0"/>
              <w:spacing w:before="0" w:after="283"/>
              <w:jc w:val="left"/>
              <w:rPr/>
            </w:pPr>
            <w:r>
              <w:rPr/>
              <w:t>Total excluded shares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12" w:type="dxa"/>
            <w:tcBorders>
              <w:bottom w:val="double" w:sz="6" w:space="0" w:color="000000"/>
            </w:tcBorders>
            <w:shd w:fill="CCEEFF" w:val="clear"/>
            <w:tcMar>
              <w:bottom w:w="28" w:type="dxa"/>
            </w:tcMar>
            <w:vAlign w:val="center"/>
          </w:tcPr>
          <w:p>
            <w:pPr>
              <w:pStyle w:val="TableContents"/>
              <w:bidi w:val="0"/>
              <w:spacing w:before="0" w:after="283"/>
              <w:jc w:val="right"/>
              <w:rPr/>
            </w:pPr>
            <w:r>
              <w:rPr/>
              <w:t>16,261,488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pPr>
            <w:r>
              <w:rPr/>
              <w:t>886,261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pPr>
            <w:r>
              <w:rPr/>
              <w:t>17,131,610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double" w:sz="6" w:space="0" w:color="000000"/>
            </w:tcBorders>
            <w:shd w:fill="CCEEFF" w:val="clear"/>
            <w:tcMar>
              <w:bottom w:w="28" w:type="dxa"/>
            </w:tcMar>
            <w:vAlign w:val="center"/>
          </w:tcPr>
          <w:p>
            <w:pPr>
              <w:pStyle w:val="TableContents"/>
              <w:bidi w:val="0"/>
              <w:spacing w:before="0" w:after="283"/>
              <w:jc w:val="right"/>
              <w:rPr/>
            </w:pPr>
            <w:r>
              <w:rPr/>
              <w:t>909,130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60"/>
        <w:gridCol w:w="9919"/>
      </w:tblGrid>
      <w:tr>
        <w:trPr/>
        <w:tc>
          <w:tcPr>
            <w:tcW w:w="2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02" w:name="xdx_F02_zBzAZcgkJfnc"/>
            <w:bookmarkEnd w:id="302"/>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03" w:name="xdx_F11_zADEC0zzSzc5"/>
            <w:bookmarkEnd w:id="303"/>
            <w:r>
              <w:rPr>
                <w:rFonts w:ascii="Times New Roman;Times;Serif" w:hAnsi="Times New Roman;Times;Serif"/>
                <w:b w:val="false"/>
                <w:i w:val="false"/>
                <w:caps w:val="false"/>
                <w:smallCaps w:val="false"/>
                <w:sz w:val="20"/>
              </w:rPr>
              <w:t xml:space="preserve">Amount assumes conversion of convertible notes payable outstanding principal and interest as of June 30, 2026 and 2025, using the conversion price calculated from the minimum 10-day volume weighted average price at June 30, 2026 and 2025, respectively. </w:t>
            </w:r>
          </w:p>
        </w:tc>
      </w:tr>
    </w:tbl>
    <w:p>
      <w:pPr>
        <w:pStyle w:val="TextBody"/>
        <w:bidi w:val="0"/>
        <w:spacing w:before="0" w:after="0"/>
        <w:ind w:left="0" w:right="0" w:hanging="0"/>
        <w:jc w:val="both"/>
        <w:rPr>
          <w:caps w:val="false"/>
          <w:smallCaps w:val="false"/>
        </w:rPr>
      </w:pPr>
      <w:bookmarkStart w:id="304" w:name="xdx_8AB_zTKkIlFMnLia"/>
      <w:bookmarkEnd w:id="3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05" w:name="xdx_864_zoRHELN8yc2l"/>
      <w:bookmarkStart w:id="306" w:name="xdx_847_eus-gaap--ComprehensiveIncomePol"/>
      <w:bookmarkEnd w:id="305"/>
      <w:bookmarkEnd w:id="306"/>
      <w:r>
        <w:rPr>
          <w:rFonts w:ascii="Times New Roman;Times;Serif" w:hAnsi="Times New Roman;Times;Serif"/>
          <w:b w:val="false"/>
          <w:i w:val="false"/>
          <w:caps w:val="false"/>
          <w:smallCaps w:val="false"/>
          <w:sz w:val="20"/>
          <w:u w:val="single"/>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220-10, “</w:t>
      </w:r>
      <w:r>
        <w:rPr>
          <w:rFonts w:ascii="Times New Roman;Times;Serif" w:hAnsi="Times New Roman;Times;Serif"/>
          <w:b w:val="false"/>
          <w:i/>
          <w:caps w:val="false"/>
          <w:smallCaps w:val="false"/>
          <w:sz w:val="20"/>
        </w:rPr>
        <w:t>Reporting Comprehensive Income (Loss).”</w:t>
      </w:r>
      <w:r>
        <w:rPr>
          <w:rFonts w:ascii="Times New Roman;Times;Serif" w:hAnsi="Times New Roman;Times;Serif"/>
          <w:b w:val="false"/>
          <w:i w:val="false"/>
          <w:caps w:val="false"/>
          <w:smallCaps w:val="false"/>
          <w:sz w:val="20"/>
        </w:rPr>
        <w:t xml:space="preserve"> Comprehensive loss is a more inclusive financial reporting methodology that includes disclosure of certain financial information that historically has not been recognized in the calculation of net loss. The Company had no items of other comprehensive income (loss) for three and six months ended June 30, 2026 and 2025. Accordingly, comprehensive loss equals net loss for those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307" w:name="xdx_847_ecustom--OfferingCostsPolicyText"/>
      <w:bookmarkEnd w:id="307"/>
      <w:r>
        <w:rPr>
          <w:rFonts w:ascii="Times New Roman;Times;Serif" w:hAnsi="Times New Roman;Times;Serif"/>
          <w:b w:val="false"/>
          <w:i w:val="false"/>
          <w:caps w:val="false"/>
          <w:smallCaps w:val="false"/>
          <w:sz w:val="20"/>
          <w:u w:val="single"/>
        </w:rPr>
        <w:t>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offering costs in accordance with ASC 340-10-S99-1, </w:t>
      </w:r>
      <w:r>
        <w:rPr>
          <w:rFonts w:ascii="Times New Roman;Times;Serif" w:hAnsi="Times New Roman;Times;Serif"/>
          <w:b w:val="false"/>
          <w:i/>
          <w:caps w:val="false"/>
          <w:smallCaps w:val="false"/>
          <w:sz w:val="20"/>
        </w:rPr>
        <w:t>Other Assets and Deferred Costs</w:t>
      </w:r>
      <w:r>
        <w:rPr>
          <w:rFonts w:ascii="Times New Roman;Times;Serif" w:hAnsi="Times New Roman;Times;Serif"/>
          <w:b w:val="false"/>
          <w:i w:val="false"/>
          <w:caps w:val="false"/>
          <w:smallCaps w:val="false"/>
          <w:sz w:val="20"/>
        </w:rPr>
        <w:t xml:space="preserve"> and SAB Topic 5A, </w:t>
      </w:r>
      <w:r>
        <w:rPr>
          <w:rFonts w:ascii="Times New Roman;Times;Serif" w:hAnsi="Times New Roman;Times;Serif"/>
          <w:b w:val="false"/>
          <w:i/>
          <w:caps w:val="false"/>
          <w:smallCaps w:val="false"/>
          <w:sz w:val="20"/>
        </w:rPr>
        <w:t>Expenses of Offering</w:t>
      </w:r>
      <w:r>
        <w:rPr>
          <w:rFonts w:ascii="Times New Roman;Times;Serif" w:hAnsi="Times New Roman;Times;Serif"/>
          <w:b w:val="false"/>
          <w:i w:val="false"/>
          <w:caps w:val="false"/>
          <w:smallCaps w:val="false"/>
          <w:sz w:val="20"/>
        </w:rPr>
        <w:t>. Costs that are directly attributable to proposed or actual equity offerings are capitalized as deferred offering costs until the offering is completed. Deferred offering costs consist of underwriting, legal, accounting, and other expenses. Upon completion of an equity offering, such costs are recorded as a reduction of the related proceeds and reflected as a reduction of additional paid-in capital. If an offering is abandoned, the related deferred offering costs are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08" w:name="xdx_861_zB5KsdaZi7ed"/>
      <w:bookmarkStart w:id="309" w:name="xdx_84E_eus-gaap--ResearchAndDevelopment"/>
      <w:bookmarkEnd w:id="308"/>
      <w:bookmarkEnd w:id="309"/>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(“R&amp;D”) costs are expensed as incurred in accordance with ASC 730,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 R&amp;D expenses primarily consist of fees paid to third-party consultants and other costs incurred in the development of the Company’s proprietary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 the Company recognized R&amp;D expense of $</w:t>
      </w:r>
      <w:bookmarkStart w:id="310" w:name="xdx_909_eus-gaap--ResearchAndDevelopment"/>
      <w:bookmarkEnd w:id="310"/>
      <w:r>
        <w:rPr>
          <w:rFonts w:ascii="Times New Roman;Times;Serif" w:hAnsi="Times New Roman;Times;Serif"/>
          <w:b w:val="false"/>
          <w:i w:val="false"/>
          <w:caps w:val="false"/>
          <w:smallCaps w:val="false"/>
          <w:sz w:val="20"/>
        </w:rPr>
        <w:t>346,541 and $</w:t>
      </w:r>
      <w:bookmarkStart w:id="311" w:name="xdx_90F_eus-gaap--ResearchAndDevelopment"/>
      <w:bookmarkEnd w:id="311"/>
      <w:r>
        <w:rPr>
          <w:rFonts w:ascii="Times New Roman;Times;Serif" w:hAnsi="Times New Roman;Times;Serif"/>
          <w:b w:val="false"/>
          <w:i w:val="false"/>
          <w:caps w:val="false"/>
          <w:smallCaps w:val="false"/>
          <w:sz w:val="20"/>
        </w:rPr>
        <w:t>703,614 and $</w:t>
      </w:r>
      <w:bookmarkStart w:id="312" w:name="xdx_908_eus-gaap--ResearchAndDevelopment"/>
      <w:bookmarkEnd w:id="312"/>
      <w:r>
        <w:rPr>
          <w:rFonts w:ascii="Times New Roman;Times;Serif" w:hAnsi="Times New Roman;Times;Serif"/>
          <w:b w:val="false"/>
          <w:i w:val="false"/>
          <w:caps w:val="false"/>
          <w:smallCaps w:val="false"/>
          <w:sz w:val="20"/>
        </w:rPr>
        <w:t>293,468 and $</w:t>
      </w:r>
      <w:bookmarkStart w:id="313" w:name="xdx_907_eus-gaap--ResearchAndDevelopment"/>
      <w:bookmarkEnd w:id="313"/>
      <w:r>
        <w:rPr>
          <w:rFonts w:ascii="Times New Roman;Times;Serif" w:hAnsi="Times New Roman;Times;Serif"/>
          <w:b w:val="false"/>
          <w:i w:val="false"/>
          <w:caps w:val="false"/>
          <w:smallCaps w:val="false"/>
          <w:sz w:val="20"/>
        </w:rPr>
        <w:t>384,731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314" w:name="xdx_860_zXOSjBjyL7Jf"/>
      <w:bookmarkStart w:id="315" w:name="xdx_848_eus-gaap--AdvertisingCostsPolicy"/>
      <w:bookmarkEnd w:id="314"/>
      <w:bookmarkEnd w:id="315"/>
      <w:r>
        <w:rPr>
          <w:rFonts w:ascii="Times New Roman;Times;Serif" w:hAnsi="Times New Roman;Times;Serif"/>
          <w:b w:val="false"/>
          <w:i w:val="false"/>
          <w:caps w:val="false"/>
          <w:smallCaps w:val="false"/>
          <w:sz w:val="20"/>
          <w:u w:val="single"/>
        </w:rPr>
        <w:t>Advertising Costs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for the three and six months ended June 30, 2026 and 2025, were $</w:t>
      </w:r>
      <w:bookmarkStart w:id="316" w:name="xdx_902_eus-gaap--AdvertisingExpense_c20"/>
      <w:bookmarkEnd w:id="316"/>
      <w:r>
        <w:rPr>
          <w:rFonts w:ascii="Times New Roman;Times;Serif" w:hAnsi="Times New Roman;Times;Serif"/>
          <w:b w:val="false"/>
          <w:i w:val="false"/>
          <w:caps w:val="false"/>
          <w:smallCaps w:val="false"/>
          <w:sz w:val="20"/>
        </w:rPr>
        <w:t>63,861 and $</w:t>
      </w:r>
      <w:bookmarkStart w:id="317" w:name="xdx_901_eus-gaap--AdvertisingExpense_c20"/>
      <w:bookmarkEnd w:id="317"/>
      <w:r>
        <w:rPr>
          <w:rFonts w:ascii="Times New Roman;Times;Serif" w:hAnsi="Times New Roman;Times;Serif"/>
          <w:b w:val="false"/>
          <w:i w:val="false"/>
          <w:caps w:val="false"/>
          <w:smallCaps w:val="false"/>
          <w:sz w:val="20"/>
        </w:rPr>
        <w:t>91,889 and $</w:t>
      </w:r>
      <w:bookmarkStart w:id="318" w:name="xdx_904_eus-gaap--AdvertisingExpense_c20"/>
      <w:bookmarkEnd w:id="318"/>
      <w:r>
        <w:rPr>
          <w:rFonts w:ascii="Times New Roman;Times;Serif" w:hAnsi="Times New Roman;Times;Serif"/>
          <w:b w:val="false"/>
          <w:i w:val="false"/>
          <w:caps w:val="false"/>
          <w:smallCaps w:val="false"/>
          <w:sz w:val="20"/>
        </w:rPr>
        <w:t>49,602 and $</w:t>
      </w:r>
      <w:bookmarkStart w:id="319" w:name="xdx_903_eus-gaap--AdvertisingExpense_c20"/>
      <w:bookmarkEnd w:id="319"/>
      <w:r>
        <w:rPr>
          <w:rFonts w:ascii="Times New Roman;Times;Serif" w:hAnsi="Times New Roman;Times;Serif"/>
          <w:b w:val="false"/>
          <w:i w:val="false"/>
          <w:caps w:val="false"/>
          <w:smallCaps w:val="false"/>
          <w:sz w:val="20"/>
        </w:rPr>
        <w:t>57,263, respectively. These costs when incurred are included in sales and marketing expenses.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0" w:name="xdx_86A_zbfjKD8ZAJ37"/>
      <w:bookmarkStart w:id="321" w:name="xdx_84F_eus-gaap--ShareBasedCompensation"/>
      <w:bookmarkEnd w:id="320"/>
      <w:bookmarkEnd w:id="321"/>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compensation under the provisions of ASC 718, </w:t>
      </w:r>
      <w:r>
        <w:rPr>
          <w:rFonts w:ascii="Times New Roman;Times;Serif" w:hAnsi="Times New Roman;Times;Serif"/>
          <w:b w:val="false"/>
          <w:i/>
          <w:caps w:val="false"/>
          <w:smallCaps w:val="false"/>
          <w:sz w:val="20"/>
        </w:rPr>
        <w:t xml:space="preserve">Compensation—Stock Compensation, </w:t>
      </w:r>
      <w:r>
        <w:rPr>
          <w:rFonts w:ascii="Times New Roman;Times;Serif" w:hAnsi="Times New Roman;Times;Serif"/>
          <w:b w:val="false"/>
          <w:i w:val="false"/>
          <w:caps w:val="false"/>
          <w:smallCaps w:val="false"/>
          <w:sz w:val="20"/>
        </w:rPr>
        <w:t>which requires the measurement and recognition of compensation expense for all stock-based awards made to employees and directors based on estimated fair values on the grant date. The Company estimates the fair value of stock option awards on the date of grant using the Black-Scholes model. The fair value of restricted stock units is measured at the market price of the Company’s stock on the date of grant. The value of the portion of the award that is ultimately expected to vest is recognized as expense over the requisite service periods using the straight-line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Accounting Standards Update (“ASU”) No. 2018-07, </w:t>
      </w:r>
      <w:r>
        <w:rPr>
          <w:rFonts w:ascii="Times New Roman;Times;Serif" w:hAnsi="Times New Roman;Times;Serif"/>
          <w:b w:val="false"/>
          <w:i/>
          <w:caps w:val="false"/>
          <w:smallCaps w:val="false"/>
          <w:sz w:val="20"/>
        </w:rPr>
        <w:t>Compensation—Stock Compensation (Topic 718), Improvements to Nonemployee Share-Based Payment Accounting</w:t>
      </w:r>
      <w:r>
        <w:rPr>
          <w:rFonts w:ascii="Times New Roman;Times;Serif" w:hAnsi="Times New Roman;Times;Serif"/>
          <w:b w:val="false"/>
          <w:i w:val="false"/>
          <w:caps w:val="false"/>
          <w:smallCaps w:val="false"/>
          <w:sz w:val="20"/>
        </w:rPr>
        <w:t>, the Company accounts for share-based payment transactions for acquiring goods and services from nonemployees in a manner consistent with employee awards. Such awards are measured at the grant-date fair value of the equity instruments issued and recognized as expense when the goods are delivered or services are rendered, unless the awards are subject to vesting conditions, in which case expense is recognized over the requisite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account for forfeiture of stock-based awards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fair value of one (1) share of the Company’s common stock was determined to be $</w:t>
      </w:r>
      <w:bookmarkStart w:id="322" w:name="xdx_906_ecustom--SharebasedCompensationA"/>
      <w:bookmarkEnd w:id="322"/>
      <w:r>
        <w:rPr>
          <w:rFonts w:ascii="Times New Roman;Times;Serif" w:hAnsi="Times New Roman;Times;Serif"/>
          <w:b w:val="false"/>
          <w:i w:val="false"/>
          <w:caps w:val="false"/>
          <w:smallCaps w:val="false"/>
          <w:sz w:val="20"/>
        </w:rPr>
        <w:t>13.00 for the period of January 1, 2025 to May 15, 2025. On May 15, 2025, the Company completed its direct listing, and its common stock began trading on the Nasdaq Stock Exchange. Subsequent to May 15, 2025, the price of the Company’s common stock was determined by the Nasdaq daily closing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May 15, 2025, the fair value of common stock was determined using the prior transaction method, which considers actual transactions in the Company’s non-controlling, non-marketable private company equity interests. This method reflects the value of a non-controlling, non-marketable interest; however, management concluded that no additional discount for lack of control or marketability was necessary based on the specific facts and circumstances. As part of this methodology, there are a number of limiting assumptions, however, management believes it appropriately represents the fair market value indication for one (1) share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3" w:name="xdx_862_zSGZtS1r0KSa"/>
      <w:bookmarkStart w:id="324" w:name="xdx_841_ecustom--ConvertibleNotesPayable"/>
      <w:bookmarkEnd w:id="323"/>
      <w:bookmarkEnd w:id="324"/>
      <w:r>
        <w:rPr>
          <w:rFonts w:ascii="Times New Roman;Times;Serif" w:hAnsi="Times New Roman;Times;Serif"/>
          <w:b w:val="false"/>
          <w:i w:val="false"/>
          <w:caps w:val="false"/>
          <w:smallCaps w:val="false"/>
          <w:sz w:val="20"/>
          <w:u w:val="single"/>
        </w:rPr>
        <w:t>Convertible Notes Payable and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convertible notes in accordance with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and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At issuance, the Company evaluates each convertible note to determine whether any embedded features must be bifurcated and accounted for separately as a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embedded conversion feature fails the indexed-to-own-stock test under ASC 815-40-15, because the conversion price is determined by a path-dependent formula rather than a fixed price or a current observable price, the conversion feature is bifurcated from the host debt instrument and recognized as a derivative liability at fair value on the issuance date. The host debt instrument is then recorded at an initial carrying value equal to the cash proceeds received, reduced by (i) the original issue discount (“OID”), (ii) the fair value of the bifurcated derivative liability at issuance, and (iii) debt issuance costs allocable to the host instrument.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 embedded derivative is bifurcated from a convertible note at issuance, the Company initially records the derivative liability at fair value, with the residual proceeds allocated to the host debt instrument, consistent with ASC 835-30 and ASC 815. Debt issuance costs are allocated consistently with this initial measurement approach. The portion of issuance costs allocated to the derivative liability is expensed immediately in the period of issuance. The portion of issuance costs allocated to the host debt instrument is recorded as a contra-debt balance (debt issuance costs) and amortized to interest expense over the expected term of the note using the effective interest method (“EIM”).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discount on each host debt instrument consisting of OID, the fair value of the bifurcated derivative at issuance, and allocated debt issuance costs is accreted to the face amount of the note using the EIM over the expected term of each note in accordance with ASC 835-30.</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convertible note has no stated maturity date, the Company estimates the expected term based on management’s best estimate of the period over which the debt is expected to remain outstanding, considering the economic substance of the instrument, the contractual terms, the expected timing and pattern of conversion or settlement, and other relevant facts and circumstances. The expected term used for accretion of the host debt instrument is applied consistently with the expected term used in valuing any bifurcated embedded derivative. This estimate is reassessed when facts and circumstances indicate a change may be warranted.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derivative liabilities are recognized at fair value on the issuance date of the applicable convertible note and are subsequently remeasured at fair value at each reporting date and at each conversion date, in accordance with ASC 815. Changes in fair value are recognized in earnings as a gain or loss on change in fair value of derivative liabilities and are presented as a separate line item within other income (expense)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the conversion feature’s fair value cannot be estimated using a closed-form solution because the conversion price is based on a formula that incorporates path-dependent inputs, the Company estimates fair value using a Monte Carlo simulation model. The model simulates a large number of potential stock price paths and computes the expected present value of the conversion payoff under each path. The significant unobservable inputs used in the Monte Carlo simulation include the expected equity volatility, expected instrument term, risk-free rate, and debt discount rate. These instruments are classified within Level 3 of the fair value hierarchy established under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because their valuation relies on significant unobservable inputs. See NOTE 5 for a description of the valuation methodology and significant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noteholder elects to convert a portion or all of a convertible note into shares of common stock, the Company accounts for the conversion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pro-rata portion of the carrying value of the host debt instrument, including the related pro-rata unamortized OID and pro-rata unamortized debt issuance costs, is derecognized upon conversion. If the carrying amount of the net host instrument differs from the consideration transferred, the difference is recognized as a gain or loss on conversion of debt in accordance with ASC 470-50.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pro-rata portion of the bifurcated derivative liability attributable to the converted principal is remeasured to fair value as of the conversion date. The change in fair value from the most recent prior remeasurement date to the conversion date is recognized in earnings as a gain or loss on change in fair value of derivative liabilities. Upon conversion of the convertible notes payable, the pro-rata portion of the remeasured fair value of the derivative liability is then derecognized from the balance sheet with a credit to additional paid-in capital.</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5" w:name="xdx_863_zyrQy1BeM8Rd"/>
      <w:bookmarkStart w:id="326" w:name="xdx_84F_eus-gaap--IncomeTaxPolicyTextBlo"/>
      <w:bookmarkEnd w:id="325"/>
      <w:bookmarkEnd w:id="326"/>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current and deferred tax assets and liabilities for temporary differences between the financial reporting and tax bases of assets and liabilities and for operating loss carryforwards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 valuation allowance is established when, based on the weight of available evidence, it is more-likely-than-not that some or all of the deferred tax assets will not be realized. The Company has recorded no current or deferred income tax benefit primarily due to losses and a full valuation allowance on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7" w:name="xdx_864_zMVJSHQycoJa"/>
      <w:bookmarkStart w:id="328" w:name="xdx_841_eus-gaap--NewAccountingPronounce"/>
      <w:bookmarkEnd w:id="327"/>
      <w:bookmarkEnd w:id="328"/>
      <w:r>
        <w:rPr>
          <w:rFonts w:ascii="Times New Roman;Times;Serif" w:hAnsi="Times New Roman;Times;Serif"/>
          <w:b w:val="false"/>
          <w:i w:val="false"/>
          <w:caps w:val="false"/>
          <w:smallCaps w:val="false"/>
          <w:sz w:val="20"/>
          <w:u w:val="single"/>
        </w:rPr>
        <w:t>Recently Adopted Accounting Pronouncements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Improvements to Income Tax Disclosures</w:t>
      </w:r>
      <w:r>
        <w:rPr>
          <w:rFonts w:ascii="Times New Roman;Times;Serif" w:hAnsi="Times New Roman;Times;Serif"/>
          <w:b w:val="false"/>
          <w:i w:val="false"/>
          <w:caps w:val="false"/>
          <w:smallCaps w:val="false"/>
          <w:sz w:val="20"/>
        </w:rPr>
        <w:t xml:space="preserve"> (“ASU 2023-09”), which requires the disclosure of a tabular reconciliation for state and local income tax, tax credits, and changes in valuation allowance. The requirements are effective for annual reporting periods beginning after December 15, 2024, and may be applied prospectively or retrospectively. The Company has adopted the additional disclosure requirements under ASU 2023-09. The additional requirements did not have a material impact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The amendments provide a practical expedient allowing entities to assume that conditions existing at the balance sheet date are expected to remain unchanged over the life of current accounts receivable when estimating expected credit losses. The amendments are effective for annual reporting periods beginning after December 15, 2025, including interim periods within those fiscal years. The impact of adopting this standard was immaterial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9" w:name="xdx_869_zddTvAyuOlhf"/>
      <w:bookmarkStart w:id="330" w:name="xdx_84A_ecustom--NewAccountingPronouncem"/>
      <w:bookmarkEnd w:id="329"/>
      <w:bookmarkEnd w:id="330"/>
      <w:r>
        <w:rPr>
          <w:rFonts w:ascii="Times New Roman;Times;Serif" w:hAnsi="Times New Roman;Times;Serif"/>
          <w:b w:val="false"/>
          <w:i w:val="false"/>
          <w:caps w:val="false"/>
          <w:smallCaps w:val="false"/>
          <w:sz w:val="20"/>
          <w:u w:val="single"/>
        </w:rPr>
        <w:t>Recently Issued Accounting Pronouncements Not Yet Adopted</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ASC Subtopic </w:t>
      </w:r>
      <w:r>
        <w:rPr>
          <w:rFonts w:ascii="Times New Roman;Times;Serif" w:hAnsi="Times New Roman;Times;Serif"/>
          <w:b w:val="false"/>
          <w:i/>
          <w:caps w:val="false"/>
          <w:smallCaps w:val="false"/>
          <w:sz w:val="20"/>
        </w:rPr>
        <w:t>Disaggregation of Income Statement Expenses (ASC 220-40): Income Statement-Reporting Comprehensive Income—Expense Disaggregation Disclosures</w:t>
      </w:r>
      <w:r>
        <w:rPr>
          <w:rFonts w:ascii="Times New Roman;Times;Serif" w:hAnsi="Times New Roman;Times;Serif"/>
          <w:b w:val="false"/>
          <w:i w:val="false"/>
          <w:caps w:val="false"/>
          <w:smallCaps w:val="false"/>
          <w:sz w:val="20"/>
        </w:rPr>
        <w:t>. The amendments require additional disclosure of the nature of expenses included in the income statement. The amendments in this update are effective for public business entities for fiscal years, beginning after December 15, 2026. Early adoption is permitted. The Company is currently assessing the impact of the adoption of this standard on its financial statements.</w:t>
      </w:r>
    </w:p>
    <w:p>
      <w:pPr>
        <w:pStyle w:val="TextBody"/>
        <w:bidi w:val="0"/>
        <w:spacing w:before="0" w:after="0"/>
        <w:ind w:left="0" w:right="0" w:hanging="0"/>
        <w:jc w:val="both"/>
        <w:rPr>
          <w:caps w:val="false"/>
          <w:smallCaps w:val="false"/>
        </w:rPr>
      </w:pPr>
      <w:bookmarkStart w:id="331" w:name="xdx_85B_zr3OoZrnYpG5"/>
      <w:bookmarkEnd w:id="331"/>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32" w:name="xdx_800_eus-gaap--RevenueFromContractWit"/>
      <w:bookmarkEnd w:id="332"/>
      <w:r>
        <w:rPr>
          <w:rFonts w:ascii="Times New Roman;Times;Serif" w:hAnsi="Times New Roman;Times;Serif"/>
          <w:b/>
          <w:i w:val="false"/>
          <w:caps/>
          <w:sz w:val="20"/>
        </w:rPr>
        <w:t xml:space="preserve">NOTE 3 – </w:t>
      </w:r>
      <w:bookmarkStart w:id="333" w:name="xdx_826_zcavIiQSohfj"/>
      <w:bookmarkEnd w:id="333"/>
      <w:r>
        <w:rPr>
          <w:rFonts w:ascii="Times New Roman;Times;Serif" w:hAnsi="Times New Roman;Times;Serif"/>
          <w:b/>
          <w:i w:val="false"/>
          <w:caps/>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4" w:name="xdx_89F_eus-gaap--DisaggregationOfRevenu"/>
      <w:bookmarkEnd w:id="334"/>
      <w:r>
        <w:rPr>
          <w:rFonts w:ascii="Times New Roman;Times;Serif" w:hAnsi="Times New Roman;Times;Serif"/>
          <w:b w:val="false"/>
          <w:i w:val="false"/>
          <w:caps w:val="false"/>
          <w:smallCaps w:val="false"/>
          <w:sz w:val="20"/>
        </w:rPr>
        <w:t>Disaggregated revenue for the three and six months ended June 30, 2026 and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5" w:name="xdx_8B0_zQDYc9OksQq7"/>
      <w:bookmarkEnd w:id="335"/>
      <w:r>
        <w:rPr>
          <w:rFonts w:ascii="Times New Roman;Times;Serif" w:hAnsi="Times New Roman;Times;Serif"/>
          <w:b w:val="false"/>
          <w:i w:val="false"/>
          <w:caps w:val="false"/>
          <w:smallCaps w:val="false"/>
          <w:sz w:val="20"/>
        </w:rPr>
        <w:t>SCHEDULE OF DISAGGREGATED REVENUE</w:t>
      </w:r>
    </w:p>
    <w:tbl>
      <w:tblPr>
        <w:tblW w:w="9681" w:type="dxa"/>
        <w:jc w:val="left"/>
        <w:tblInd w:w="0" w:type="dxa"/>
        <w:tblLayout w:type="fixed"/>
        <w:tblCellMar>
          <w:top w:w="0" w:type="dxa"/>
          <w:left w:w="0" w:type="dxa"/>
          <w:bottom w:w="0" w:type="dxa"/>
          <w:right w:w="0" w:type="dxa"/>
        </w:tblCellMar>
      </w:tblPr>
      <w:tblGrid>
        <w:gridCol w:w="3530"/>
        <w:gridCol w:w="60"/>
        <w:gridCol w:w="241"/>
        <w:gridCol w:w="1173"/>
        <w:gridCol w:w="60"/>
        <w:gridCol w:w="60"/>
        <w:gridCol w:w="241"/>
        <w:gridCol w:w="1173"/>
        <w:gridCol w:w="60"/>
        <w:gridCol w:w="60"/>
        <w:gridCol w:w="241"/>
        <w:gridCol w:w="1173"/>
        <w:gridCol w:w="60"/>
        <w:gridCol w:w="60"/>
        <w:gridCol w:w="241"/>
        <w:gridCol w:w="1173"/>
        <w:gridCol w:w="75"/>
      </w:tblGrid>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6" w:name="xdx_49E_20260401__20260630_zg1YkLeEa417"/>
            <w:bookmarkEnd w:id="336"/>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7" w:name="xdx_49E_20250401__20250630_ziT4PudrqUUc"/>
            <w:bookmarkEnd w:id="33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8" w:name="xdx_490_20260101__20260630_zJWMaRDyIGjb"/>
            <w:bookmarkEnd w:id="338"/>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9" w:name="xdx_49F_20250101__20250630_zux1cszJsgH4"/>
            <w:bookmarkEnd w:id="339"/>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3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6 Months Ended</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u w:val="single"/>
              </w:rPr>
            </w:pPr>
            <w:r>
              <w:rPr>
                <w:u w:val="single"/>
              </w:rPr>
              <w:t>Revenue source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40" w:name="xdx_40E_eus-gaap--RevenueFromContractWit"/>
            <w:bookmarkEnd w:id="340"/>
          </w:p>
        </w:tc>
      </w:tr>
      <w:tr>
        <w:trPr/>
        <w:tc>
          <w:tcPr>
            <w:tcW w:w="3530" w:type="dxa"/>
            <w:tcBorders/>
            <w:shd w:fill="FFFFFF" w:val="clear"/>
            <w:vAlign w:val="center"/>
          </w:tcPr>
          <w:p>
            <w:pPr>
              <w:pStyle w:val="TableContents"/>
              <w:bidi w:val="0"/>
              <w:spacing w:before="0" w:after="283"/>
              <w:jc w:val="left"/>
              <w:rPr/>
            </w:pPr>
            <w:r>
              <w:rPr/>
              <w:t>Consulting services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89,000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89,000</w:t>
            </w:r>
          </w:p>
        </w:tc>
        <w:tc>
          <w:tcPr>
            <w:tcW w:w="75" w:type="dxa"/>
            <w:tcBorders/>
            <w:shd w:fill="FFFFFF" w:val="clear"/>
            <w:vAlign w:val="center"/>
          </w:tcPr>
          <w:p>
            <w:pPr>
              <w:pStyle w:val="TableContents"/>
              <w:bidi w:val="0"/>
              <w:spacing w:before="0" w:after="283"/>
              <w:jc w:val="left"/>
              <w:rPr/>
            </w:pPr>
            <w:r>
              <w:rPr/>
              <w:t> </w:t>
            </w:r>
            <w:bookmarkStart w:id="341" w:name="xdx_40E_eus-gaap--RevenueFromContractWit"/>
            <w:bookmarkEnd w:id="341"/>
          </w:p>
        </w:tc>
      </w:tr>
      <w:tr>
        <w:trPr/>
        <w:tc>
          <w:tcPr>
            <w:tcW w:w="3530" w:type="dxa"/>
            <w:tcBorders/>
            <w:shd w:fill="CCEEFF" w:val="clear"/>
            <w:vAlign w:val="center"/>
          </w:tcPr>
          <w:p>
            <w:pPr>
              <w:pStyle w:val="TableContents"/>
              <w:bidi w:val="0"/>
              <w:spacing w:before="0" w:after="283"/>
              <w:jc w:val="left"/>
              <w:rPr/>
            </w:pPr>
            <w:r>
              <w:rPr/>
              <w:t>Installation services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1,500</w:t>
            </w:r>
          </w:p>
        </w:tc>
        <w:tc>
          <w:tcPr>
            <w:tcW w:w="75" w:type="dxa"/>
            <w:tcBorders/>
            <w:shd w:fill="CCEEFF" w:val="clear"/>
            <w:vAlign w:val="center"/>
          </w:tcPr>
          <w:p>
            <w:pPr>
              <w:pStyle w:val="TableContents"/>
              <w:bidi w:val="0"/>
              <w:spacing w:before="0" w:after="283"/>
              <w:jc w:val="left"/>
              <w:rPr/>
            </w:pPr>
            <w:r>
              <w:rPr/>
              <w:t> </w:t>
            </w:r>
            <w:bookmarkStart w:id="342" w:name="xdx_408_eus-gaap--RevenueFromContractWit"/>
            <w:bookmarkEnd w:id="342"/>
          </w:p>
        </w:tc>
      </w:tr>
      <w:tr>
        <w:trPr/>
        <w:tc>
          <w:tcPr>
            <w:tcW w:w="3530" w:type="dxa"/>
            <w:tcBorders/>
            <w:shd w:fill="FFFFFF" w:val="clear"/>
            <w:vAlign w:val="center"/>
          </w:tcPr>
          <w:p>
            <w:pPr>
              <w:pStyle w:val="TableContents"/>
              <w:bidi w:val="0"/>
              <w:spacing w:before="0" w:after="283"/>
              <w:jc w:val="left"/>
              <w:rPr/>
            </w:pPr>
            <w:r>
              <w:rPr/>
              <w:t>Subscription fees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14,700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29,625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225</w:t>
            </w:r>
          </w:p>
        </w:tc>
        <w:tc>
          <w:tcPr>
            <w:tcW w:w="75" w:type="dxa"/>
            <w:tcBorders/>
            <w:shd w:fill="FFFFFF" w:val="clear"/>
            <w:vAlign w:val="center"/>
          </w:tcPr>
          <w:p>
            <w:pPr>
              <w:pStyle w:val="TableContents"/>
              <w:bidi w:val="0"/>
              <w:spacing w:before="0" w:after="283"/>
              <w:jc w:val="left"/>
              <w:rPr/>
            </w:pPr>
            <w:r>
              <w:rPr/>
              <w:t> </w:t>
            </w:r>
            <w:bookmarkStart w:id="343" w:name="xdx_406_eus-gaap--RevenueFromContractWit"/>
            <w:bookmarkEnd w:id="343"/>
          </w:p>
        </w:tc>
      </w:tr>
      <w:tr>
        <w:trPr/>
        <w:tc>
          <w:tcPr>
            <w:tcW w:w="353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14,700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90,725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29,625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90,725</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u w:val="single"/>
              </w:rPr>
            </w:pPr>
            <w:r>
              <w:rPr>
                <w:u w:val="single"/>
              </w:rPr>
              <w:t>Timing of Revenue Recognition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44" w:name="xdx_40D_eus-gaap--RevenueFromContractWit"/>
            <w:bookmarkEnd w:id="344"/>
          </w:p>
        </w:tc>
      </w:tr>
      <w:tr>
        <w:trPr/>
        <w:tc>
          <w:tcPr>
            <w:tcW w:w="3530" w:type="dxa"/>
            <w:tcBorders/>
            <w:shd w:fill="FFFFFF" w:val="clear"/>
            <w:vAlign w:val="center"/>
          </w:tcPr>
          <w:p>
            <w:pPr>
              <w:pStyle w:val="TableContents"/>
              <w:bidi w:val="0"/>
              <w:spacing w:before="0" w:after="283"/>
              <w:jc w:val="left"/>
              <w:rPr/>
            </w:pPr>
            <w:r>
              <w:rPr/>
              <w:t>Services transferred over time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14,700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89,225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29,625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89,225</w:t>
            </w:r>
          </w:p>
        </w:tc>
        <w:tc>
          <w:tcPr>
            <w:tcW w:w="75" w:type="dxa"/>
            <w:tcBorders/>
            <w:shd w:fill="FFFFFF" w:val="clear"/>
            <w:vAlign w:val="center"/>
          </w:tcPr>
          <w:p>
            <w:pPr>
              <w:pStyle w:val="TableContents"/>
              <w:bidi w:val="0"/>
              <w:spacing w:before="0" w:after="283"/>
              <w:jc w:val="left"/>
              <w:rPr/>
            </w:pPr>
            <w:r>
              <w:rPr/>
              <w:t> </w:t>
            </w:r>
            <w:bookmarkStart w:id="345" w:name="xdx_400_eus-gaap--RevenueFromContractWit"/>
            <w:bookmarkEnd w:id="345"/>
          </w:p>
        </w:tc>
      </w:tr>
      <w:tr>
        <w:trPr/>
        <w:tc>
          <w:tcPr>
            <w:tcW w:w="3530" w:type="dxa"/>
            <w:tcBorders/>
            <w:shd w:fill="CCEEFF" w:val="clear"/>
            <w:vAlign w:val="center"/>
          </w:tcPr>
          <w:p>
            <w:pPr>
              <w:pStyle w:val="TableContents"/>
              <w:bidi w:val="0"/>
              <w:spacing w:before="0" w:after="283"/>
              <w:jc w:val="left"/>
              <w:rPr/>
            </w:pPr>
            <w:r>
              <w:rPr/>
              <w:t>Services transferred at a point in time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1,500</w:t>
            </w:r>
          </w:p>
        </w:tc>
        <w:tc>
          <w:tcPr>
            <w:tcW w:w="75" w:type="dxa"/>
            <w:tcBorders/>
            <w:shd w:fill="CCEEFF" w:val="clear"/>
            <w:vAlign w:val="center"/>
          </w:tcPr>
          <w:p>
            <w:pPr>
              <w:pStyle w:val="TableContents"/>
              <w:bidi w:val="0"/>
              <w:spacing w:before="0" w:after="283"/>
              <w:jc w:val="left"/>
              <w:rPr/>
            </w:pPr>
            <w:r>
              <w:rPr/>
              <w:t> </w:t>
            </w:r>
            <w:bookmarkStart w:id="346" w:name="xdx_40B_eus-gaap--RevenueFromContractWit"/>
            <w:bookmarkEnd w:id="346"/>
          </w:p>
        </w:tc>
      </w:tr>
      <w:tr>
        <w:trPr/>
        <w:tc>
          <w:tcPr>
            <w:tcW w:w="353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14,700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90,725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29,625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90,725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7" w:name="xdx_8A9_zAiBPm4BeRU3"/>
      <w:bookmarkEnd w:id="347"/>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8" w:name="xdx_808_eus-gaap--SubstantialDoubtAboutG"/>
      <w:bookmarkEnd w:id="348"/>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4 - </w:t>
      </w:r>
      <w:bookmarkStart w:id="349" w:name="xdx_829_zoCTyHW2EG7"/>
      <w:bookmarkEnd w:id="349"/>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approximately $</w:t>
      </w:r>
      <w:bookmarkStart w:id="350" w:name="xdx_908_eus-gaap--CashAndCashEquivalents"/>
      <w:bookmarkEnd w:id="350"/>
      <w:r>
        <w:rPr>
          <w:rFonts w:ascii="Times New Roman;Times;Serif" w:hAnsi="Times New Roman;Times;Serif"/>
          <w:b w:val="false"/>
          <w:i w:val="false"/>
          <w:caps w:val="false"/>
          <w:smallCaps w:val="false"/>
          <w:sz w:val="20"/>
        </w:rPr>
        <w:t>2,976,535 and short-term investments of $</w:t>
      </w:r>
      <w:bookmarkStart w:id="351" w:name="xdx_900_eus-gaap--ShortTermInvestments_i"/>
      <w:bookmarkEnd w:id="351"/>
      <w:r>
        <w:rPr>
          <w:rFonts w:ascii="Times New Roman;Times;Serif" w:hAnsi="Times New Roman;Times;Serif"/>
          <w:b w:val="false"/>
          <w:i w:val="false"/>
          <w:caps w:val="false"/>
          <w:smallCaps w:val="false"/>
          <w:sz w:val="20"/>
        </w:rPr>
        <w:t>2,160,954.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val="false"/>
          <w:i w:val="false"/>
          <w:caps/>
          <w:sz w:val="20"/>
        </w:rPr>
        <w:t>Note</w:t>
      </w:r>
      <w:r>
        <w:rPr>
          <w:rFonts w:ascii="Times New Roman;Times;Serif" w:hAnsi="Times New Roman;Times;Serif"/>
          <w:b w:val="false"/>
          <w:i w:val="false"/>
          <w:caps w:val="false"/>
          <w:smallCaps w:val="false"/>
          <w:sz w:val="20"/>
        </w:rPr>
        <w:t xml:space="preserve"> 10, the Company has entered into a Securities Purchase Agreement with Streeterville that provides for additional financing, subject to the terms and conditions of the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evaluated whether conditions or events, considered in the aggregate, raise substantial doubt about the Company’s ability to continue as a going concern within one year after the date that these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recurring operating losses and negative cash flows from operations since inception and expects to continue to do so as it invests in product development, commercialization, and infrastructure. These conditions, considered in the aggregate,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developed plans to address these conditions, which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Utilizing existing cash and cash equivalents of approximately $</w:t>
            </w:r>
            <w:bookmarkStart w:id="352" w:name="xdx_90E_eus-gaap--CashAndCashEquivalents"/>
            <w:bookmarkEnd w:id="352"/>
            <w:r>
              <w:rPr>
                <w:rFonts w:ascii="Times New Roman;Times;Serif" w:hAnsi="Times New Roman;Times;Serif"/>
                <w:b w:val="false"/>
                <w:i w:val="false"/>
                <w:caps w:val="false"/>
                <w:smallCaps w:val="false"/>
                <w:sz w:val="20"/>
              </w:rPr>
              <w:t>2,976,535 as of June 30, 2026;</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Liquidate approximately $</w:t>
            </w:r>
            <w:bookmarkStart w:id="353" w:name="xdx_901_eus-gaap--ShortTermInvestments_i"/>
            <w:bookmarkEnd w:id="353"/>
            <w:r>
              <w:rPr>
                <w:rFonts w:ascii="Times New Roman;Times;Serif" w:hAnsi="Times New Roman;Times;Serif"/>
                <w:b w:val="false"/>
                <w:i w:val="false"/>
                <w:caps w:val="false"/>
                <w:smallCaps w:val="false"/>
                <w:sz w:val="20"/>
              </w:rPr>
              <w:t>2,160,954 of existing short-term investments;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drawing additional amounts under the Securities Purchase Agreement with Streeterville, which provides up to an additional $</w:t>
            </w:r>
            <w:bookmarkStart w:id="354" w:name="xdx_905_eus-gaap--OtherBorrowings_iI_pn5"/>
            <w:bookmarkEnd w:id="354"/>
            <w:r>
              <w:rPr>
                <w:rFonts w:ascii="Times New Roman;Times;Serif" w:hAnsi="Times New Roman;Times;Serif"/>
                <w:b w:val="false"/>
                <w:i w:val="false"/>
                <w:caps w:val="false"/>
                <w:smallCaps w:val="false"/>
                <w:sz w:val="20"/>
              </w:rPr>
              <w:t>19.0 million in gross borrowings, subject to certain conditions including a limitation on total outstanding indebtedness, a minimum market capitalization of $</w:t>
            </w:r>
            <w:bookmarkStart w:id="355" w:name="xdx_90E_eus-gaap--DeferredSalesInducemen"/>
            <w:bookmarkEnd w:id="355"/>
            <w:r>
              <w:rPr>
                <w:rFonts w:ascii="Times New Roman;Times;Serif" w:hAnsi="Times New Roman;Times;Serif"/>
                <w:b w:val="false"/>
                <w:i w:val="false"/>
                <w:caps w:val="false"/>
                <w:smallCaps w:val="false"/>
                <w:sz w:val="20"/>
              </w:rPr>
              <w:t>100 million and a minimum book value of $</w:t>
            </w:r>
            <w:bookmarkStart w:id="356" w:name="xdx_901_ecustom--ManagementFees_iI_pn6n6"/>
            <w:bookmarkEnd w:id="356"/>
            <w:r>
              <w:rPr>
                <w:rFonts w:ascii="Times New Roman;Times;Serif" w:hAnsi="Times New Roman;Times;Serif"/>
                <w:b w:val="false"/>
                <w:i w:val="false"/>
                <w:caps w:val="false"/>
                <w:smallCaps w:val="false"/>
                <w:sz w:val="20"/>
              </w:rPr>
              <w:t>4 million at the time of each draw. The Company’s ability to access these funds is dependent on satisfying these conditions or obtain a waiver from Streeterville, if granted.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Accessing additional capital under the Company’s shelf registration statement on Form S-3, filed with the SEC on June 1, 2026 and declared effective on June 11, 2026, which registers up to $</w:t>
            </w:r>
            <w:bookmarkStart w:id="357" w:name="xdx_909_ecustom--ShelfRegistrationCapaci"/>
            <w:bookmarkEnd w:id="357"/>
            <w:r>
              <w:rPr>
                <w:rFonts w:ascii="Times New Roman;Times;Serif" w:hAnsi="Times New Roman;Times;Serif"/>
                <w:b w:val="false"/>
                <w:i w:val="false"/>
                <w:caps w:val="false"/>
                <w:smallCaps w:val="false"/>
                <w:sz w:val="20"/>
              </w:rPr>
              <w:t>100,000,000 of securities. Based on the Company’s current public float, the amount of securities that may be sold under the shelf registration statement is currently limited to approximately $</w:t>
            </w:r>
            <w:bookmarkStart w:id="358" w:name="xdx_90F_ecustom--CurrentPublicFloat_iI_p"/>
            <w:bookmarkEnd w:id="358"/>
            <w:r>
              <w:rPr>
                <w:rFonts w:ascii="Times New Roman;Times;Serif" w:hAnsi="Times New Roman;Times;Serif"/>
                <w:b w:val="false"/>
                <w:i w:val="false"/>
                <w:caps w:val="false"/>
                <w:smallCaps w:val="false"/>
                <w:sz w:val="20"/>
              </w:rPr>
              <w:t>15.0 million during any rolling 12-month period. On June 11, 2026, the Company entered into an Equity Distribution Agreement with Maxim Group LLC providing for an at-the-market offering program under which the Company may sell shares of common stock with an aggregate offering price of up to $</w:t>
            </w:r>
            <w:bookmarkStart w:id="359" w:name="xdx_90E_ecustom--AggregateOfferingPrice_"/>
            <w:bookmarkEnd w:id="359"/>
            <w:r>
              <w:rPr>
                <w:rFonts w:ascii="Times New Roman;Times;Serif" w:hAnsi="Times New Roman;Times;Serif"/>
                <w:b w:val="false"/>
                <w:i w:val="false"/>
                <w:caps w:val="false"/>
                <w:smallCaps w:val="false"/>
                <w:sz w:val="20"/>
              </w:rPr>
              <w:t>14,967,247. Sales under the ATM program are subject to market conditions, the trading price and volume of the Company’s common stock, and the continued effectiveness of the registration statement, and there can be no assurance as to the amount or timing of proceeds, if any.</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is dependent upon its ability to execute its operating plan and obtain additional financing, whether through additional borrowings under the Securities Purchase Agreement (“SPA”) or other debt or equity financings. There can be no assurance that the Company will be able to access funds under the SPA or obtain additional debt or equity financing. Accordingly, substantial doubt about the Company’s ability to continue as a going concern is not alleviated by management’s plans. These financial statements do not include any adjustment that might result from the Company’s inability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on August 6, 2026, the Company experienced a Floor Price Trigger under the SPA when its volume weighted average price (“VWAP”) fell below the Floor Price of $</w:t>
      </w:r>
      <w:bookmarkStart w:id="360" w:name="xdx_900_eus-gaap--SharePrice_iI_c2026080"/>
      <w:bookmarkEnd w:id="360"/>
      <w:r>
        <w:rPr>
          <w:rFonts w:ascii="Times New Roman;Times;Serif" w:hAnsi="Times New Roman;Times;Serif"/>
          <w:b w:val="false"/>
          <w:i w:val="false"/>
          <w:caps w:val="false"/>
          <w:smallCaps w:val="false"/>
          <w:sz w:val="20"/>
        </w:rPr>
        <w:t>0.25 per share for at least five Trading Days within a seven consecutive Trading Day period. As a result, the Company became obligated to make mandatory monthly cash repayments totaling $</w:t>
      </w:r>
      <w:bookmarkStart w:id="361" w:name="xdx_904_eus-gaap--RepaymentsOfShortTermD"/>
      <w:bookmarkEnd w:id="361"/>
      <w:r>
        <w:rPr>
          <w:rFonts w:ascii="Times New Roman;Times;Serif" w:hAnsi="Times New Roman;Times;Serif"/>
          <w:b w:val="false"/>
          <w:i w:val="false"/>
          <w:caps w:val="false"/>
          <w:smallCaps w:val="false"/>
          <w:sz w:val="20"/>
        </w:rPr>
        <w:t>962,500, plus accrued and unpaid interest, beginning three Trading Days after the trigger date. These mandatory repayment obligations will continue until such time as the Company’s VWAP exceeds 120% of the Floor Price (i.e., $0.30 per share) for five consecutive Trading Days. There can be no assurance that this cure condition will occur. The Company is currently in discussions with Streeterville regarding potential remediation of the obligations arising from the Floor Price Trigger. There can be no assurance that the Company and Streeterville will reach any agreement with respect thereto.</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13, 2026, the Company’s cash, cash equivalents, and short-term investments were approximately $</w:t>
      </w:r>
      <w:bookmarkStart w:id="362" w:name="xdx_907_eus-gaap--CashAndCashEquivalents"/>
      <w:bookmarkEnd w:id="362"/>
      <w:r>
        <w:rPr>
          <w:rFonts w:ascii="Times New Roman;Times;Serif" w:hAnsi="Times New Roman;Times;Serif"/>
          <w:b w:val="false"/>
          <w:i w:val="false"/>
          <w:caps w:val="false"/>
          <w:smallCaps w:val="false"/>
          <w:sz w:val="20"/>
        </w:rPr>
        <w:t>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3" w:name="xdx_80F_eus-gaap--FairValueMeasurementIn"/>
      <w:bookmarkEnd w:id="363"/>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5 - </w:t>
      </w:r>
      <w:bookmarkStart w:id="364" w:name="xdx_82A_z9urMNMid0Ab"/>
      <w:bookmarkEnd w:id="364"/>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fair value measurements in accordance with ASC 820, which defines fair value as the price that would be received to sell an asset or paid to transfer a liability in an orderly transaction between market participants at the measurement date. ASC 820 establishes a three-level hierarchy for inputs used in measuring fair value:</w:t>
      </w:r>
    </w:p>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xml:space="preserve"> — Quoted prices in active markets for identical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Observable inputs other than quoted prices included in Level 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Unobservable inputs supported by little or no market activity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bifurcated derivative liabilities associated with its convertible notes at fair value on a recurring basis, see NOTE 10. These instruments are classified within Level 3 of the fair value hierarchy because their valuation relies on significant unobservable inputs, including expected equity volatility, expected term, and debt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5" w:name="xdx_898_eus-gaap--ScheduleOfDerivativeLi"/>
      <w:bookmarkEnd w:id="365"/>
      <w:r>
        <w:rPr>
          <w:rFonts w:ascii="Times New Roman;Times;Serif" w:hAnsi="Times New Roman;Times;Serif"/>
          <w:b w:val="false"/>
          <w:i w:val="false"/>
          <w:caps w:val="false"/>
          <w:smallCaps w:val="false"/>
          <w:sz w:val="20"/>
        </w:rPr>
        <w:t>The following table presents the Company’s financial liabilities measured at fair value on a recurring basis: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66" w:name="xdx_8B4_zLR0IOUL3pm3"/>
      <w:bookmarkEnd w:id="366"/>
      <w:r>
        <w:rPr>
          <w:rFonts w:ascii="Times New Roman;Times;Serif" w:hAnsi="Times New Roman;Times;Serif"/>
          <w:b w:val="false"/>
          <w:i w:val="false"/>
          <w:caps w:val="false"/>
          <w:smallCaps w:val="false"/>
          <w:sz w:val="20"/>
        </w:rPr>
        <w:t>SCHEDULE OF FINANCE LIABILITIES MEASURED AT FAIR VALUE </w:t>
      </w:r>
    </w:p>
    <w:tbl>
      <w:tblPr>
        <w:tblW w:w="8973" w:type="dxa"/>
        <w:jc w:val="left"/>
        <w:tblInd w:w="0" w:type="dxa"/>
        <w:tblLayout w:type="fixed"/>
        <w:tblCellMar>
          <w:top w:w="0" w:type="dxa"/>
          <w:left w:w="0" w:type="dxa"/>
          <w:bottom w:w="28" w:type="dxa"/>
          <w:right w:w="0" w:type="dxa"/>
        </w:tblCellMar>
      </w:tblPr>
      <w:tblGrid>
        <w:gridCol w:w="4715"/>
        <w:gridCol w:w="60"/>
        <w:gridCol w:w="575"/>
        <w:gridCol w:w="60"/>
        <w:gridCol w:w="176"/>
        <w:gridCol w:w="1238"/>
        <w:gridCol w:w="60"/>
        <w:gridCol w:w="60"/>
        <w:gridCol w:w="244"/>
        <w:gridCol w:w="1710"/>
        <w:gridCol w:w="75"/>
      </w:tblGrid>
      <w:tr>
        <w:trPr/>
        <w:tc>
          <w:tcPr>
            <w:tcW w:w="4715" w:type="dxa"/>
            <w:tcBorders>
              <w:bottom w:val="single" w:sz="8"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b/>
              </w:rPr>
            </w:pPr>
            <w:r>
              <w:rPr>
                <w:b/>
              </w:rPr>
              <w:t>Level</w:t>
            </w:r>
          </w:p>
        </w:tc>
        <w:tc>
          <w:tcPr>
            <w:tcW w:w="60" w:type="dxa"/>
            <w:tcBorders/>
            <w:tcMar>
              <w:bottom w:w="0" w:type="dxa"/>
            </w:tcMar>
            <w:vAlign w:val="center"/>
          </w:tcPr>
          <w:p>
            <w:pPr>
              <w:pStyle w:val="TableContents"/>
              <w:bidi w:val="0"/>
              <w:spacing w:before="0" w:after="283"/>
              <w:jc w:val="left"/>
              <w:rPr/>
            </w:pPr>
            <w:r>
              <w:rPr/>
              <w:t> </w:t>
            </w:r>
            <w:bookmarkStart w:id="367" w:name="xdx_497_20260630_zLeT6v8nRgQb"/>
            <w:bookmarkEnd w:id="367"/>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68" w:name="xdx_499_20251231_zXstCn0OwvI6"/>
            <w:bookmarkEnd w:id="368"/>
          </w:p>
        </w:tc>
        <w:tc>
          <w:tcPr>
            <w:tcW w:w="1954"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75" w:type="dxa"/>
            <w:tcBorders/>
            <w:tcMar>
              <w:bottom w:w="0" w:type="dxa"/>
            </w:tcMar>
            <w:vAlign w:val="center"/>
          </w:tcPr>
          <w:p>
            <w:pPr>
              <w:pStyle w:val="TableContents"/>
              <w:bidi w:val="0"/>
              <w:spacing w:before="0" w:after="283"/>
              <w:jc w:val="left"/>
              <w:rPr/>
            </w:pPr>
            <w:r>
              <w:rPr/>
              <w:t> </w:t>
            </w:r>
            <w:bookmarkStart w:id="369" w:name="xdx_405_eus-gaap--ShortTermInvestments_i"/>
            <w:bookmarkEnd w:id="369"/>
          </w:p>
        </w:tc>
      </w:tr>
      <w:tr>
        <w:trPr/>
        <w:tc>
          <w:tcPr>
            <w:tcW w:w="4715" w:type="dxa"/>
            <w:tcBorders/>
            <w:shd w:fill="CCEEFF" w:val="clear"/>
            <w:tcMar>
              <w:bottom w:w="0" w:type="dxa"/>
            </w:tcMar>
            <w:vAlign w:val="center"/>
          </w:tcPr>
          <w:p>
            <w:pPr>
              <w:pStyle w:val="TableContents"/>
              <w:bidi w:val="0"/>
              <w:spacing w:before="0" w:after="283"/>
              <w:jc w:val="left"/>
              <w:rPr/>
            </w:pPr>
            <w:r>
              <w:rPr/>
              <w:t>Investments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2,160,954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 w:type="dxa"/>
            <w:tcBorders/>
            <w:shd w:fill="CCEEFF" w:val="clear"/>
            <w:tcMar>
              <w:bottom w:w="0" w:type="dxa"/>
            </w:tcMar>
            <w:vAlign w:val="center"/>
          </w:tcPr>
          <w:p>
            <w:pPr>
              <w:pStyle w:val="TableContents"/>
              <w:bidi w:val="0"/>
              <w:spacing w:before="0" w:after="283"/>
              <w:jc w:val="left"/>
              <w:rPr/>
            </w:pPr>
            <w:r>
              <w:rPr/>
              <w:t>$</w:t>
            </w:r>
          </w:p>
        </w:tc>
        <w:tc>
          <w:tcPr>
            <w:tcW w:w="171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370" w:name="xdx_400_eus-gaap--DerivativeLiabilitiesC"/>
            <w:bookmarkEnd w:id="370"/>
          </w:p>
        </w:tc>
      </w:tr>
      <w:tr>
        <w:trPr/>
        <w:tc>
          <w:tcPr>
            <w:tcW w:w="4715" w:type="dxa"/>
            <w:tcBorders/>
            <w:shd w:fill="FFFFFF" w:val="clear"/>
            <w:tcMar>
              <w:bottom w:w="0" w:type="dxa"/>
            </w:tcMar>
            <w:vAlign w:val="center"/>
          </w:tcPr>
          <w:p>
            <w:pPr>
              <w:pStyle w:val="TableContents"/>
              <w:bidi w:val="0"/>
              <w:spacing w:before="0" w:after="283"/>
              <w:jc w:val="left"/>
              <w:rPr/>
            </w:pPr>
            <w:r>
              <w:rPr/>
              <w:t>Derivative liabilities – Written call 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238" w:type="dxa"/>
            <w:tcBorders/>
            <w:shd w:fill="FFFFFF" w:val="clear"/>
            <w:tcMar>
              <w:bottom w:w="0" w:type="dxa"/>
            </w:tcMar>
            <w:vAlign w:val="center"/>
          </w:tcPr>
          <w:p>
            <w:pPr>
              <w:pStyle w:val="TableContents"/>
              <w:bidi w:val="0"/>
              <w:spacing w:before="0" w:after="283"/>
              <w:jc w:val="right"/>
              <w:rPr/>
            </w:pPr>
            <w:r>
              <w:rPr/>
              <w:t>58,830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 w:type="dxa"/>
            <w:tcBorders/>
            <w:shd w:fill="FFFFFF" w:val="clear"/>
            <w:tcMar>
              <w:bottom w:w="0" w:type="dxa"/>
            </w:tcMar>
            <w:vAlign w:val="center"/>
          </w:tcPr>
          <w:p>
            <w:pPr>
              <w:pStyle w:val="TableContents"/>
              <w:bidi w:val="0"/>
              <w:spacing w:before="0" w:after="283"/>
              <w:jc w:val="left"/>
              <w:rPr/>
            </w:pPr>
            <w:r>
              <w:rPr/>
              <w:t>$</w:t>
            </w:r>
          </w:p>
        </w:tc>
        <w:tc>
          <w:tcPr>
            <w:tcW w:w="171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371" w:name="xdx_40B_eus-gaap--DerivativeLiabilitiesC"/>
            <w:bookmarkEnd w:id="371"/>
          </w:p>
        </w:tc>
      </w:tr>
      <w:tr>
        <w:trPr/>
        <w:tc>
          <w:tcPr>
            <w:tcW w:w="4715" w:type="dxa"/>
            <w:tcBorders/>
            <w:shd w:fill="CCEEFF" w:val="clear"/>
            <w:tcMar>
              <w:bottom w:w="0" w:type="dxa"/>
            </w:tcMar>
            <w:vAlign w:val="center"/>
          </w:tcPr>
          <w:p>
            <w:pPr>
              <w:pStyle w:val="TableContents"/>
              <w:bidi w:val="0"/>
              <w:spacing w:before="0" w:after="283"/>
              <w:jc w:val="left"/>
              <w:rPr/>
            </w:pPr>
            <w:r>
              <w:rPr/>
              <w:t>Derivative liabilities – Convertible notes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290,000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 w:type="dxa"/>
            <w:tcBorders/>
            <w:shd w:fill="CCEEFF" w:val="clear"/>
            <w:tcMar>
              <w:bottom w:w="0" w:type="dxa"/>
            </w:tcMar>
            <w:vAlign w:val="center"/>
          </w:tcPr>
          <w:p>
            <w:pPr>
              <w:pStyle w:val="TableContents"/>
              <w:bidi w:val="0"/>
              <w:spacing w:before="0" w:after="283"/>
              <w:jc w:val="left"/>
              <w:rPr/>
            </w:pPr>
            <w:r>
              <w:rPr/>
              <w:t>$</w:t>
            </w:r>
          </w:p>
        </w:tc>
        <w:tc>
          <w:tcPr>
            <w:tcW w:w="1710" w:type="dxa"/>
            <w:tcBorders/>
            <w:shd w:fill="CCEEFF" w:val="clear"/>
            <w:tcMar>
              <w:bottom w:w="0" w:type="dxa"/>
            </w:tcMar>
            <w:vAlign w:val="center"/>
          </w:tcPr>
          <w:p>
            <w:pPr>
              <w:pStyle w:val="TableContents"/>
              <w:bidi w:val="0"/>
              <w:spacing w:before="0" w:after="283"/>
              <w:jc w:val="right"/>
              <w:rPr/>
            </w:pPr>
            <w:r>
              <w:rPr/>
              <w:t>1,460,000</w:t>
            </w:r>
          </w:p>
        </w:tc>
        <w:tc>
          <w:tcPr>
            <w:tcW w:w="75" w:type="dxa"/>
            <w:tcBorders/>
            <w:shd w:fill="CCEEFF" w:val="clear"/>
            <w:tcMar>
              <w:bottom w:w="0" w:type="dxa"/>
            </w:tcMar>
            <w:vAlign w:val="center"/>
          </w:tcPr>
          <w:p>
            <w:pPr>
              <w:pStyle w:val="TableContents"/>
              <w:bidi w:val="0"/>
              <w:spacing w:before="0" w:after="283"/>
              <w:jc w:val="left"/>
              <w:rPr/>
            </w:pPr>
            <w:r>
              <w:rPr/>
              <w:t> </w:t>
            </w:r>
            <w:bookmarkStart w:id="372" w:name="xdx_405_eus-gaap--DerivativeLiabilitiesC"/>
            <w:bookmarkEnd w:id="372"/>
          </w:p>
        </w:tc>
      </w:tr>
      <w:tr>
        <w:trPr/>
        <w:tc>
          <w:tcPr>
            <w:tcW w:w="4715" w:type="dxa"/>
            <w:tcBorders/>
            <w:shd w:fill="CCEEFF" w:val="clear"/>
            <w:tcMar>
              <w:bottom w:w="0" w:type="dxa"/>
            </w:tcMar>
            <w:vAlign w:val="center"/>
          </w:tcPr>
          <w:p>
            <w:pPr>
              <w:pStyle w:val="TableContents"/>
              <w:bidi w:val="0"/>
              <w:spacing w:before="0" w:after="283"/>
              <w:jc w:val="left"/>
              <w:rPr/>
            </w:pPr>
            <w:r>
              <w:rPr/>
              <w:t>Derivative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290,000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 w:type="dxa"/>
            <w:tcBorders/>
            <w:shd w:fill="CCEEFF" w:val="clear"/>
            <w:tcMar>
              <w:bottom w:w="0" w:type="dxa"/>
            </w:tcMar>
            <w:vAlign w:val="center"/>
          </w:tcPr>
          <w:p>
            <w:pPr>
              <w:pStyle w:val="TableContents"/>
              <w:bidi w:val="0"/>
              <w:spacing w:before="0" w:after="283"/>
              <w:jc w:val="left"/>
              <w:rPr/>
            </w:pPr>
            <w:r>
              <w:rPr/>
              <w:t>$</w:t>
            </w:r>
          </w:p>
        </w:tc>
        <w:tc>
          <w:tcPr>
            <w:tcW w:w="1710" w:type="dxa"/>
            <w:tcBorders/>
            <w:shd w:fill="CCEEFF" w:val="clear"/>
            <w:tcMar>
              <w:bottom w:w="0" w:type="dxa"/>
            </w:tcMar>
            <w:vAlign w:val="center"/>
          </w:tcPr>
          <w:p>
            <w:pPr>
              <w:pStyle w:val="TableContents"/>
              <w:bidi w:val="0"/>
              <w:spacing w:before="0" w:after="283"/>
              <w:jc w:val="right"/>
              <w:rPr/>
            </w:pPr>
            <w:r>
              <w:rPr/>
              <w:t>1,460,000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73" w:name="xdx_8AF_ziHMIzJJ06R5"/>
      <w:bookmarkEnd w:id="37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and accrued liabilities approximate fair value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payables are carried at amortized cost. The estimated fair value of these instruments approximate their carrying value due to the interest rate approximating current market rates for similar collateralized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Derivative Liabilities – Convertible Note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convertible notes issued under the Securities Purchase Agreement with Streeterville Capital, LLC, as described in NOTE 10, the Company bifurcated the embedded conversion feature from each note and recognized it as a derivative liability under ASC 815. Each derivative liability is initially recognized at fair value on the issuance date of the respective convertible note and is subsequently remeasured at fair value at each reporting date and each conversion date. Changes in fair value are recognized in the statement of operations.</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each derivative liability using a Monte Carlo simulation model, which simulates a large number of potential stock price paths and computes the expected present value of the conversion payoff under each path.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Valuation Inputs and Basis of Significant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4" w:name="xdx_897_eus-gaap--FairValueAssetsAndLiab"/>
      <w:bookmarkEnd w:id="374"/>
      <w:r>
        <w:rPr>
          <w:rFonts w:ascii="Times New Roman;Times;Serif" w:hAnsi="Times New Roman;Times;Serif"/>
          <w:b w:val="false"/>
          <w:i w:val="false"/>
          <w:caps w:val="false"/>
          <w:smallCaps w:val="false"/>
          <w:sz w:val="20"/>
        </w:rPr>
        <w:t>The following inputs were used in the Monte Carlo simulation at each instrument inception measurement 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5" w:name="xdx_8B9_zHuGImjmp7P1"/>
      <w:bookmarkEnd w:id="375"/>
      <w:r>
        <w:rPr>
          <w:rFonts w:ascii="Times New Roman;Times;Serif" w:hAnsi="Times New Roman;Times;Serif"/>
          <w:b w:val="false"/>
          <w:i w:val="false"/>
          <w:caps w:val="false"/>
          <w:smallCaps w:val="false"/>
          <w:sz w:val="20"/>
        </w:rPr>
        <w:t>SCHEDULE OF VALUATION OF MEASUREMENT INPUT </w:t>
      </w:r>
    </w:p>
    <w:tbl>
      <w:tblPr>
        <w:tblW w:w="10205" w:type="dxa"/>
        <w:jc w:val="left"/>
        <w:tblInd w:w="0" w:type="dxa"/>
        <w:tblLayout w:type="fixed"/>
        <w:tblCellMar>
          <w:top w:w="0" w:type="dxa"/>
          <w:left w:w="0" w:type="dxa"/>
          <w:bottom w:w="28" w:type="dxa"/>
          <w:right w:w="0" w:type="dxa"/>
        </w:tblCellMar>
      </w:tblPr>
      <w:tblGrid>
        <w:gridCol w:w="3007"/>
        <w:gridCol w:w="60"/>
        <w:gridCol w:w="304"/>
        <w:gridCol w:w="1216"/>
        <w:gridCol w:w="215"/>
        <w:gridCol w:w="60"/>
        <w:gridCol w:w="304"/>
        <w:gridCol w:w="1216"/>
        <w:gridCol w:w="215"/>
        <w:gridCol w:w="60"/>
        <w:gridCol w:w="304"/>
        <w:gridCol w:w="1216"/>
        <w:gridCol w:w="215"/>
        <w:gridCol w:w="60"/>
        <w:gridCol w:w="304"/>
        <w:gridCol w:w="1216"/>
        <w:gridCol w:w="233"/>
      </w:tblGrid>
      <w:tr>
        <w:trPr/>
        <w:tc>
          <w:tcPr>
            <w:tcW w:w="3007" w:type="dxa"/>
            <w:tcBorders>
              <w:bottom w:val="single" w:sz="8"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3)</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4)</w:t>
            </w:r>
          </w:p>
        </w:tc>
        <w:tc>
          <w:tcPr>
            <w:tcW w:w="233" w:type="dxa"/>
            <w:tcBorders/>
            <w:tcMar>
              <w:bottom w:w="0" w:type="dxa"/>
            </w:tcMar>
            <w:vAlign w:val="center"/>
          </w:tcPr>
          <w:p>
            <w:pPr>
              <w:pStyle w:val="TableContents"/>
              <w:bidi w:val="0"/>
              <w:spacing w:before="0" w:after="283"/>
              <w:jc w:val="left"/>
              <w:rPr/>
            </w:pPr>
            <w:r>
              <w:rPr/>
              <w:t> </w:t>
            </w:r>
          </w:p>
        </w:tc>
      </w:tr>
      <w:tr>
        <w:trPr/>
        <w:tc>
          <w:tcPr>
            <w:tcW w:w="3007" w:type="dxa"/>
            <w:tcBorders/>
            <w:shd w:fill="CCEEFF" w:val="clear"/>
            <w:tcMar>
              <w:bottom w:w="0" w:type="dxa"/>
            </w:tcMar>
            <w:vAlign w:val="center"/>
          </w:tcPr>
          <w:p>
            <w:pPr>
              <w:pStyle w:val="TableContents"/>
              <w:bidi w:val="0"/>
              <w:spacing w:before="0" w:after="283"/>
              <w:jc w:val="left"/>
              <w:rPr/>
            </w:pPr>
            <w:r>
              <w:rPr/>
              <w:t>Assumed instrument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76" w:name="xdx_909_eus-gaap--LongTermDebtTerm_iI_dt"/>
            <w:bookmarkEnd w:id="376"/>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77" w:name="xdx_90C_eus-gaap--LongTermDebtTerm_iI_dt"/>
            <w:bookmarkEnd w:id="377"/>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78" w:name="xdx_904_eus-gaap--LongTermDebtTerm_iI_dt"/>
            <w:bookmarkEnd w:id="378"/>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79" w:name="xdx_900_eus-gaap--LongTermDebtTerm_iI_dt"/>
            <w:bookmarkEnd w:id="379"/>
            <w:r>
              <w:rPr>
                <w:rFonts w:ascii="Times New Roman;Times;Serif" w:hAnsi="Times New Roman;Times;Serif"/>
                <w:sz w:val="20"/>
              </w:rPr>
              <w:t>2.93 years</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007"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shd w:fill="FFFFFF" w:val="clear"/>
            <w:tcMar>
              <w:bottom w:w="0" w:type="dxa"/>
            </w:tcMar>
            <w:vAlign w:val="center"/>
          </w:tcPr>
          <w:p>
            <w:pPr>
              <w:pStyle w:val="TableContents"/>
              <w:bidi w:val="0"/>
              <w:spacing w:before="0" w:after="283"/>
              <w:jc w:val="left"/>
              <w:rPr/>
            </w:pPr>
            <w:r>
              <w:rPr/>
              <w:t>$</w:t>
            </w:r>
          </w:p>
        </w:tc>
        <w:tc>
          <w:tcPr>
            <w:tcW w:w="1216" w:type="dxa"/>
            <w:tcBorders/>
            <w:shd w:fill="FFFFFF" w:val="clear"/>
            <w:tcMar>
              <w:bottom w:w="0" w:type="dxa"/>
            </w:tcMar>
            <w:vAlign w:val="center"/>
          </w:tcPr>
          <w:p>
            <w:pPr>
              <w:pStyle w:val="TableContents"/>
              <w:bidi w:val="0"/>
              <w:spacing w:before="0" w:after="283"/>
              <w:jc w:val="right"/>
              <w:rPr/>
            </w:pPr>
            <w:bookmarkStart w:id="380" w:name="xdx_908_eus-gaap--LongTermDebtMeasuremen"/>
            <w:bookmarkEnd w:id="380"/>
            <w:r>
              <w:rPr/>
              <w:t>13.25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shd w:fill="FFFFFF" w:val="clear"/>
            <w:tcMar>
              <w:bottom w:w="0" w:type="dxa"/>
            </w:tcMar>
            <w:vAlign w:val="center"/>
          </w:tcPr>
          <w:p>
            <w:pPr>
              <w:pStyle w:val="TableContents"/>
              <w:bidi w:val="0"/>
              <w:spacing w:before="0" w:after="283"/>
              <w:jc w:val="left"/>
              <w:rPr/>
            </w:pPr>
            <w:r>
              <w:rPr/>
              <w:t>$</w:t>
            </w:r>
          </w:p>
        </w:tc>
        <w:tc>
          <w:tcPr>
            <w:tcW w:w="1216" w:type="dxa"/>
            <w:tcBorders/>
            <w:shd w:fill="FFFFFF" w:val="clear"/>
            <w:tcMar>
              <w:bottom w:w="0" w:type="dxa"/>
            </w:tcMar>
            <w:vAlign w:val="center"/>
          </w:tcPr>
          <w:p>
            <w:pPr>
              <w:pStyle w:val="TableContents"/>
              <w:bidi w:val="0"/>
              <w:spacing w:before="0" w:after="283"/>
              <w:jc w:val="right"/>
              <w:rPr/>
            </w:pPr>
            <w:bookmarkStart w:id="381" w:name="xdx_90B_eus-gaap--LongTermDebtMeasuremen"/>
            <w:bookmarkEnd w:id="381"/>
            <w:r>
              <w:rPr/>
              <w:t>6.78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shd w:fill="FFFFFF" w:val="clear"/>
            <w:tcMar>
              <w:bottom w:w="0" w:type="dxa"/>
            </w:tcMar>
            <w:vAlign w:val="center"/>
          </w:tcPr>
          <w:p>
            <w:pPr>
              <w:pStyle w:val="TableContents"/>
              <w:bidi w:val="0"/>
              <w:spacing w:before="0" w:after="283"/>
              <w:jc w:val="left"/>
              <w:rPr/>
            </w:pPr>
            <w:r>
              <w:rPr/>
              <w:t>$</w:t>
            </w:r>
          </w:p>
        </w:tc>
        <w:tc>
          <w:tcPr>
            <w:tcW w:w="1216" w:type="dxa"/>
            <w:tcBorders/>
            <w:shd w:fill="FFFFFF" w:val="clear"/>
            <w:tcMar>
              <w:bottom w:w="0" w:type="dxa"/>
            </w:tcMar>
            <w:vAlign w:val="center"/>
          </w:tcPr>
          <w:p>
            <w:pPr>
              <w:pStyle w:val="TableContents"/>
              <w:bidi w:val="0"/>
              <w:spacing w:before="0" w:after="283"/>
              <w:jc w:val="right"/>
              <w:rPr/>
            </w:pPr>
            <w:bookmarkStart w:id="382" w:name="xdx_904_eus-gaap--LongTermDebtMeasuremen"/>
            <w:bookmarkEnd w:id="382"/>
            <w:r>
              <w:rPr/>
              <w:t>3.90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shd w:fill="FFFFFF" w:val="clear"/>
            <w:tcMar>
              <w:bottom w:w="0" w:type="dxa"/>
            </w:tcMar>
            <w:vAlign w:val="center"/>
          </w:tcPr>
          <w:p>
            <w:pPr>
              <w:pStyle w:val="TableContents"/>
              <w:bidi w:val="0"/>
              <w:spacing w:before="0" w:after="283"/>
              <w:jc w:val="left"/>
              <w:rPr/>
            </w:pPr>
            <w:r>
              <w:rPr/>
              <w:t>$</w:t>
            </w:r>
          </w:p>
        </w:tc>
        <w:tc>
          <w:tcPr>
            <w:tcW w:w="1216" w:type="dxa"/>
            <w:tcBorders/>
            <w:shd w:fill="FFFFFF" w:val="clear"/>
            <w:tcMar>
              <w:bottom w:w="0" w:type="dxa"/>
            </w:tcMar>
            <w:vAlign w:val="center"/>
          </w:tcPr>
          <w:p>
            <w:pPr>
              <w:pStyle w:val="TableContents"/>
              <w:bidi w:val="0"/>
              <w:spacing w:before="0" w:after="283"/>
              <w:jc w:val="right"/>
              <w:rPr/>
            </w:pPr>
            <w:bookmarkStart w:id="383" w:name="xdx_90A_eus-gaap--LongTermDebtMeasuremen"/>
            <w:bookmarkEnd w:id="383"/>
            <w:r>
              <w:rPr/>
              <w:t>2.40</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007" w:type="dxa"/>
            <w:tcBorders/>
            <w:shd w:fill="CCEEFF" w:val="clear"/>
            <w:tcMar>
              <w:bottom w:w="0" w:type="dxa"/>
            </w:tcMar>
            <w:vAlign w:val="center"/>
          </w:tcPr>
          <w:p>
            <w:pPr>
              <w:pStyle w:val="TableContents"/>
              <w:bidi w:val="0"/>
              <w:spacing w:before="0" w:after="283"/>
              <w:jc w:val="left"/>
              <w:rPr/>
            </w:pPr>
            <w:r>
              <w:rPr/>
              <w:t>Selected 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bookmarkStart w:id="384" w:name="xdx_902_eus-gaap--LongTermDebtMeasuremen"/>
            <w:bookmarkEnd w:id="384"/>
            <w:r>
              <w:rPr/>
              <w:t>135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bookmarkStart w:id="385" w:name="xdx_907_eus-gaap--LongTermDebtMeasuremen"/>
            <w:bookmarkEnd w:id="385"/>
            <w:r>
              <w:rPr/>
              <w:t>130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bookmarkStart w:id="386" w:name="xdx_90D_eus-gaap--LongTermDebtMeasuremen"/>
            <w:bookmarkEnd w:id="386"/>
            <w:r>
              <w:rPr/>
              <w:t>150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bookmarkStart w:id="387" w:name="xdx_90A_eus-gaap--LongTermDebtMeasuremen"/>
            <w:bookmarkEnd w:id="387"/>
            <w:r>
              <w:rPr/>
              <w:t>140</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3007" w:type="dxa"/>
            <w:tcBorders/>
            <w:shd w:fill="FFFFFF" w:val="clear"/>
            <w:tcMar>
              <w:bottom w:w="0" w:type="dxa"/>
            </w:tcMar>
            <w:vAlign w:val="center"/>
          </w:tcPr>
          <w:p>
            <w:pPr>
              <w:pStyle w:val="TableContents"/>
              <w:bidi w:val="0"/>
              <w:spacing w:before="0" w:after="283"/>
              <w:jc w:val="left"/>
              <w:rPr/>
            </w:pPr>
            <w:r>
              <w:rPr/>
              <w:t>Risk-free rate (continuous compounded)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bookmarkStart w:id="388" w:name="xdx_901_eus-gaap--LongTermDebtMeasuremen"/>
            <w:bookmarkEnd w:id="388"/>
            <w:r>
              <w:rPr/>
              <w:t>3.91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bookmarkStart w:id="389" w:name="xdx_900_eus-gaap--LongTermDebtMeasuremen"/>
            <w:bookmarkEnd w:id="389"/>
            <w:r>
              <w:rPr/>
              <w:t>3.68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bookmarkStart w:id="390" w:name="xdx_907_eus-gaap--LongTermDebtMeasuremen"/>
            <w:bookmarkEnd w:id="390"/>
            <w:r>
              <w:rPr/>
              <w:t>3.47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bookmarkStart w:id="391" w:name="xdx_904_eus-gaap--LongTermDebtMeasuremen"/>
            <w:bookmarkEnd w:id="391"/>
            <w:r>
              <w:rPr/>
              <w:t>3.62</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3007" w:type="dxa"/>
            <w:tcBorders/>
            <w:shd w:fill="CCEEFF" w:val="clear"/>
            <w:tcMar>
              <w:bottom w:w="0" w:type="dxa"/>
            </w:tcMar>
            <w:vAlign w:val="center"/>
          </w:tcPr>
          <w:p>
            <w:pPr>
              <w:pStyle w:val="TableContents"/>
              <w:bidi w:val="0"/>
              <w:spacing w:before="0" w:after="283"/>
              <w:jc w:val="left"/>
              <w:rPr/>
            </w:pPr>
            <w:r>
              <w:rPr/>
              <w:t>Debt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bookmarkStart w:id="392" w:name="xdx_906_eus-gaap--LongTermDebtMeasuremen"/>
            <w:bookmarkEnd w:id="392"/>
            <w:r>
              <w:rPr/>
              <w:t>25.72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bookmarkStart w:id="393" w:name="xdx_90C_eus-gaap--LongTermDebtMeasuremen"/>
            <w:bookmarkEnd w:id="393"/>
            <w:r>
              <w:rPr/>
              <w:t>28.69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bookmarkStart w:id="394" w:name="xdx_90F_eus-gaap--LongTermDebtMeasuremen"/>
            <w:bookmarkEnd w:id="394"/>
            <w:r>
              <w:rPr/>
              <w:t>27.06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bookmarkStart w:id="395" w:name="xdx_900_eus-gaap--LongTermDebtMeasuremen"/>
            <w:bookmarkEnd w:id="395"/>
            <w:r>
              <w:rPr/>
              <w:t>27.94</w:t>
            </w:r>
          </w:p>
        </w:tc>
        <w:tc>
          <w:tcPr>
            <w:tcW w:w="23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inputs were used in the Monte Carlo simulation to remeasure the derivative liabilities at each reporting date:</w:t>
      </w:r>
    </w:p>
    <w:p>
      <w:pPr>
        <w:pStyle w:val="TextBody"/>
        <w:bidi w:val="0"/>
        <w:spacing w:before="0" w:after="0"/>
        <w:ind w:left="0" w:right="0" w:hanging="0"/>
        <w:jc w:val="left"/>
        <w:rPr>
          <w:caps w:val="false"/>
          <w:smallCaps w:val="false"/>
        </w:rPr>
      </w:pPr>
      <w:r>
        <w:rPr>
          <w:caps w:val="false"/>
          <w:smallCaps w:val="false"/>
        </w:rPr>
        <w:t> </w:t>
      </w:r>
    </w:p>
    <w:tbl>
      <w:tblPr>
        <w:tblW w:w="7779" w:type="dxa"/>
        <w:jc w:val="left"/>
        <w:tblInd w:w="0" w:type="dxa"/>
        <w:tblLayout w:type="fixed"/>
        <w:tblCellMar>
          <w:top w:w="0" w:type="dxa"/>
          <w:left w:w="0" w:type="dxa"/>
          <w:bottom w:w="28" w:type="dxa"/>
          <w:right w:w="0" w:type="dxa"/>
        </w:tblCellMar>
      </w:tblPr>
      <w:tblGrid>
        <w:gridCol w:w="3845"/>
        <w:gridCol w:w="60"/>
        <w:gridCol w:w="201"/>
        <w:gridCol w:w="1213"/>
        <w:gridCol w:w="215"/>
        <w:gridCol w:w="60"/>
        <w:gridCol w:w="391"/>
        <w:gridCol w:w="1564"/>
        <w:gridCol w:w="230"/>
      </w:tblGrid>
      <w:tr>
        <w:trPr/>
        <w:tc>
          <w:tcPr>
            <w:tcW w:w="3845" w:type="dxa"/>
            <w:tcBorders>
              <w:bottom w:val="single" w:sz="8"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283"/>
              <w:jc w:val="left"/>
              <w:rPr/>
            </w:pPr>
            <w:r>
              <w:rPr/>
              <w:t>Assumed instrument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2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96" w:name="xdx_902_eus-gaap--LongTermDebtTerm_iI_dt"/>
            <w:bookmarkEnd w:id="396"/>
            <w:r>
              <w:rPr>
                <w:rFonts w:ascii="Times New Roman;Times;Serif" w:hAnsi="Times New Roman;Times;Serif"/>
                <w:sz w:val="20"/>
              </w:rPr>
              <w:t>2.50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97" w:name="xdx_909_eus-gaap--LongTermDebtTerm_iI_dt"/>
            <w:bookmarkEnd w:id="397"/>
            <w:r>
              <w:rPr>
                <w:rFonts w:ascii="Times New Roman;Times;Serif" w:hAnsi="Times New Roman;Times;Serif"/>
                <w:sz w:val="20"/>
              </w:rPr>
              <w:t>3.0 years</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84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w:t>
            </w:r>
          </w:p>
        </w:tc>
        <w:tc>
          <w:tcPr>
            <w:tcW w:w="1213" w:type="dxa"/>
            <w:tcBorders/>
            <w:shd w:fill="FFFFFF" w:val="clear"/>
            <w:tcMar>
              <w:bottom w:w="0" w:type="dxa"/>
            </w:tcMar>
            <w:vAlign w:val="center"/>
          </w:tcPr>
          <w:p>
            <w:pPr>
              <w:pStyle w:val="TableContents"/>
              <w:bidi w:val="0"/>
              <w:spacing w:before="0" w:after="283"/>
              <w:jc w:val="right"/>
              <w:rPr/>
            </w:pPr>
            <w:bookmarkStart w:id="398" w:name="xdx_900_eus-gaap--LongTermDebtMeasuremen"/>
            <w:bookmarkEnd w:id="398"/>
            <w:r>
              <w:rPr/>
              <w:t>0.43</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w:t>
            </w:r>
          </w:p>
        </w:tc>
        <w:tc>
          <w:tcPr>
            <w:tcW w:w="1564" w:type="dxa"/>
            <w:tcBorders/>
            <w:shd w:fill="FFFFFF" w:val="clear"/>
            <w:tcMar>
              <w:bottom w:w="0" w:type="dxa"/>
            </w:tcMar>
            <w:vAlign w:val="center"/>
          </w:tcPr>
          <w:p>
            <w:pPr>
              <w:pStyle w:val="TableContents"/>
              <w:bidi w:val="0"/>
              <w:spacing w:before="0" w:after="283"/>
              <w:jc w:val="right"/>
              <w:rPr/>
            </w:pPr>
            <w:bookmarkStart w:id="399" w:name="xdx_90B_eus-gaap--LongTermDebtMeasuremen"/>
            <w:bookmarkEnd w:id="399"/>
            <w:r>
              <w:rPr/>
              <w:t>2.63</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283"/>
              <w:jc w:val="left"/>
              <w:rPr/>
            </w:pPr>
            <w:r>
              <w:rPr/>
              <w:t>Selected 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213" w:type="dxa"/>
            <w:tcBorders/>
            <w:shd w:fill="CCEEFF" w:val="clear"/>
            <w:tcMar>
              <w:bottom w:w="0" w:type="dxa"/>
            </w:tcMar>
            <w:vAlign w:val="center"/>
          </w:tcPr>
          <w:p>
            <w:pPr>
              <w:pStyle w:val="TableContents"/>
              <w:bidi w:val="0"/>
              <w:spacing w:before="0" w:after="283"/>
              <w:jc w:val="right"/>
              <w:rPr/>
            </w:pPr>
            <w:bookmarkStart w:id="400" w:name="xdx_90C_eus-gaap--LongTermDebtMeasuremen"/>
            <w:bookmarkEnd w:id="400"/>
            <w:r>
              <w:rPr/>
              <w:t>145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564" w:type="dxa"/>
            <w:tcBorders/>
            <w:shd w:fill="CCEEFF" w:val="clear"/>
            <w:tcMar>
              <w:bottom w:w="0" w:type="dxa"/>
            </w:tcMar>
            <w:vAlign w:val="center"/>
          </w:tcPr>
          <w:p>
            <w:pPr>
              <w:pStyle w:val="TableContents"/>
              <w:bidi w:val="0"/>
              <w:spacing w:before="0" w:after="283"/>
              <w:jc w:val="right"/>
              <w:rPr/>
            </w:pPr>
            <w:bookmarkStart w:id="401" w:name="xdx_908_eus-gaap--LongTermDebtMeasuremen"/>
            <w:bookmarkEnd w:id="401"/>
            <w:r>
              <w:rPr/>
              <w:t>150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shd w:fill="FFFFFF" w:val="clear"/>
            <w:tcMar>
              <w:bottom w:w="0" w:type="dxa"/>
            </w:tcMar>
            <w:vAlign w:val="center"/>
          </w:tcPr>
          <w:p>
            <w:pPr>
              <w:pStyle w:val="TableContents"/>
              <w:bidi w:val="0"/>
              <w:spacing w:before="0" w:after="283"/>
              <w:jc w:val="left"/>
              <w:rPr/>
            </w:pPr>
            <w:r>
              <w:rPr/>
              <w:t>Risk-free rate (continuous compounded)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213" w:type="dxa"/>
            <w:tcBorders/>
            <w:shd w:fill="FFFFFF" w:val="clear"/>
            <w:tcMar>
              <w:bottom w:w="0" w:type="dxa"/>
            </w:tcMar>
            <w:vAlign w:val="center"/>
          </w:tcPr>
          <w:p>
            <w:pPr>
              <w:pStyle w:val="TableContents"/>
              <w:bidi w:val="0"/>
              <w:spacing w:before="0" w:after="283"/>
              <w:jc w:val="right"/>
              <w:rPr/>
            </w:pPr>
            <w:bookmarkStart w:id="402" w:name="xdx_90D_eus-gaap--LongTermDebtMeasuremen"/>
            <w:bookmarkEnd w:id="402"/>
            <w:r>
              <w:rPr/>
              <w:t>4.10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pPr>
            <w:bookmarkStart w:id="403" w:name="xdx_900_eus-gaap--LongTermDebtMeasuremen"/>
            <w:bookmarkEnd w:id="403"/>
            <w:r>
              <w:rPr/>
              <w:t>3.52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283"/>
              <w:jc w:val="left"/>
              <w:rPr/>
            </w:pPr>
            <w:r>
              <w:rPr/>
              <w:t>Debt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213" w:type="dxa"/>
            <w:tcBorders/>
            <w:shd w:fill="CCEEFF" w:val="clear"/>
            <w:tcMar>
              <w:bottom w:w="0" w:type="dxa"/>
            </w:tcMar>
            <w:vAlign w:val="center"/>
          </w:tcPr>
          <w:p>
            <w:pPr>
              <w:pStyle w:val="TableContents"/>
              <w:bidi w:val="0"/>
              <w:spacing w:before="0" w:after="283"/>
              <w:jc w:val="right"/>
              <w:rPr/>
            </w:pPr>
            <w:bookmarkStart w:id="404" w:name="xdx_90B_eus-gaap--LongTermDebtMeasuremen"/>
            <w:bookmarkEnd w:id="404"/>
            <w:r>
              <w:rPr/>
              <w:t>29.66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564" w:type="dxa"/>
            <w:tcBorders/>
            <w:shd w:fill="CCEEFF" w:val="clear"/>
            <w:tcMar>
              <w:bottom w:w="0" w:type="dxa"/>
            </w:tcMar>
            <w:vAlign w:val="center"/>
          </w:tcPr>
          <w:p>
            <w:pPr>
              <w:pStyle w:val="TableContents"/>
              <w:bidi w:val="0"/>
              <w:spacing w:before="0" w:after="283"/>
              <w:jc w:val="right"/>
              <w:rPr/>
            </w:pPr>
            <w:bookmarkStart w:id="405" w:name="xdx_90B_eus-gaap--LongTermDebtMeasuremen"/>
            <w:bookmarkEnd w:id="405"/>
            <w:r>
              <w:rPr/>
              <w:t>27.10</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range of inputs were used in the Monte Carlo simulation to remeasure the derivative liabilities at conversion dates (derivatives with multiple conversions are presented with the range of inputs):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13"/>
        <w:gridCol w:w="60"/>
        <w:gridCol w:w="354"/>
        <w:gridCol w:w="1385"/>
        <w:gridCol w:w="215"/>
        <w:gridCol w:w="60"/>
        <w:gridCol w:w="348"/>
        <w:gridCol w:w="1393"/>
        <w:gridCol w:w="215"/>
        <w:gridCol w:w="60"/>
        <w:gridCol w:w="289"/>
        <w:gridCol w:w="1157"/>
        <w:gridCol w:w="215"/>
        <w:gridCol w:w="60"/>
        <w:gridCol w:w="179"/>
        <w:gridCol w:w="1267"/>
        <w:gridCol w:w="235"/>
      </w:tblGrid>
      <w:tr>
        <w:trPr/>
        <w:tc>
          <w:tcPr>
            <w:tcW w:w="2713" w:type="dxa"/>
            <w:tcBorders>
              <w:bottom w:val="single" w:sz="8"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1739" w:type="dxa"/>
            <w:gridSpan w:val="2"/>
            <w:tcBorders>
              <w:bottom w:val="single" w:sz="8" w:space="0" w:color="000000"/>
            </w:tcBorders>
            <w:vAlign w:val="center"/>
          </w:tcPr>
          <w:p>
            <w:pPr>
              <w:pStyle w:val="TableContents"/>
              <w:bidi w:val="0"/>
              <w:jc w:val="center"/>
              <w:rPr>
                <w:b/>
              </w:rPr>
            </w:pPr>
            <w:r>
              <w:rPr>
                <w:b/>
              </w:rPr>
              <w:t>Derivative 1</w:t>
            </w:r>
          </w:p>
          <w:p>
            <w:pPr>
              <w:pStyle w:val="TableContents"/>
              <w:bidi w:val="0"/>
              <w:spacing w:before="0" w:after="283"/>
              <w:jc w:val="center"/>
              <w:rPr>
                <w:b/>
              </w:rPr>
            </w:pPr>
            <w:r>
              <w:rPr>
                <w:b/>
              </w:rPr>
              <w:t>(Convertible Note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1" w:type="dxa"/>
            <w:gridSpan w:val="2"/>
            <w:tcBorders>
              <w:bottom w:val="single" w:sz="8" w:space="0" w:color="000000"/>
            </w:tcBorders>
            <w:vAlign w:val="center"/>
          </w:tcPr>
          <w:p>
            <w:pPr>
              <w:pStyle w:val="TableContents"/>
              <w:bidi w:val="0"/>
              <w:jc w:val="center"/>
              <w:rPr>
                <w:b/>
              </w:rPr>
            </w:pPr>
            <w:r>
              <w:rPr>
                <w:b/>
              </w:rPr>
              <w:t>Derivative 2</w:t>
            </w:r>
          </w:p>
          <w:p>
            <w:pPr>
              <w:pStyle w:val="TableContents"/>
              <w:bidi w:val="0"/>
              <w:spacing w:before="0" w:after="283"/>
              <w:jc w:val="center"/>
              <w:rPr>
                <w:b/>
              </w:rPr>
            </w:pPr>
            <w:r>
              <w:rPr>
                <w:b/>
              </w:rPr>
              <w:t>(Convertible Note 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6"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3)</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6"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4)</w:t>
            </w:r>
          </w:p>
        </w:tc>
        <w:tc>
          <w:tcPr>
            <w:tcW w:w="235" w:type="dxa"/>
            <w:tcBorders/>
            <w:tcMar>
              <w:bottom w:w="0" w:type="dxa"/>
            </w:tcMar>
            <w:vAlign w:val="center"/>
          </w:tcPr>
          <w:p>
            <w:pPr>
              <w:pStyle w:val="TableContents"/>
              <w:bidi w:val="0"/>
              <w:spacing w:before="0" w:after="283"/>
              <w:jc w:val="left"/>
              <w:rPr/>
            </w:pPr>
            <w:r>
              <w:rPr/>
              <w:t> </w:t>
            </w:r>
          </w:p>
        </w:tc>
      </w:tr>
      <w:tr>
        <w:trPr/>
        <w:tc>
          <w:tcPr>
            <w:tcW w:w="2713" w:type="dxa"/>
            <w:tcBorders/>
            <w:shd w:fill="CCEEFF" w:val="clear"/>
            <w:tcMar>
              <w:bottom w:w="0" w:type="dxa"/>
            </w:tcMar>
            <w:vAlign w:val="center"/>
          </w:tcPr>
          <w:p>
            <w:pPr>
              <w:pStyle w:val="TableContents"/>
              <w:bidi w:val="0"/>
              <w:spacing w:before="0" w:after="283"/>
              <w:jc w:val="left"/>
              <w:rPr/>
            </w:pPr>
            <w:r>
              <w:rPr/>
              <w:t>Assumed instrument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06" w:name="xdx_909_eus-gaap--LongTermDebtTerm_iI_dt"/>
            <w:bookmarkEnd w:id="406"/>
            <w:r>
              <w:rPr>
                <w:rFonts w:ascii="Times New Roman;Times;Serif" w:hAnsi="Times New Roman;Times;Serif"/>
                <w:sz w:val="20"/>
              </w:rPr>
              <w:t>2.7-</w:t>
            </w:r>
            <w:bookmarkStart w:id="407" w:name="xdx_901_eus-gaap--LongTermDebtTerm_iI_dt"/>
            <w:bookmarkEnd w:id="407"/>
            <w:r>
              <w:rPr>
                <w:rFonts w:ascii="Times New Roman;Times;Serif" w:hAnsi="Times New Roman;Times;Serif"/>
                <w:sz w:val="20"/>
              </w:rPr>
              <w:t>2.71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right"/>
              <w:rPr/>
            </w:pPr>
            <w:bookmarkStart w:id="408" w:name="xdx_901_eus-gaap--LongTermDebtTerm_iI_dt"/>
            <w:bookmarkEnd w:id="408"/>
            <w:r>
              <w:rPr/>
              <w:t>2.70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 </w:t>
            </w:r>
          </w:p>
        </w:tc>
        <w:tc>
          <w:tcPr>
            <w:tcW w:w="1157" w:type="dxa"/>
            <w:tcBorders/>
            <w:shd w:fill="CCEEFF" w:val="clear"/>
            <w:tcMar>
              <w:bottom w:w="0" w:type="dxa"/>
            </w:tcMar>
            <w:vAlign w:val="center"/>
          </w:tcPr>
          <w:p>
            <w:pPr>
              <w:pStyle w:val="TableContents"/>
              <w:bidi w:val="0"/>
              <w:spacing w:before="0" w:after="283"/>
              <w:jc w:val="right"/>
              <w:rPr/>
            </w:pPr>
            <w:bookmarkStart w:id="409" w:name="xdx_90A_eus-gaap--LongTermDebtTerm_iI_dt"/>
            <w:bookmarkEnd w:id="409"/>
            <w:r>
              <w:rPr/>
              <w:t>2.73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2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10" w:name="xdx_90D_eus-gaap--LongTermDebtTerm_iI_dt"/>
            <w:bookmarkEnd w:id="410"/>
            <w:r>
              <w:rPr>
                <w:rFonts w:ascii="Times New Roman;Times;Serif" w:hAnsi="Times New Roman;Times;Serif"/>
                <w:sz w:val="20"/>
              </w:rPr>
              <w:t>2.73-</w:t>
            </w:r>
            <w:bookmarkStart w:id="411" w:name="xdx_906_eus-gaap--LongTermDebtTerm_iI_dt"/>
            <w:bookmarkEnd w:id="411"/>
            <w:r>
              <w:rPr>
                <w:rFonts w:ascii="Times New Roman;Times;Serif" w:hAnsi="Times New Roman;Times;Serif"/>
                <w:sz w:val="20"/>
              </w:rPr>
              <w:t>2.93</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713"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4" w:type="dxa"/>
            <w:tcBorders/>
            <w:shd w:fill="FFFFFF" w:val="clear"/>
            <w:tcMar>
              <w:bottom w:w="0" w:type="dxa"/>
            </w:tcMar>
            <w:vAlign w:val="center"/>
          </w:tcPr>
          <w:p>
            <w:pPr>
              <w:pStyle w:val="TableContents"/>
              <w:bidi w:val="0"/>
              <w:spacing w:before="0" w:after="283"/>
              <w:jc w:val="left"/>
              <w:rPr/>
            </w:pPr>
            <w:r>
              <w:rPr/>
              <w:t>$</w:t>
            </w:r>
          </w:p>
        </w:tc>
        <w:tc>
          <w:tcPr>
            <w:tcW w:w="13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12" w:name="xdx_900_eus-gaap--LongTermDebtMeasuremen"/>
            <w:bookmarkEnd w:id="412"/>
            <w:r>
              <w:rPr>
                <w:rFonts w:ascii="Times New Roman;Times;Serif" w:hAnsi="Times New Roman;Times;Serif"/>
                <w:sz w:val="20"/>
              </w:rPr>
              <w:t>0.88-</w:t>
            </w:r>
            <w:bookmarkStart w:id="413" w:name="xdx_904_eus-gaap--LongTermDebtMeasuremen"/>
            <w:bookmarkEnd w:id="413"/>
            <w:r>
              <w:rPr>
                <w:rFonts w:ascii="Times New Roman;Times;Serif" w:hAnsi="Times New Roman;Times;Serif"/>
                <w:sz w:val="20"/>
              </w:rPr>
              <w:t>1.04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left"/>
              <w:rPr/>
            </w:pPr>
            <w:r>
              <w:rPr/>
              <w:t>$</w:t>
            </w:r>
          </w:p>
        </w:tc>
        <w:tc>
          <w:tcPr>
            <w:tcW w:w="1393" w:type="dxa"/>
            <w:tcBorders/>
            <w:shd w:fill="FFFFFF" w:val="clear"/>
            <w:tcMar>
              <w:bottom w:w="0" w:type="dxa"/>
            </w:tcMar>
            <w:vAlign w:val="center"/>
          </w:tcPr>
          <w:p>
            <w:pPr>
              <w:pStyle w:val="TableContents"/>
              <w:bidi w:val="0"/>
              <w:spacing w:before="0" w:after="283"/>
              <w:jc w:val="right"/>
              <w:rPr/>
            </w:pPr>
            <w:bookmarkStart w:id="414" w:name="xdx_90F_eus-gaap--LongTermDebtMeasuremen"/>
            <w:bookmarkEnd w:id="414"/>
            <w:r>
              <w:rPr/>
              <w:t>0.88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 w:type="dxa"/>
            <w:tcBorders/>
            <w:shd w:fill="FFFFFF" w:val="clear"/>
            <w:tcMar>
              <w:bottom w:w="0" w:type="dxa"/>
            </w:tcMar>
            <w:vAlign w:val="center"/>
          </w:tcPr>
          <w:p>
            <w:pPr>
              <w:pStyle w:val="TableContents"/>
              <w:bidi w:val="0"/>
              <w:spacing w:before="0" w:after="283"/>
              <w:jc w:val="left"/>
              <w:rPr/>
            </w:pPr>
            <w:r>
              <w:rPr/>
              <w:t>$</w:t>
            </w:r>
          </w:p>
        </w:tc>
        <w:tc>
          <w:tcPr>
            <w:tcW w:w="1157" w:type="dxa"/>
            <w:tcBorders/>
            <w:shd w:fill="FFFFFF" w:val="clear"/>
            <w:tcMar>
              <w:bottom w:w="0" w:type="dxa"/>
            </w:tcMar>
            <w:vAlign w:val="center"/>
          </w:tcPr>
          <w:p>
            <w:pPr>
              <w:pStyle w:val="TableContents"/>
              <w:bidi w:val="0"/>
              <w:spacing w:before="0" w:after="283"/>
              <w:jc w:val="right"/>
              <w:rPr/>
            </w:pPr>
            <w:bookmarkStart w:id="415" w:name="xdx_904_eus-gaap--LongTermDebtMeasuremen"/>
            <w:bookmarkEnd w:id="415"/>
            <w:r>
              <w:rPr/>
              <w:t>1.03</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w:t>
            </w:r>
          </w:p>
        </w:tc>
        <w:tc>
          <w:tcPr>
            <w:tcW w:w="12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16" w:name="xdx_904_eus-gaap--LongTermDebtMeasuremen"/>
            <w:bookmarkEnd w:id="416"/>
            <w:r>
              <w:rPr>
                <w:rFonts w:ascii="Times New Roman;Times;Serif" w:hAnsi="Times New Roman;Times;Serif"/>
                <w:sz w:val="20"/>
              </w:rPr>
              <w:t>1.03-</w:t>
            </w:r>
            <w:bookmarkStart w:id="417" w:name="xdx_901_eus-gaap--LongTermDebtMeasuremen"/>
            <w:bookmarkEnd w:id="417"/>
            <w:r>
              <w:rPr>
                <w:rFonts w:ascii="Times New Roman;Times;Serif" w:hAnsi="Times New Roman;Times;Serif"/>
                <w:sz w:val="20"/>
              </w:rPr>
              <w:t>2.40</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2713" w:type="dxa"/>
            <w:tcBorders/>
            <w:shd w:fill="CCEEFF" w:val="clear"/>
            <w:tcMar>
              <w:bottom w:w="0" w:type="dxa"/>
            </w:tcMar>
            <w:vAlign w:val="center"/>
          </w:tcPr>
          <w:p>
            <w:pPr>
              <w:pStyle w:val="TableContents"/>
              <w:bidi w:val="0"/>
              <w:spacing w:before="0" w:after="283"/>
              <w:jc w:val="left"/>
              <w:rPr/>
            </w:pPr>
            <w:r>
              <w:rPr/>
              <w:t>Selected 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right"/>
              <w:rPr/>
            </w:pPr>
            <w:bookmarkStart w:id="418" w:name="xdx_901_eus-gaap--LongTermDebtMeasuremen"/>
            <w:bookmarkEnd w:id="418"/>
            <w:r>
              <w:rPr/>
              <w:t>145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right"/>
              <w:rPr/>
            </w:pPr>
            <w:bookmarkStart w:id="419" w:name="xdx_90E_eus-gaap--LongTermDebtMeasuremen"/>
            <w:bookmarkEnd w:id="419"/>
            <w:r>
              <w:rPr/>
              <w:t>145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 </w:t>
            </w:r>
          </w:p>
        </w:tc>
        <w:tc>
          <w:tcPr>
            <w:tcW w:w="1157" w:type="dxa"/>
            <w:tcBorders/>
            <w:shd w:fill="CCEEFF" w:val="clear"/>
            <w:tcMar>
              <w:bottom w:w="0" w:type="dxa"/>
            </w:tcMar>
            <w:vAlign w:val="center"/>
          </w:tcPr>
          <w:p>
            <w:pPr>
              <w:pStyle w:val="TableContents"/>
              <w:bidi w:val="0"/>
              <w:spacing w:before="0" w:after="283"/>
              <w:jc w:val="right"/>
              <w:rPr/>
            </w:pPr>
            <w:bookmarkStart w:id="420" w:name="xdx_903_eus-gaap--LongTermDebtMeasuremen"/>
            <w:bookmarkEnd w:id="420"/>
            <w:r>
              <w:rPr/>
              <w:t>130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2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21" w:name="xdx_90A_eus-gaap--LongTermDebtMeasuremen"/>
            <w:bookmarkEnd w:id="421"/>
            <w:r>
              <w:rPr>
                <w:rFonts w:ascii="Times New Roman;Times;Serif" w:hAnsi="Times New Roman;Times;Serif"/>
                <w:sz w:val="20"/>
              </w:rPr>
              <w:t>130-</w:t>
            </w:r>
            <w:bookmarkStart w:id="422" w:name="xdx_905_eus-gaap--LongTermDebtMeasuremen"/>
            <w:bookmarkEnd w:id="422"/>
            <w:r>
              <w:rPr>
                <w:rFonts w:ascii="Times New Roman;Times;Serif" w:hAnsi="Times New Roman;Times;Serif"/>
                <w:sz w:val="20"/>
              </w:rPr>
              <w:t>145</w:t>
            </w:r>
          </w:p>
        </w:tc>
        <w:tc>
          <w:tcPr>
            <w:tcW w:w="235" w:type="dxa"/>
            <w:tcBorders/>
            <w:shd w:fill="CCEEFF" w:val="clear"/>
            <w:tcMar>
              <w:bottom w:w="0" w:type="dxa"/>
            </w:tcMar>
            <w:vAlign w:val="center"/>
          </w:tcPr>
          <w:p>
            <w:pPr>
              <w:pStyle w:val="TableContents"/>
              <w:bidi w:val="0"/>
              <w:spacing w:before="0" w:after="283"/>
              <w:jc w:val="left"/>
              <w:rPr/>
            </w:pPr>
            <w:r>
              <w:rPr/>
              <w:t>%</w:t>
            </w:r>
          </w:p>
        </w:tc>
      </w:tr>
      <w:tr>
        <w:trPr/>
        <w:tc>
          <w:tcPr>
            <w:tcW w:w="2713" w:type="dxa"/>
            <w:tcBorders/>
            <w:shd w:fill="FFFFFF" w:val="clear"/>
            <w:tcMar>
              <w:bottom w:w="0" w:type="dxa"/>
            </w:tcMar>
            <w:vAlign w:val="center"/>
          </w:tcPr>
          <w:p>
            <w:pPr>
              <w:pStyle w:val="TableContents"/>
              <w:bidi w:val="0"/>
              <w:spacing w:before="0" w:after="283"/>
              <w:jc w:val="left"/>
              <w:rPr/>
            </w:pPr>
            <w:r>
              <w:rPr/>
              <w:t>Risk-free rate (continuous compounded)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4"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right"/>
              <w:rPr/>
            </w:pPr>
            <w:bookmarkStart w:id="423" w:name="xdx_902_eus-gaap--LongTermDebtMeasuremen"/>
            <w:bookmarkEnd w:id="423"/>
            <w:r>
              <w:rPr/>
              <w:t>3.76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left"/>
              <w:rPr/>
            </w:pPr>
            <w:r>
              <w:rPr/>
              <w:t> </w:t>
            </w:r>
          </w:p>
        </w:tc>
        <w:tc>
          <w:tcPr>
            <w:tcW w:w="1393" w:type="dxa"/>
            <w:tcBorders/>
            <w:shd w:fill="FFFFFF" w:val="clear"/>
            <w:tcMar>
              <w:bottom w:w="0" w:type="dxa"/>
            </w:tcMar>
            <w:vAlign w:val="center"/>
          </w:tcPr>
          <w:p>
            <w:pPr>
              <w:pStyle w:val="TableContents"/>
              <w:bidi w:val="0"/>
              <w:spacing w:before="0" w:after="283"/>
              <w:jc w:val="right"/>
              <w:rPr/>
            </w:pPr>
            <w:bookmarkStart w:id="424" w:name="xdx_906_eus-gaap--LongTermDebtMeasuremen"/>
            <w:bookmarkEnd w:id="424"/>
            <w:r>
              <w:rPr/>
              <w:t>3.76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 w:type="dxa"/>
            <w:tcBorders/>
            <w:shd w:fill="FFFFFF" w:val="clear"/>
            <w:tcMar>
              <w:bottom w:w="0" w:type="dxa"/>
            </w:tcMar>
            <w:vAlign w:val="center"/>
          </w:tcPr>
          <w:p>
            <w:pPr>
              <w:pStyle w:val="TableContents"/>
              <w:bidi w:val="0"/>
              <w:spacing w:before="0" w:after="283"/>
              <w:jc w:val="left"/>
              <w:rPr/>
            </w:pPr>
            <w:r>
              <w:rPr/>
              <w:t> </w:t>
            </w:r>
          </w:p>
        </w:tc>
        <w:tc>
          <w:tcPr>
            <w:tcW w:w="1157" w:type="dxa"/>
            <w:tcBorders/>
            <w:shd w:fill="FFFFFF" w:val="clear"/>
            <w:tcMar>
              <w:bottom w:w="0" w:type="dxa"/>
            </w:tcMar>
            <w:vAlign w:val="center"/>
          </w:tcPr>
          <w:p>
            <w:pPr>
              <w:pStyle w:val="TableContents"/>
              <w:bidi w:val="0"/>
              <w:spacing w:before="0" w:after="283"/>
              <w:jc w:val="right"/>
              <w:rPr/>
            </w:pPr>
            <w:bookmarkStart w:id="425" w:name="xdx_90E_eus-gaap--LongTermDebtMeasuremen"/>
            <w:bookmarkEnd w:id="425"/>
            <w:r>
              <w:rPr/>
              <w:t>3.74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2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26" w:name="xdx_90B_eus-gaap--LongTermDebtMeasuremen"/>
            <w:bookmarkEnd w:id="426"/>
            <w:r>
              <w:rPr>
                <w:rFonts w:ascii="Times New Roman;Times;Serif" w:hAnsi="Times New Roman;Times;Serif"/>
                <w:sz w:val="20"/>
              </w:rPr>
              <w:t>3.47-</w:t>
            </w:r>
            <w:bookmarkStart w:id="427" w:name="xdx_901_eus-gaap--LongTermDebtMeasuremen"/>
            <w:bookmarkEnd w:id="427"/>
            <w:r>
              <w:rPr>
                <w:rFonts w:ascii="Times New Roman;Times;Serif" w:hAnsi="Times New Roman;Times;Serif"/>
                <w:sz w:val="20"/>
              </w:rPr>
              <w:t>3.74</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2713" w:type="dxa"/>
            <w:tcBorders/>
            <w:shd w:fill="CCEEFF" w:val="clear"/>
            <w:tcMar>
              <w:bottom w:w="0" w:type="dxa"/>
            </w:tcMar>
            <w:vAlign w:val="center"/>
          </w:tcPr>
          <w:p>
            <w:pPr>
              <w:pStyle w:val="TableContents"/>
              <w:bidi w:val="0"/>
              <w:spacing w:before="0" w:after="283"/>
              <w:jc w:val="left"/>
              <w:rPr/>
            </w:pPr>
            <w:r>
              <w:rPr/>
              <w:t>Debt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28" w:name="xdx_90A_eus-gaap--LongTermDebtMeasuremen"/>
            <w:bookmarkEnd w:id="428"/>
            <w:r>
              <w:rPr>
                <w:rFonts w:ascii="Times New Roman;Times;Serif" w:hAnsi="Times New Roman;Times;Serif"/>
                <w:sz w:val="20"/>
              </w:rPr>
              <w:t>27.00-</w:t>
            </w:r>
            <w:bookmarkStart w:id="429" w:name="xdx_90C_eus-gaap--LongTermDebtMeasuremen"/>
            <w:bookmarkEnd w:id="429"/>
            <w:r>
              <w:rPr>
                <w:rFonts w:ascii="Times New Roman;Times;Serif" w:hAnsi="Times New Roman;Times;Serif"/>
                <w:sz w:val="20"/>
              </w:rPr>
              <w:t>28.37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right"/>
              <w:rPr/>
            </w:pPr>
            <w:bookmarkStart w:id="430" w:name="xdx_90E_eus-gaap--LongTermDebtMeasuremen"/>
            <w:bookmarkEnd w:id="430"/>
            <w:r>
              <w:rPr/>
              <w:t>27.00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 </w:t>
            </w:r>
          </w:p>
        </w:tc>
        <w:tc>
          <w:tcPr>
            <w:tcW w:w="1157" w:type="dxa"/>
            <w:tcBorders/>
            <w:shd w:fill="CCEEFF" w:val="clear"/>
            <w:tcMar>
              <w:bottom w:w="0" w:type="dxa"/>
            </w:tcMar>
            <w:vAlign w:val="center"/>
          </w:tcPr>
          <w:p>
            <w:pPr>
              <w:pStyle w:val="TableContents"/>
              <w:bidi w:val="0"/>
              <w:spacing w:before="0" w:after="283"/>
              <w:jc w:val="right"/>
              <w:rPr/>
            </w:pPr>
            <w:bookmarkStart w:id="431" w:name="xdx_900_eus-gaap--LongTermDebtMeasuremen"/>
            <w:bookmarkEnd w:id="431"/>
            <w:r>
              <w:rPr/>
              <w:t>28.43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2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32" w:name="xdx_90A_eus-gaap--LongTermDebtMeasuremen"/>
            <w:bookmarkEnd w:id="432"/>
            <w:r>
              <w:rPr>
                <w:rFonts w:ascii="Times New Roman;Times;Serif" w:hAnsi="Times New Roman;Times;Serif"/>
                <w:sz w:val="20"/>
              </w:rPr>
              <w:t>27.94-</w:t>
            </w:r>
            <w:bookmarkStart w:id="433" w:name="xdx_901_eus-gaap--LongTermDebtMeasuremen"/>
            <w:bookmarkEnd w:id="433"/>
            <w:r>
              <w:rPr>
                <w:rFonts w:ascii="Times New Roman;Times;Serif" w:hAnsi="Times New Roman;Times;Serif"/>
                <w:sz w:val="20"/>
              </w:rPr>
              <w:t>28.97</w:t>
            </w:r>
          </w:p>
        </w:tc>
        <w:tc>
          <w:tcPr>
            <w:tcW w:w="23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34" w:name="xdx_8AA_zELf8JaAsI33"/>
      <w:bookmarkEnd w:id="434"/>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10, the convertible notes have no stated maturity. The Company estimated an expected term based on the timing of expected draws from the SPA, the economic structure of the SPA, the conversion mechanics, and its assessment of expected noteholder conversion behavior. This estimate is reassessed at each remeasurement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above table, the Company disclosed a range of closing day stock prices, historical volatilities, risk-free rates, and debt discount rates used as model inputs for conversion calculations, if the note had multiple conversions during the period. Convertible Note 1 had multiple conversions which fell on the following dates: April 16, 2026 and April 21, 2026. Convertible Note 4 had multiple conversions which fell on the following dates: January 26, 2026, February 18, 2026, March 3, 2026, March 18, 2026 and April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expected equity volatility using the historical volatility of a peer group of comparable-stage companies operating in the autonomous vehicle, robotics, and AI/logistics technology industries, supplemented by the Company’s own limited trading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rate was derived from the continuously compounded yield on U.S. Treasury securities with a remaining term approximately equal to the assumed instrument term, observed as of each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discount rate represents the Company’s estimated cost of non-convertible debt with terms comparable to the convertible notes. This rate was calibrated using observable market data for similarly situated issuers in the Company’s industry and credit profile, adjusted for the specific terms of the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Sensitivity of Level 3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derivative liabilities are valued using significant unobservable inputs, their fair value measurements are classified within Level 3. Changes in those inputs can have a material effect on the reported fair value. The table below describes the directional sensitivity of the derivative liability fair value to changes in the most significant unobservable inputs, holding all other inputs constant:</w:t>
      </w:r>
    </w:p>
    <w:p>
      <w:pPr>
        <w:pStyle w:val="TextBody"/>
        <w:bidi w:val="0"/>
        <w:spacing w:before="0" w:after="0"/>
        <w:ind w:left="0" w:right="0" w:hanging="0"/>
        <w:jc w:val="left"/>
        <w:rPr>
          <w:caps w:val="false"/>
          <w:smallCaps w:val="false"/>
        </w:rPr>
      </w:pPr>
      <w:r>
        <w:rPr>
          <w:caps w:val="false"/>
          <w:smallCaps w:val="false"/>
        </w:rPr>
        <w:t> </w:t>
      </w:r>
    </w:p>
    <w:tbl>
      <w:tblPr>
        <w:tblW w:w="5145" w:type="dxa"/>
        <w:jc w:val="left"/>
        <w:tblInd w:w="0" w:type="dxa"/>
        <w:tblLayout w:type="fixed"/>
        <w:tblCellMar>
          <w:top w:w="0" w:type="dxa"/>
          <w:left w:w="0" w:type="dxa"/>
          <w:bottom w:w="28" w:type="dxa"/>
          <w:right w:w="0" w:type="dxa"/>
        </w:tblCellMar>
      </w:tblPr>
      <w:tblGrid>
        <w:gridCol w:w="1520"/>
        <w:gridCol w:w="60"/>
        <w:gridCol w:w="1715"/>
        <w:gridCol w:w="60"/>
        <w:gridCol w:w="1790"/>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Direction of 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Effect on Fair Value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volatility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volatility is the most significant unobservable input. The conversion feature has an asymmetric payoff structure (the noteholder benefits from lower stock prices that produce a lower conversion price under the Lookback Formula, subject to the $</w:t>
      </w:r>
      <w:bookmarkStart w:id="435" w:name="xdx_909_ecustom--FloorPrice_iI_c20260630"/>
      <w:bookmarkEnd w:id="435"/>
      <w:r>
        <w:rPr>
          <w:rFonts w:ascii="Times New Roman;Times;Serif" w:hAnsi="Times New Roman;Times;Serif"/>
          <w:b w:val="false"/>
          <w:i w:val="false"/>
          <w:caps w:val="false"/>
          <w:smallCaps w:val="false"/>
          <w:sz w:val="20"/>
        </w:rPr>
        <w:t>0.25 floor), and higher volatility generally increases the expected value of that optionality. A hypothetical 10 percentage point increase or decrease in assumed volatility, holding other inputs constant, would result in a directionally significant change in the fair value of the derivative liabilities; however, the magnitude of such change depends on the then-current stock price relative to the conversion price range and cannot be quantified without reference to the applicable simulation outputs. Management considers the volatility assumption to be the key source of estimation uncertainty in the Level 3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affects the number of simulated conversion opportunities and the present value weighting of simulated payoffs; a longer term increases the value of the conversion optionality. Debt discount rate affects the discount applied to the simulated payoffs; a higher rate reduces present value.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interrelationship between equity volatility and stock price should also be noted: at lower stock prices, the conversion discount embedded in the Lookback Formula produces larger absolute payoffs per share for the noteholder, and higher volatility amplifies this effect. The $</w:t>
      </w:r>
      <w:bookmarkStart w:id="436" w:name="xdx_900_ecustom--FloorPrice_iI_c20260630"/>
      <w:bookmarkEnd w:id="436"/>
      <w:r>
        <w:rPr>
          <w:rFonts w:ascii="Times New Roman;Times;Serif" w:hAnsi="Times New Roman;Times;Serif"/>
          <w:b w:val="false"/>
          <w:i w:val="false"/>
          <w:caps w:val="false"/>
          <w:smallCaps w:val="false"/>
          <w:sz w:val="20"/>
        </w:rPr>
        <w:t>0.25 floor price limits downside exposure in scenarios where the stock price falls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Derivative Liabilities – Convertible Notes Payable Roll-Forward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7" w:name="xdx_892_eus-gaap--FairValueLiabilitiesMe"/>
      <w:bookmarkEnd w:id="437"/>
      <w:r>
        <w:rPr>
          <w:rFonts w:ascii="Times New Roman;Times;Serif" w:hAnsi="Times New Roman;Times;Serif"/>
          <w:b w:val="false"/>
          <w:i w:val="false"/>
          <w:caps w:val="false"/>
          <w:smallCaps w:val="false"/>
          <w:sz w:val="20"/>
        </w:rPr>
        <w:t>The following table provides a reconciliation of the derivative liabilities – convertible notes payable measured at fair value using Level 3 inputs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bookmarkStart w:id="438" w:name="xdx_8BA_zVoSiEZ5j5nc"/>
      <w:bookmarkEnd w:id="438"/>
      <w:r>
        <w:rPr>
          <w:rFonts w:ascii="Times New Roman;Times;Serif" w:hAnsi="Times New Roman;Times;Serif"/>
          <w:b w:val="false"/>
          <w:i w:val="false"/>
          <w:caps w:val="false"/>
          <w:smallCaps w:val="false"/>
          <w:sz w:val="20"/>
        </w:rPr>
        <w:t>SCHEDULE OF RECONCILIATION OF THE DERIVATIVE LIABILITIES MEASURED AT FAIR VALUE</w:t>
      </w:r>
    </w:p>
    <w:tbl>
      <w:tblPr>
        <w:tblW w:w="10205" w:type="dxa"/>
        <w:jc w:val="left"/>
        <w:tblInd w:w="0" w:type="dxa"/>
        <w:tblLayout w:type="fixed"/>
        <w:tblCellMar>
          <w:top w:w="0" w:type="dxa"/>
          <w:left w:w="0" w:type="dxa"/>
          <w:bottom w:w="0" w:type="dxa"/>
          <w:right w:w="0" w:type="dxa"/>
        </w:tblCellMar>
      </w:tblPr>
      <w:tblGrid>
        <w:gridCol w:w="2784"/>
        <w:gridCol w:w="60"/>
        <w:gridCol w:w="187"/>
        <w:gridCol w:w="1171"/>
        <w:gridCol w:w="95"/>
        <w:gridCol w:w="60"/>
        <w:gridCol w:w="187"/>
        <w:gridCol w:w="1171"/>
        <w:gridCol w:w="95"/>
        <w:gridCol w:w="60"/>
        <w:gridCol w:w="187"/>
        <w:gridCol w:w="1171"/>
        <w:gridCol w:w="95"/>
        <w:gridCol w:w="60"/>
        <w:gridCol w:w="158"/>
        <w:gridCol w:w="1200"/>
        <w:gridCol w:w="95"/>
        <w:gridCol w:w="60"/>
        <w:gridCol w:w="140"/>
        <w:gridCol w:w="1055"/>
        <w:gridCol w:w="114"/>
      </w:tblGrid>
      <w:tr>
        <w:trPr/>
        <w:tc>
          <w:tcPr>
            <w:tcW w:w="27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39" w:name="xdx_4BE_us-gaap--FinancialInstrumentAxis"/>
            <w:bookmarkEnd w:id="439"/>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0" w:name="xdx_4B6_us-gaap--FinancialInstrumentAxis"/>
            <w:bookmarkEnd w:id="440"/>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1" w:name="xdx_4B3_us-gaap--FinancialInstrumentAxis"/>
            <w:bookmarkEnd w:id="441"/>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2" w:name="xdx_4B1_us-gaap--FinancialInstrumentAxis"/>
            <w:bookmarkEnd w:id="442"/>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3" w:name="xdx_4BF_us-gaap--FinancialInstrumentAxis"/>
            <w:bookmarkEnd w:id="443"/>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left"/>
              <w:rPr/>
            </w:pPr>
            <w:r>
              <w:rPr/>
              <w:t> </w:t>
            </w:r>
            <w:bookmarkStart w:id="444" w:name="xdx_437_c20260101__20260331_eus-gaap--De"/>
            <w:bookmarkEnd w:id="444"/>
          </w:p>
        </w:tc>
      </w:tr>
      <w:tr>
        <w:trPr/>
        <w:tc>
          <w:tcPr>
            <w:tcW w:w="2784" w:type="dxa"/>
            <w:tcBorders/>
            <w:shd w:fill="CCEEFF" w:val="clear"/>
            <w:vAlign w:val="center"/>
          </w:tcPr>
          <w:p>
            <w:pPr>
              <w:pStyle w:val="TableContents"/>
              <w:bidi w:val="0"/>
              <w:spacing w:before="0" w:after="283"/>
              <w:jc w:val="left"/>
              <w:rPr/>
            </w:pPr>
            <w:r>
              <w:rPr/>
              <w:t>Balance on December 31, 2025</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280,000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580,000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600,000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1,460,000</w:t>
            </w:r>
          </w:p>
        </w:tc>
        <w:tc>
          <w:tcPr>
            <w:tcW w:w="114" w:type="dxa"/>
            <w:tcBorders/>
            <w:shd w:fill="CCEEFF" w:val="clear"/>
            <w:vAlign w:val="center"/>
          </w:tcPr>
          <w:p>
            <w:pPr>
              <w:pStyle w:val="TableContents"/>
              <w:bidi w:val="0"/>
              <w:spacing w:before="0" w:after="283"/>
              <w:jc w:val="left"/>
              <w:rPr/>
            </w:pPr>
            <w:r>
              <w:rPr/>
              <w:t> </w:t>
            </w:r>
            <w:bookmarkStart w:id="445" w:name="xdx_400_ecustom--DerivativeFairValueAtIs"/>
            <w:bookmarkEnd w:id="445"/>
          </w:p>
        </w:tc>
      </w:tr>
      <w:tr>
        <w:trPr/>
        <w:tc>
          <w:tcPr>
            <w:tcW w:w="2784" w:type="dxa"/>
            <w:tcBorders/>
            <w:shd w:fill="FFFFFF" w:val="clear"/>
            <w:vAlign w:val="center"/>
          </w:tcPr>
          <w:p>
            <w:pPr>
              <w:pStyle w:val="TableContents"/>
              <w:bidi w:val="0"/>
              <w:spacing w:before="0" w:after="283"/>
              <w:jc w:val="left"/>
              <w:rPr/>
            </w:pPr>
            <w:r>
              <w:rPr/>
              <w:t>Derivative liability recognized upon issuance of convertible note payable at fair value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2,310,000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2,310,000</w:t>
            </w:r>
          </w:p>
        </w:tc>
        <w:tc>
          <w:tcPr>
            <w:tcW w:w="114" w:type="dxa"/>
            <w:tcBorders/>
            <w:shd w:fill="FFFFFF" w:val="clear"/>
            <w:vAlign w:val="center"/>
          </w:tcPr>
          <w:p>
            <w:pPr>
              <w:pStyle w:val="TableContents"/>
              <w:bidi w:val="0"/>
              <w:spacing w:before="0" w:after="283"/>
              <w:jc w:val="left"/>
              <w:rPr/>
            </w:pPr>
            <w:r>
              <w:rPr/>
              <w:t> </w:t>
            </w:r>
            <w:bookmarkStart w:id="446" w:name="xdx_40C_ecustom--DerivativeLiabilitiesRe"/>
            <w:bookmarkEnd w:id="446"/>
          </w:p>
        </w:tc>
      </w:tr>
      <w:tr>
        <w:trPr/>
        <w:tc>
          <w:tcPr>
            <w:tcW w:w="2784" w:type="dxa"/>
            <w:tcBorders/>
            <w:shd w:fill="CCEEFF" w:val="clear"/>
            <w:vAlign w:val="center"/>
          </w:tcPr>
          <w:p>
            <w:pPr>
              <w:pStyle w:val="TableContents"/>
              <w:bidi w:val="0"/>
              <w:spacing w:before="0" w:after="283"/>
              <w:jc w:val="left"/>
              <w:rPr/>
            </w:pPr>
            <w:r>
              <w:rPr/>
              <w:t>Reclassification of derivative liabilities upon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(1,200,231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(1,200,231</w:t>
            </w:r>
          </w:p>
        </w:tc>
        <w:tc>
          <w:tcPr>
            <w:tcW w:w="114" w:type="dxa"/>
            <w:tcBorders/>
            <w:shd w:fill="CCEEFF" w:val="clear"/>
            <w:vAlign w:val="center"/>
          </w:tcPr>
          <w:p>
            <w:pPr>
              <w:pStyle w:val="TableContents"/>
              <w:bidi w:val="0"/>
              <w:spacing w:before="0" w:after="283"/>
              <w:jc w:val="left"/>
              <w:rPr/>
            </w:pPr>
            <w:r>
              <w:rPr/>
              <w:t>)</w:t>
            </w:r>
            <w:bookmarkStart w:id="447" w:name="xdx_409_ecustom--ChangeInFairValueOfDeri"/>
            <w:bookmarkEnd w:id="447"/>
          </w:p>
        </w:tc>
      </w:tr>
      <w:tr>
        <w:trPr/>
        <w:tc>
          <w:tcPr>
            <w:tcW w:w="2784" w:type="dxa"/>
            <w:tcBorders/>
            <w:shd w:fill="FFFFFF" w:val="clear"/>
            <w:vAlign w:val="center"/>
          </w:tcPr>
          <w:p>
            <w:pPr>
              <w:pStyle w:val="TableContents"/>
              <w:bidi w:val="0"/>
              <w:spacing w:before="0" w:after="283"/>
              <w:jc w:val="left"/>
              <w:rPr/>
            </w:pPr>
            <w:r>
              <w:rPr/>
              <w:t>Change in fair value of derivative liabilities – conversion remeasurement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(460,917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(460,917</w:t>
            </w:r>
          </w:p>
        </w:tc>
        <w:tc>
          <w:tcPr>
            <w:tcW w:w="114" w:type="dxa"/>
            <w:tcBorders/>
            <w:shd w:fill="FFFFFF" w:val="clear"/>
            <w:vAlign w:val="center"/>
          </w:tcPr>
          <w:p>
            <w:pPr>
              <w:pStyle w:val="TableContents"/>
              <w:bidi w:val="0"/>
              <w:spacing w:before="0" w:after="283"/>
              <w:jc w:val="left"/>
              <w:rPr/>
            </w:pPr>
            <w:r>
              <w:rPr/>
              <w:t>)</w:t>
            </w:r>
            <w:bookmarkStart w:id="448" w:name="xdx_405_eus-gaap--ChangeInUnrealizedGain"/>
            <w:bookmarkEnd w:id="448"/>
          </w:p>
        </w:tc>
      </w:tr>
      <w:tr>
        <w:trPr/>
        <w:tc>
          <w:tcPr>
            <w:tcW w:w="2784" w:type="dxa"/>
            <w:tcBorders/>
            <w:shd w:fill="CCEEFF" w:val="clear"/>
            <w:vAlign w:val="center"/>
          </w:tcPr>
          <w:p>
            <w:pPr>
              <w:pStyle w:val="TableContents"/>
              <w:bidi w:val="0"/>
              <w:spacing w:before="0" w:after="283"/>
              <w:jc w:val="left"/>
              <w:rPr/>
            </w:pPr>
            <w:r>
              <w:rPr/>
              <w:t>Change in fair value — period-end remeasurement (March 31, 2026)</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(210,000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(210,000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(138,852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(668,852</w:t>
            </w:r>
          </w:p>
        </w:tc>
        <w:tc>
          <w:tcPr>
            <w:tcW w:w="114" w:type="dxa"/>
            <w:tcBorders/>
            <w:shd w:fill="CCEEFF" w:val="clear"/>
            <w:vAlign w:val="center"/>
          </w:tcPr>
          <w:p>
            <w:pPr>
              <w:pStyle w:val="TableContents"/>
              <w:bidi w:val="0"/>
              <w:spacing w:before="0" w:after="283"/>
              <w:jc w:val="left"/>
              <w:rPr/>
            </w:pPr>
            <w:r>
              <w:rPr/>
              <w:t>)</w:t>
            </w:r>
            <w:bookmarkStart w:id="449" w:name="xdx_437_c20260401__20260630_eus-gaap--De"/>
            <w:bookmarkEnd w:id="449"/>
          </w:p>
        </w:tc>
      </w:tr>
      <w:tr>
        <w:trPr/>
        <w:tc>
          <w:tcPr>
            <w:tcW w:w="2784" w:type="dxa"/>
            <w:tcBorders/>
            <w:shd w:fill="FFFFFF" w:val="clear"/>
            <w:vAlign w:val="center"/>
          </w:tcPr>
          <w:p>
            <w:pPr>
              <w:pStyle w:val="TableContents"/>
              <w:bidi w:val="0"/>
              <w:spacing w:before="0" w:after="283"/>
              <w:jc w:val="left"/>
              <w:rPr/>
            </w:pPr>
            <w:r>
              <w:rPr/>
              <w:t>Balance on March 31, 2026</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170,000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pPr>
            <w:r>
              <w:rPr/>
              <w:t>510,000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1,440,000</w:t>
            </w:r>
          </w:p>
        </w:tc>
        <w:tc>
          <w:tcPr>
            <w:tcW w:w="114" w:type="dxa"/>
            <w:tcBorders/>
            <w:shd w:fill="FFFFFF" w:val="clear"/>
            <w:vAlign w:val="center"/>
          </w:tcPr>
          <w:p>
            <w:pPr>
              <w:pStyle w:val="TableContents"/>
              <w:bidi w:val="0"/>
              <w:spacing w:before="0" w:after="283"/>
              <w:jc w:val="left"/>
              <w:rPr/>
            </w:pPr>
            <w:r>
              <w:rPr/>
              <w:t> </w:t>
            </w:r>
            <w:bookmarkStart w:id="450" w:name="xdx_432_c20260401__20260630_eus-gaap--De"/>
            <w:bookmarkEnd w:id="450"/>
          </w:p>
        </w:tc>
      </w:tr>
      <w:tr>
        <w:trPr/>
        <w:tc>
          <w:tcPr>
            <w:tcW w:w="2784"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170,000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pPr>
            <w:r>
              <w:rPr/>
              <w:t>510,000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1,440,000</w:t>
            </w:r>
          </w:p>
        </w:tc>
        <w:tc>
          <w:tcPr>
            <w:tcW w:w="114" w:type="dxa"/>
            <w:tcBorders/>
            <w:shd w:fill="FFFFFF" w:val="clear"/>
            <w:vAlign w:val="center"/>
          </w:tcPr>
          <w:p>
            <w:pPr>
              <w:pStyle w:val="TableContents"/>
              <w:bidi w:val="0"/>
              <w:spacing w:before="0" w:after="283"/>
              <w:jc w:val="left"/>
              <w:rPr/>
            </w:pPr>
            <w:r>
              <w:rPr/>
              <w:t> </w:t>
            </w:r>
            <w:bookmarkStart w:id="451" w:name="xdx_405_ecustom--DerivativeLiabilitiesRe"/>
            <w:bookmarkEnd w:id="451"/>
          </w:p>
        </w:tc>
      </w:tr>
      <w:tr>
        <w:trPr/>
        <w:tc>
          <w:tcPr>
            <w:tcW w:w="2784" w:type="dxa"/>
            <w:tcBorders/>
            <w:shd w:fill="CCEEFF" w:val="clear"/>
            <w:vAlign w:val="center"/>
          </w:tcPr>
          <w:p>
            <w:pPr>
              <w:pStyle w:val="TableContents"/>
              <w:bidi w:val="0"/>
              <w:spacing w:before="0" w:after="283"/>
              <w:jc w:val="left"/>
              <w:rPr/>
            </w:pPr>
            <w:r>
              <w:rPr/>
              <w:t>Reclassification of derivative liabilities upon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(186,289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(64,495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(76,164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(730,000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(1,056,948</w:t>
            </w:r>
          </w:p>
        </w:tc>
        <w:tc>
          <w:tcPr>
            <w:tcW w:w="114" w:type="dxa"/>
            <w:tcBorders/>
            <w:shd w:fill="CCEEFF" w:val="clear"/>
            <w:vAlign w:val="center"/>
          </w:tcPr>
          <w:p>
            <w:pPr>
              <w:pStyle w:val="TableContents"/>
              <w:bidi w:val="0"/>
              <w:spacing w:before="0" w:after="283"/>
              <w:jc w:val="left"/>
              <w:rPr/>
            </w:pPr>
            <w:r>
              <w:rPr/>
              <w:t>)</w:t>
            </w:r>
            <w:bookmarkStart w:id="452" w:name="xdx_409_ecustom--ChangeInFairValueOfDeri"/>
            <w:bookmarkEnd w:id="452"/>
          </w:p>
        </w:tc>
      </w:tr>
      <w:tr>
        <w:trPr/>
        <w:tc>
          <w:tcPr>
            <w:tcW w:w="2784" w:type="dxa"/>
            <w:tcBorders/>
            <w:shd w:fill="FFFFFF" w:val="clear"/>
            <w:vAlign w:val="center"/>
          </w:tcPr>
          <w:p>
            <w:pPr>
              <w:pStyle w:val="TableContents"/>
              <w:bidi w:val="0"/>
              <w:spacing w:before="0" w:after="283"/>
              <w:jc w:val="left"/>
              <w:rPr/>
            </w:pPr>
            <w:r>
              <w:rPr/>
              <w:t>Change in fair value of derivative liabilities – conversion remeasurement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16,289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220,000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376,289</w:t>
            </w:r>
          </w:p>
        </w:tc>
        <w:tc>
          <w:tcPr>
            <w:tcW w:w="114" w:type="dxa"/>
            <w:tcBorders/>
            <w:shd w:fill="FFFFFF" w:val="clear"/>
            <w:vAlign w:val="center"/>
          </w:tcPr>
          <w:p>
            <w:pPr>
              <w:pStyle w:val="TableContents"/>
              <w:bidi w:val="0"/>
              <w:spacing w:before="0" w:after="283"/>
              <w:jc w:val="left"/>
              <w:rPr/>
            </w:pPr>
            <w:r>
              <w:rPr/>
              <w:t> </w:t>
            </w:r>
            <w:bookmarkStart w:id="453" w:name="xdx_405_eus-gaap--ChangeInUnrealizedGain"/>
            <w:bookmarkEnd w:id="453"/>
          </w:p>
        </w:tc>
      </w:tr>
      <w:tr>
        <w:trPr/>
        <w:tc>
          <w:tcPr>
            <w:tcW w:w="2784" w:type="dxa"/>
            <w:tcBorders/>
            <w:shd w:fill="CCEEFF" w:val="clear"/>
            <w:vAlign w:val="center"/>
          </w:tcPr>
          <w:p>
            <w:pPr>
              <w:pStyle w:val="TableContents"/>
              <w:bidi w:val="0"/>
              <w:spacing w:before="0" w:after="283"/>
              <w:jc w:val="left"/>
              <w:rPr/>
            </w:pPr>
            <w:r>
              <w:rPr/>
              <w:t>Change in fair value — period-end remeasurement (June 30, 2026)</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(165,505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(303,836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(469,341</w:t>
            </w:r>
          </w:p>
        </w:tc>
        <w:tc>
          <w:tcPr>
            <w:tcW w:w="114" w:type="dxa"/>
            <w:tcBorders/>
            <w:shd w:fill="CCEEFF" w:val="clear"/>
            <w:vAlign w:val="center"/>
          </w:tcPr>
          <w:p>
            <w:pPr>
              <w:pStyle w:val="TableContents"/>
              <w:bidi w:val="0"/>
              <w:spacing w:before="0" w:after="283"/>
              <w:jc w:val="left"/>
              <w:rPr/>
            </w:pPr>
            <w:r>
              <w:rPr/>
              <w:t>)</w:t>
            </w:r>
            <w:bookmarkStart w:id="454" w:name="xdx_43D_c20260401__20260630_eus-gaap--De"/>
            <w:bookmarkEnd w:id="454"/>
          </w:p>
        </w:tc>
      </w:tr>
      <w:tr>
        <w:trPr/>
        <w:tc>
          <w:tcPr>
            <w:tcW w:w="2784" w:type="dxa"/>
            <w:tcBorders/>
            <w:shd w:fill="FFFFFF" w:val="clear"/>
            <w:vAlign w:val="center"/>
          </w:tcPr>
          <w:p>
            <w:pPr>
              <w:pStyle w:val="TableContents"/>
              <w:bidi w:val="0"/>
              <w:spacing w:before="0" w:after="283"/>
              <w:jc w:val="left"/>
              <w:rPr/>
            </w:pPr>
            <w:r>
              <w:rPr/>
              <w:t>Balance on June 30, 2026</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130,000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160,000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290,000</w:t>
            </w:r>
          </w:p>
        </w:tc>
        <w:tc>
          <w:tcPr>
            <w:tcW w:w="114" w:type="dxa"/>
            <w:tcBorders/>
            <w:shd w:fill="FFFFFF" w:val="clear"/>
            <w:vAlign w:val="center"/>
          </w:tcPr>
          <w:p>
            <w:pPr>
              <w:pStyle w:val="TableContents"/>
              <w:bidi w:val="0"/>
              <w:spacing w:before="0" w:after="283"/>
              <w:jc w:val="left"/>
              <w:rPr/>
            </w:pPr>
            <w:r>
              <w:rPr/>
              <w:t> </w:t>
            </w:r>
            <w:bookmarkStart w:id="455" w:name="xdx_433_c20260401__20260630_eus-gaap--De"/>
            <w:bookmarkEnd w:id="455"/>
          </w:p>
        </w:tc>
      </w:tr>
      <w:tr>
        <w:trPr/>
        <w:tc>
          <w:tcPr>
            <w:tcW w:w="2784"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130,000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160,000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290,000</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6" w:name="xdx_8AE_zWhtrKDLN1A4"/>
      <w:bookmarkEnd w:id="45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net change in fair value of derivative liabilities – convertible notes payable recognized in the statement of operations for the three months and six months ended June 30, 2026 and 2025 was a gain of $</w:t>
      </w:r>
      <w:bookmarkStart w:id="457" w:name="xdx_903_ecustom--DerivativeGainOnDerivat"/>
      <w:bookmarkEnd w:id="457"/>
      <w:r>
        <w:rPr>
          <w:rFonts w:ascii="Times New Roman;Times;Serif" w:hAnsi="Times New Roman;Times;Serif"/>
          <w:b w:val="false"/>
          <w:i w:val="false"/>
          <w:caps w:val="false"/>
          <w:smallCaps w:val="false"/>
          <w:sz w:val="20"/>
        </w:rPr>
        <w:t>93,053, and $</w:t>
      </w:r>
      <w:bookmarkStart w:id="458" w:name="xdx_905_ecustom--DerivativeGainOnDerivat"/>
      <w:bookmarkEnd w:id="458"/>
      <w:r>
        <w:rPr>
          <w:rFonts w:ascii="Times New Roman;Times;Serif" w:hAnsi="Times New Roman;Times;Serif"/>
          <w:b w:val="false"/>
          <w:i w:val="false"/>
          <w:caps w:val="false"/>
          <w:smallCaps w:val="false"/>
          <w:sz w:val="20"/>
        </w:rPr>
        <w:t>1,222,822, and a gain of $</w:t>
      </w:r>
      <w:bookmarkStart w:id="459" w:name="xdx_906_ecustom--DerivativeGainOnDerivat"/>
      <w:bookmarkEnd w:id="459"/>
      <w:r>
        <w:rPr>
          <w:rFonts w:ascii="Times New Roman;Times;Serif" w:hAnsi="Times New Roman;Times;Serif"/>
          <w:b w:val="false"/>
          <w:i w:val="false"/>
          <w:caps w:val="false"/>
          <w:smallCaps w:val="false"/>
          <w:sz w:val="20"/>
        </w:rPr>
        <w:t>190,000, and $</w:t>
      </w:r>
      <w:bookmarkStart w:id="460" w:name="xdx_909_ecustom--DerivativeGainOnDerivat"/>
      <w:bookmarkEnd w:id="460"/>
      <w:r>
        <w:rPr>
          <w:rFonts w:ascii="Times New Roman;Times;Serif" w:hAnsi="Times New Roman;Times;Serif"/>
          <w:b w:val="false"/>
          <w:i w:val="false"/>
          <w:caps w:val="false"/>
          <w:smallCaps w:val="false"/>
          <w:sz w:val="20"/>
        </w:rPr>
        <w:t>190,000, respectively. This is presented within “Change in fair value of derivative liabilities” in the accompanying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reclassified upon conversion represent the fair value of the pro-rata portion of each derivative liability, remeasured as of the applicable conversion date and derecognized in connection with the settlement of the related converted principal. The change in fair value through the conversion date is included in “Change in fair value of derivative liabilities - conversion remeasurement” in the table above. For a description of the full conversion accounting policy, including the treatment of the host debt component upon conversion, see NOTE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Derivative Liabilities - Written Call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wrote (sold) call options on exchange-traded equity securities as part of its cash management program. Written call options are accounted for as derivative instruments under ASC 815 and are reported as derivative liabilities in the accompanying balance sheet. The options are measured at fair value on a recurring basis using quoted prices for identical instruments in active markets and are classified within Level 1 of the fair value hierarchy. Changes in fair value are recognized in gain (loss) on investments in other income (expense) in the statement of operations. As of June 30, 2026, the aggregate fair value of written call options was $</w:t>
      </w:r>
      <w:bookmarkStart w:id="461" w:name="xdx_906_eus-gaap--DerivativeLiabilitiesC"/>
      <w:bookmarkEnd w:id="461"/>
      <w:r>
        <w:rPr>
          <w:rFonts w:ascii="Times New Roman;Times;Serif" w:hAnsi="Times New Roman;Times;Serif"/>
          <w:b w:val="false"/>
          <w:i w:val="false"/>
          <w:caps w:val="false"/>
          <w:smallCaps w:val="false"/>
          <w:sz w:val="20"/>
        </w:rPr>
        <w:t xml:space="preserve">58,830 covering </w:t>
      </w:r>
      <w:bookmarkStart w:id="462" w:name="xdx_903_ecustom--UnderlyingShares_iI_c20"/>
      <w:bookmarkEnd w:id="462"/>
      <w:r>
        <w:rPr>
          <w:rFonts w:ascii="Times New Roman;Times;Serif" w:hAnsi="Times New Roman;Times;Serif"/>
          <w:b w:val="false"/>
          <w:i w:val="false"/>
          <w:caps w:val="false"/>
          <w:smallCaps w:val="false"/>
          <w:sz w:val="20"/>
        </w:rPr>
        <w:t>10,600 underlying shares with an aggregate notional of $</w:t>
      </w:r>
      <w:bookmarkStart w:id="463" w:name="xdx_90E_eus-gaap--DerivativeNotionalAmou"/>
      <w:bookmarkEnd w:id="463"/>
      <w:r>
        <w:rPr>
          <w:rFonts w:ascii="Times New Roman;Times;Serif" w:hAnsi="Times New Roman;Times;Serif"/>
          <w:b w:val="false"/>
          <w:i w:val="false"/>
          <w:caps w:val="false"/>
          <w:smallCaps w:val="false"/>
          <w:sz w:val="20"/>
        </w:rPr>
        <w:t>2,067,000, all of which expire within twelve months. The Company held no written option positions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held exchange-traded equity securities and written call options that were measured at fair value on a recurring basis and classified within Level 1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recognized a realized loss of $</w:t>
      </w:r>
      <w:bookmarkStart w:id="464" w:name="xdx_90B_eus-gaap--RealizedInvestmentGain"/>
      <w:bookmarkEnd w:id="464"/>
      <w:r>
        <w:rPr>
          <w:rFonts w:ascii="Times New Roman;Times;Serif" w:hAnsi="Times New Roman;Times;Serif"/>
          <w:b w:val="false"/>
          <w:i w:val="false"/>
          <w:caps w:val="false"/>
          <w:smallCaps w:val="false"/>
          <w:sz w:val="20"/>
        </w:rPr>
        <w:t>123,506 and a gain of $</w:t>
      </w:r>
      <w:bookmarkStart w:id="465" w:name="xdx_905_eus-gaap--RealizedInvestmentGain"/>
      <w:bookmarkEnd w:id="465"/>
      <w:r>
        <w:rPr>
          <w:rFonts w:ascii="Times New Roman;Times;Serif" w:hAnsi="Times New Roman;Times;Serif"/>
          <w:b w:val="false"/>
          <w:i w:val="false"/>
          <w:caps w:val="false"/>
          <w:smallCaps w:val="false"/>
          <w:sz w:val="20"/>
        </w:rPr>
        <w:t>322,818, and an unrealized gain of $</w:t>
      </w:r>
      <w:bookmarkStart w:id="466" w:name="xdx_908_eus-gaap--UnrealizedGainLossOnIn"/>
      <w:bookmarkEnd w:id="466"/>
      <w:r>
        <w:rPr>
          <w:rFonts w:ascii="Times New Roman;Times;Serif" w:hAnsi="Times New Roman;Times;Serif"/>
          <w:b w:val="false"/>
          <w:i w:val="false"/>
          <w:caps w:val="false"/>
          <w:smallCaps w:val="false"/>
          <w:sz w:val="20"/>
        </w:rPr>
        <w:t>241,136 and a loss of $</w:t>
      </w:r>
      <w:bookmarkStart w:id="467" w:name="xdx_90B_eus-gaap--UnrealizedGainLossOnIn"/>
      <w:bookmarkEnd w:id="467"/>
      <w:r>
        <w:rPr>
          <w:rFonts w:ascii="Times New Roman;Times;Serif" w:hAnsi="Times New Roman;Times;Serif"/>
          <w:b w:val="false"/>
          <w:i w:val="false"/>
          <w:caps w:val="false"/>
          <w:smallCaps w:val="false"/>
          <w:sz w:val="20"/>
        </w:rPr>
        <w:t>260,976 related to equity securities and written call option activity, which is included in other income (expense)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held exchange-traded equity securities and written call options. At December 31, 2025, the Company held no equity securities or written call option positions.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8" w:name="xdx_804_eus-gaap--PropertyPlantAndEquipm"/>
      <w:bookmarkEnd w:id="468"/>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6 - </w:t>
      </w:r>
      <w:bookmarkStart w:id="469" w:name="xdx_823_zIgRBxoKMkUk"/>
      <w:bookmarkEnd w:id="469"/>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0" w:name="xdx_892_eus-gaap--PropertyPlantAndEquipm"/>
      <w:bookmarkEnd w:id="470"/>
      <w:r>
        <w:rPr>
          <w:rFonts w:ascii="Times New Roman;Times;Serif" w:hAnsi="Times New Roman;Times;Serif"/>
          <w:b w:val="false"/>
          <w:i w:val="false"/>
          <w:caps w:val="false"/>
          <w:smallCaps w:val="false"/>
          <w:sz w:val="20"/>
        </w:rPr>
        <w:t>Property and equipment consist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1" w:name="xdx_8BE_zdqHJbUjTTwe"/>
      <w:bookmarkEnd w:id="471"/>
      <w:r>
        <w:rPr>
          <w:rFonts w:ascii="Times New Roman;Times;Serif" w:hAnsi="Times New Roman;Times;Serif"/>
          <w:b w:val="false"/>
          <w:i w:val="false"/>
          <w:caps w:val="false"/>
          <w:smallCaps w:val="false"/>
          <w:sz w:val="20"/>
        </w:rPr>
        <w:t>SCHEDULE OF PROPERTY AND EQUIPMENT</w:t>
      </w:r>
    </w:p>
    <w:tbl>
      <w:tblPr>
        <w:tblW w:w="7694" w:type="dxa"/>
        <w:jc w:val="left"/>
        <w:tblInd w:w="0" w:type="dxa"/>
        <w:tblLayout w:type="fixed"/>
        <w:tblCellMar>
          <w:top w:w="0" w:type="dxa"/>
          <w:left w:w="0" w:type="dxa"/>
          <w:bottom w:w="0" w:type="dxa"/>
          <w:right w:w="0" w:type="dxa"/>
        </w:tblCellMar>
      </w:tblPr>
      <w:tblGrid>
        <w:gridCol w:w="4835"/>
        <w:gridCol w:w="60"/>
        <w:gridCol w:w="140"/>
        <w:gridCol w:w="980"/>
        <w:gridCol w:w="95"/>
        <w:gridCol w:w="60"/>
        <w:gridCol w:w="194"/>
        <w:gridCol w:w="1220"/>
        <w:gridCol w:w="110"/>
      </w:tblGrid>
      <w:tr>
        <w:trPr/>
        <w:tc>
          <w:tcPr>
            <w:tcW w:w="48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72" w:name="xdx_491_20260630_zxfnC9PV5tQ7"/>
            <w:bookmarkEnd w:id="472"/>
          </w:p>
        </w:tc>
        <w:tc>
          <w:tcPr>
            <w:tcW w:w="112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3" w:name="xdx_49C_20251231_zI2rdBPZI9Q8"/>
            <w:bookmarkEnd w:id="473"/>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474" w:name="xdx_403_eus-gaap--PropertyPlantAndEquipm"/>
            <w:bookmarkEnd w:id="474"/>
          </w:p>
        </w:tc>
      </w:tr>
      <w:tr>
        <w:trPr/>
        <w:tc>
          <w:tcPr>
            <w:tcW w:w="4835" w:type="dxa"/>
            <w:tcBorders/>
            <w:shd w:fill="CCEEFF" w:val="clear"/>
            <w:vAlign w:val="center"/>
          </w:tcPr>
          <w:p>
            <w:pPr>
              <w:pStyle w:val="TableContents"/>
              <w:bidi w:val="0"/>
              <w:spacing w:before="0" w:after="283"/>
              <w:jc w:val="both"/>
              <w:rPr/>
            </w:pPr>
            <w:r>
              <w:rPr/>
              <w:t>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94,751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94,751</w:t>
            </w:r>
          </w:p>
        </w:tc>
        <w:tc>
          <w:tcPr>
            <w:tcW w:w="110" w:type="dxa"/>
            <w:tcBorders/>
            <w:shd w:fill="CCEEFF" w:val="clear"/>
            <w:vAlign w:val="center"/>
          </w:tcPr>
          <w:p>
            <w:pPr>
              <w:pStyle w:val="TableContents"/>
              <w:bidi w:val="0"/>
              <w:spacing w:before="0" w:after="283"/>
              <w:jc w:val="left"/>
              <w:rPr/>
            </w:pPr>
            <w:r>
              <w:rPr/>
              <w:t> </w:t>
            </w:r>
            <w:bookmarkStart w:id="475" w:name="xdx_40F_eus-gaap--PropertyPlantAndEquipm"/>
            <w:bookmarkEnd w:id="475"/>
          </w:p>
        </w:tc>
      </w:tr>
      <w:tr>
        <w:trPr/>
        <w:tc>
          <w:tcPr>
            <w:tcW w:w="4835" w:type="dxa"/>
            <w:tcBorders/>
            <w:shd w:fill="FFFFFF" w:val="clear"/>
            <w:vAlign w:val="center"/>
          </w:tcPr>
          <w:p>
            <w:pPr>
              <w:pStyle w:val="TableContents"/>
              <w:bidi w:val="0"/>
              <w:spacing w:before="0" w:after="283"/>
              <w:jc w:val="both"/>
              <w:rPr/>
            </w:pPr>
            <w:r>
              <w:rPr/>
              <w:t>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668,985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308,330</w:t>
            </w:r>
          </w:p>
        </w:tc>
        <w:tc>
          <w:tcPr>
            <w:tcW w:w="110" w:type="dxa"/>
            <w:tcBorders/>
            <w:shd w:fill="FFFFFF" w:val="clear"/>
            <w:vAlign w:val="center"/>
          </w:tcPr>
          <w:p>
            <w:pPr>
              <w:pStyle w:val="TableContents"/>
              <w:bidi w:val="0"/>
              <w:spacing w:before="0" w:after="283"/>
              <w:jc w:val="left"/>
              <w:rPr/>
            </w:pPr>
            <w:r>
              <w:rPr/>
              <w:t> </w:t>
            </w:r>
            <w:bookmarkStart w:id="476" w:name="xdx_403_eus-gaap--PropertyPlantAndEquipm"/>
            <w:bookmarkEnd w:id="476"/>
          </w:p>
        </w:tc>
      </w:tr>
      <w:tr>
        <w:trPr/>
        <w:tc>
          <w:tcPr>
            <w:tcW w:w="483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204,206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154,375</w:t>
            </w:r>
          </w:p>
        </w:tc>
        <w:tc>
          <w:tcPr>
            <w:tcW w:w="110" w:type="dxa"/>
            <w:tcBorders/>
            <w:shd w:fill="CCEEFF" w:val="clear"/>
            <w:vAlign w:val="center"/>
          </w:tcPr>
          <w:p>
            <w:pPr>
              <w:pStyle w:val="TableContents"/>
              <w:bidi w:val="0"/>
              <w:spacing w:before="0" w:after="283"/>
              <w:jc w:val="left"/>
              <w:rPr/>
            </w:pPr>
            <w:r>
              <w:rPr/>
              <w:t> </w:t>
            </w:r>
            <w:bookmarkStart w:id="477" w:name="xdx_400_eus-gaap--PropertyPlantAndEquipm"/>
            <w:bookmarkEnd w:id="477"/>
          </w:p>
        </w:tc>
      </w:tr>
      <w:tr>
        <w:trPr/>
        <w:tc>
          <w:tcPr>
            <w:tcW w:w="4835" w:type="dxa"/>
            <w:tcBorders/>
            <w:shd w:fill="FFFFFF" w:val="clear"/>
            <w:vAlign w:val="center"/>
          </w:tcPr>
          <w:p>
            <w:pPr>
              <w:pStyle w:val="TableContents"/>
              <w:bidi w:val="0"/>
              <w:spacing w:before="0" w:after="283"/>
              <w:jc w:val="both"/>
              <w:rPr/>
            </w:pPr>
            <w:r>
              <w:rPr/>
              <w:t>Construction in progress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80,392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73,787</w:t>
            </w:r>
          </w:p>
        </w:tc>
        <w:tc>
          <w:tcPr>
            <w:tcW w:w="110" w:type="dxa"/>
            <w:tcBorders/>
            <w:shd w:fill="FFFFFF" w:val="clear"/>
            <w:vAlign w:val="center"/>
          </w:tcPr>
          <w:p>
            <w:pPr>
              <w:pStyle w:val="TableContents"/>
              <w:bidi w:val="0"/>
              <w:spacing w:before="0" w:after="283"/>
              <w:jc w:val="left"/>
              <w:rPr/>
            </w:pPr>
            <w:r>
              <w:rPr/>
              <w:t> </w:t>
            </w:r>
            <w:bookmarkStart w:id="478" w:name="xdx_40B_eus-gaap--PropertyPlantAndEquipm"/>
            <w:bookmarkEnd w:id="478"/>
          </w:p>
        </w:tc>
      </w:tr>
      <w:tr>
        <w:trPr/>
        <w:tc>
          <w:tcPr>
            <w:tcW w:w="4835" w:type="dxa"/>
            <w:tcBorders/>
            <w:shd w:fill="CCEEFF" w:val="clear"/>
            <w:vAlign w:val="center"/>
          </w:tcPr>
          <w:p>
            <w:pPr>
              <w:pStyle w:val="TableContents"/>
              <w:bidi w:val="0"/>
              <w:spacing w:before="0" w:after="283"/>
              <w:jc w:val="both"/>
              <w:rPr/>
            </w:pPr>
            <w:r>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1,048,334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631,243</w:t>
            </w:r>
          </w:p>
        </w:tc>
        <w:tc>
          <w:tcPr>
            <w:tcW w:w="110" w:type="dxa"/>
            <w:tcBorders/>
            <w:shd w:fill="CCEEFF" w:val="clear"/>
            <w:vAlign w:val="center"/>
          </w:tcPr>
          <w:p>
            <w:pPr>
              <w:pStyle w:val="TableContents"/>
              <w:bidi w:val="0"/>
              <w:spacing w:before="0" w:after="283"/>
              <w:jc w:val="left"/>
              <w:rPr/>
            </w:pPr>
            <w:r>
              <w:rPr/>
              <w:t> </w:t>
            </w:r>
            <w:bookmarkStart w:id="479" w:name="xdx_401_eus-gaap--AccumulatedDepreciatio"/>
            <w:bookmarkEnd w:id="479"/>
          </w:p>
        </w:tc>
      </w:tr>
      <w:tr>
        <w:trPr/>
        <w:tc>
          <w:tcPr>
            <w:tcW w:w="4835" w:type="dxa"/>
            <w:tcBorders/>
            <w:shd w:fill="FFFFFF" w:val="clear"/>
            <w:vAlign w:val="center"/>
          </w:tcPr>
          <w:p>
            <w:pPr>
              <w:pStyle w:val="TableContents"/>
              <w:bidi w:val="0"/>
              <w:spacing w:before="0" w:after="283"/>
              <w:jc w:val="both"/>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(230,997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(116,559</w:t>
            </w:r>
          </w:p>
        </w:tc>
        <w:tc>
          <w:tcPr>
            <w:tcW w:w="110" w:type="dxa"/>
            <w:tcBorders/>
            <w:shd w:fill="FFFFFF" w:val="clear"/>
            <w:vAlign w:val="center"/>
          </w:tcPr>
          <w:p>
            <w:pPr>
              <w:pStyle w:val="TableContents"/>
              <w:bidi w:val="0"/>
              <w:spacing w:before="0" w:after="283"/>
              <w:jc w:val="left"/>
              <w:rPr/>
            </w:pPr>
            <w:r>
              <w:rPr/>
              <w:t>)</w:t>
            </w:r>
            <w:bookmarkStart w:id="480" w:name="xdx_400_eus-gaap--PropertyPlantAndEquipm"/>
            <w:bookmarkEnd w:id="480"/>
          </w:p>
        </w:tc>
      </w:tr>
      <w:tr>
        <w:trPr/>
        <w:tc>
          <w:tcPr>
            <w:tcW w:w="4835" w:type="dxa"/>
            <w:tcBorders/>
            <w:shd w:fill="CCEEFF" w:val="clear"/>
            <w:vAlign w:val="center"/>
          </w:tcPr>
          <w:p>
            <w:pPr>
              <w:pStyle w:val="TableContents"/>
              <w:bidi w:val="0"/>
              <w:spacing w:before="0" w:after="283"/>
              <w:jc w:val="both"/>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817,337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514,684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1" w:name="xdx_8AF_zQjkXSXENW9l"/>
      <w:bookmarkEnd w:id="4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 total depreciation expense was $</w:t>
      </w:r>
      <w:bookmarkStart w:id="482" w:name="xdx_90A_eus-gaap--Depreciation_c20260401"/>
      <w:bookmarkEnd w:id="482"/>
      <w:r>
        <w:rPr>
          <w:rFonts w:ascii="Times New Roman;Times;Serif" w:hAnsi="Times New Roman;Times;Serif"/>
          <w:b w:val="false"/>
          <w:i w:val="false"/>
          <w:caps w:val="false"/>
          <w:smallCaps w:val="false"/>
          <w:sz w:val="20"/>
        </w:rPr>
        <w:t>64,823 and $</w:t>
      </w:r>
      <w:bookmarkStart w:id="483" w:name="xdx_90F_eus-gaap--Depreciation_c20260101"/>
      <w:bookmarkEnd w:id="483"/>
      <w:r>
        <w:rPr>
          <w:rFonts w:ascii="Times New Roman;Times;Serif" w:hAnsi="Times New Roman;Times;Serif"/>
          <w:b w:val="false"/>
          <w:i w:val="false"/>
          <w:caps w:val="false"/>
          <w:smallCaps w:val="false"/>
          <w:sz w:val="20"/>
        </w:rPr>
        <w:t>120,520, and $</w:t>
      </w:r>
      <w:bookmarkStart w:id="484" w:name="xdx_907_eus-gaap--Depreciation_c20250401"/>
      <w:bookmarkEnd w:id="484"/>
      <w:r>
        <w:rPr>
          <w:rFonts w:ascii="Times New Roman;Times;Serif" w:hAnsi="Times New Roman;Times;Serif"/>
          <w:b w:val="false"/>
          <w:i w:val="false"/>
          <w:caps w:val="false"/>
          <w:smallCaps w:val="false"/>
          <w:sz w:val="20"/>
        </w:rPr>
        <w:t>9,576 and $</w:t>
      </w:r>
      <w:bookmarkStart w:id="485" w:name="xdx_907_eus-gaap--Depreciation_c20250101"/>
      <w:bookmarkEnd w:id="485"/>
      <w:r>
        <w:rPr>
          <w:rFonts w:ascii="Times New Roman;Times;Serif" w:hAnsi="Times New Roman;Times;Serif"/>
          <w:b w:val="false"/>
          <w:i w:val="false"/>
          <w:caps w:val="false"/>
          <w:smallCaps w:val="false"/>
          <w:sz w:val="20"/>
        </w:rPr>
        <w:t>16,666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6" w:name="xdx_80A_eus-gaap--LesseeOperatingLeasesT"/>
      <w:bookmarkEnd w:id="486"/>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7 – </w:t>
      </w:r>
      <w:bookmarkStart w:id="487" w:name="xdx_820_zzVTGPYmttN6"/>
      <w:bookmarkEnd w:id="487"/>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and ground robots under noncancelable operating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 Space – Related Party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space is leased from an entity owned by the Company’s Chief Executive Officer and principal shareholder and is therefore considered a related-party lease. The lease is an operating lease with an initial term of five years commencing on October 1, 2025. The lease includes an option to renew upon expiration of the initial term; however, renewal periods were not included in the measurement of the right-of-use asset or lease liability because the Company has determined that exercise of the renewal option is not reasonably certain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lease, the base rent is $</w:t>
      </w:r>
      <w:bookmarkStart w:id="488" w:name="xdx_90A_eus-gaap--PaymentsForRent_c20260"/>
      <w:bookmarkEnd w:id="488"/>
      <w:r>
        <w:rPr>
          <w:rFonts w:ascii="Times New Roman;Times;Serif" w:hAnsi="Times New Roman;Times;Serif"/>
          <w:b w:val="false"/>
          <w:i w:val="false"/>
          <w:caps w:val="false"/>
          <w:smallCaps w:val="false"/>
          <w:sz w:val="20"/>
        </w:rPr>
        <w:t xml:space="preserve">44,481 per month for the first twelve months, increasing </w:t>
      </w:r>
      <w:bookmarkStart w:id="489" w:name="xdx_904_ecustom--MonthlyRentPercentage_p"/>
      <w:bookmarkEnd w:id="489"/>
      <w:r>
        <w:rPr>
          <w:rFonts w:ascii="Times New Roman;Times;Serif" w:hAnsi="Times New Roman;Times;Serif"/>
          <w:b w:val="false"/>
          <w:i w:val="false"/>
          <w:caps w:val="false"/>
          <w:smallCaps w:val="false"/>
          <w:sz w:val="20"/>
        </w:rPr>
        <w:t>3% for each twelve-month period thereafter. The lease is structured as a triple-net arrangement under which the Company also pays taxes, insurance, and common area maintenance charges directly. These triple-net lease (“NNN”) costs are variable in nature and are not included in the measurement of the right-of-use asset or lease liability; they are expensed as incurred. Based on current estimates, NNN costs are approximately $</w:t>
      </w:r>
      <w:bookmarkStart w:id="490" w:name="xdx_90F_eus-gaap--OperatingLeaseCost_c20"/>
      <w:bookmarkEnd w:id="490"/>
      <w:r>
        <w:rPr>
          <w:rFonts w:ascii="Times New Roman;Times;Serif" w:hAnsi="Times New Roman;Times;Serif"/>
          <w:b w:val="false"/>
          <w:i w:val="false"/>
          <w:caps w:val="false"/>
          <w:smallCaps w:val="false"/>
          <w:sz w:val="20"/>
        </w:rPr>
        <w:t>9,885 per month. Total variable lease costs recognized under this arrangement during the three and six months ended June 30, 2026 were approximately $</w:t>
      </w:r>
      <w:bookmarkStart w:id="491" w:name="xdx_907_ecustom--VariableLeaseCosts_c202"/>
      <w:bookmarkEnd w:id="491"/>
      <w:r>
        <w:rPr>
          <w:rFonts w:ascii="Times New Roman;Times;Serif" w:hAnsi="Times New Roman;Times;Serif"/>
          <w:b w:val="false"/>
          <w:i w:val="false"/>
          <w:caps w:val="false"/>
          <w:smallCaps w:val="false"/>
          <w:sz w:val="20"/>
        </w:rPr>
        <w:t>29,655 and $</w:t>
      </w:r>
      <w:bookmarkStart w:id="492" w:name="xdx_902_ecustom--VariableLeaseCosts_c202"/>
      <w:bookmarkEnd w:id="492"/>
      <w:r>
        <w:rPr>
          <w:rFonts w:ascii="Times New Roman;Times;Serif" w:hAnsi="Times New Roman;Times;Serif"/>
          <w:b w:val="false"/>
          <w:i w:val="false"/>
          <w:caps w:val="false"/>
          <w:smallCaps w:val="false"/>
          <w:sz w:val="20"/>
        </w:rPr>
        <w:t>59,310. The estimated all-in monthly occupancy cost is approximately $</w:t>
      </w:r>
      <w:bookmarkStart w:id="493" w:name="xdx_90E_eus-gaap--OperatingLeasePayments"/>
      <w:bookmarkEnd w:id="493"/>
      <w:r>
        <w:rPr>
          <w:rFonts w:ascii="Times New Roman;Times;Serif" w:hAnsi="Times New Roman;Times;Serif"/>
          <w:b w:val="false"/>
          <w:i w:val="false"/>
          <w:caps w:val="false"/>
          <w:smallCaps w:val="false"/>
          <w:sz w:val="20"/>
        </w:rPr>
        <w:t>54,366. This lease arrangement is also disclosed in NOTE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Ground Robot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leases ground robots used in delivery operations to transport goods between Arrive Point units. These leases have </w:t>
      </w:r>
      <w:bookmarkStart w:id="494" w:name="xdx_908_eus-gaap--LesseeOperatingLeaseDe"/>
      <w:bookmarkEnd w:id="494"/>
      <w:r>
        <w:rPr>
          <w:rFonts w:ascii="Times New Roman;Times;Serif" w:hAnsi="Times New Roman;Times;Serif"/>
          <w:b w:val="false"/>
          <w:i w:val="false"/>
          <w:caps w:val="false"/>
          <w:smallCaps w:val="false"/>
          <w:sz w:val="20"/>
        </w:rPr>
        <w:t>initial terms of two years commencing on July 31, 2025. Lease payments are approximately $</w:t>
      </w:r>
      <w:bookmarkStart w:id="495" w:name="xdx_906_eus-gaap--OperatingLeasePayments"/>
      <w:bookmarkEnd w:id="495"/>
      <w:r>
        <w:rPr>
          <w:rFonts w:ascii="Times New Roman;Times;Serif" w:hAnsi="Times New Roman;Times;Serif"/>
          <w:b w:val="false"/>
          <w:i w:val="false"/>
          <w:caps w:val="false"/>
          <w:smallCaps w:val="false"/>
          <w:sz w:val="20"/>
        </w:rPr>
        <w:t>4,200 per month. Total lease costs recognized under this arrangement during the six months ended June 30, 2026 were approximately $</w:t>
      </w:r>
      <w:bookmarkStart w:id="496" w:name="xdx_904_eus-gaap--OperatingLeaseCost_c20"/>
      <w:bookmarkEnd w:id="496"/>
      <w:r>
        <w:rPr>
          <w:rFonts w:ascii="Times New Roman;Times;Serif" w:hAnsi="Times New Roman;Times;Serif"/>
          <w:b w:val="false"/>
          <w:i w:val="false"/>
          <w:caps w:val="false"/>
          <w:smallCaps w:val="false"/>
          <w:sz w:val="20"/>
        </w:rPr>
        <w:t>25,200. The lease includes renewal options; however, renewal periods were not included in the measurement of the right-of-use assets or lease liabilities because the Company has determined that exercise of the renewal options is not reasonably certain at this time.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ground robot leases and the office space lease have been aggregated in the disclosures below as they share similar remaining terms, discount rates, and lease structures. Management has evaluated the leases and concluded that separate presentation is not necessary to provide a meaningful understanding of the Company’s lease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Right-of-Use Assets and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7" w:name="xdx_892_ecustom--ScheduleOfRightOfUseAss"/>
      <w:bookmarkEnd w:id="497"/>
      <w:r>
        <w:rPr>
          <w:rFonts w:ascii="Times New Roman;Times;Serif" w:hAnsi="Times New Roman;Times;Serif"/>
          <w:b w:val="false"/>
          <w:i w:val="false"/>
          <w:caps w:val="false"/>
          <w:smallCaps w:val="false"/>
          <w:sz w:val="20"/>
        </w:rPr>
        <w:t>The following summarizes the right-of-use assets and lease liabilities recorded on the Company’s balance sheet as of June 30, 2026 and December 31,2025: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8" w:name="xdx_8B9_zSq3a1UECy87"/>
      <w:bookmarkEnd w:id="498"/>
      <w:r>
        <w:rPr>
          <w:rFonts w:ascii="Times New Roman;Times;Serif" w:hAnsi="Times New Roman;Times;Serif"/>
          <w:b w:val="false"/>
          <w:i w:val="false"/>
          <w:caps w:val="false"/>
          <w:smallCaps w:val="false"/>
          <w:sz w:val="20"/>
        </w:rPr>
        <w:t>SCHEDULE OF RIGHT-OF-USE ASSETS AND LEASE LIABILITIES </w:t>
      </w:r>
    </w:p>
    <w:tbl>
      <w:tblPr>
        <w:tblW w:w="7084" w:type="dxa"/>
        <w:jc w:val="left"/>
        <w:tblInd w:w="0" w:type="dxa"/>
        <w:tblLayout w:type="fixed"/>
        <w:tblCellMar>
          <w:top w:w="0" w:type="dxa"/>
          <w:left w:w="0" w:type="dxa"/>
          <w:bottom w:w="0" w:type="dxa"/>
          <w:right w:w="0" w:type="dxa"/>
        </w:tblCellMar>
      </w:tblPr>
      <w:tblGrid>
        <w:gridCol w:w="4295"/>
        <w:gridCol w:w="60"/>
        <w:gridCol w:w="140"/>
        <w:gridCol w:w="980"/>
        <w:gridCol w:w="60"/>
        <w:gridCol w:w="60"/>
        <w:gridCol w:w="176"/>
        <w:gridCol w:w="1238"/>
        <w:gridCol w:w="75"/>
      </w:tblGrid>
      <w:tr>
        <w:trPr/>
        <w:tc>
          <w:tcPr>
            <w:tcW w:w="4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99" w:name="xdx_49C_20260630_z1NKIT0Snsvj"/>
            <w:bookmarkEnd w:id="499"/>
          </w:p>
        </w:tc>
        <w:tc>
          <w:tcPr>
            <w:tcW w:w="112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0" w:name="xdx_490_20251231_zNUlyKkHLeZ4"/>
            <w:bookmarkEnd w:id="500"/>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01" w:name="xdx_405_eus-gaap--OperatingLeaseRightOfU"/>
            <w:bookmarkEnd w:id="501"/>
          </w:p>
        </w:tc>
      </w:tr>
      <w:tr>
        <w:trPr/>
        <w:tc>
          <w:tcPr>
            <w:tcW w:w="4295" w:type="dxa"/>
            <w:tcBorders/>
            <w:shd w:fill="CCEEFF" w:val="clear"/>
            <w:vAlign w:val="center"/>
          </w:tcPr>
          <w:p>
            <w:pPr>
              <w:pStyle w:val="TableContents"/>
              <w:bidi w:val="0"/>
              <w:spacing w:before="0" w:after="283"/>
              <w:jc w:val="both"/>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1,926,885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2,117,284</w:t>
            </w:r>
          </w:p>
        </w:tc>
        <w:tc>
          <w:tcPr>
            <w:tcW w:w="75" w:type="dxa"/>
            <w:tcBorders/>
            <w:shd w:fill="CCEEFF" w:val="clear"/>
            <w:vAlign w:val="center"/>
          </w:tcPr>
          <w:p>
            <w:pPr>
              <w:pStyle w:val="TableContents"/>
              <w:bidi w:val="0"/>
              <w:spacing w:before="0" w:after="283"/>
              <w:jc w:val="left"/>
              <w:rPr/>
            </w:pPr>
            <w:r>
              <w:rPr/>
              <w:t> </w:t>
            </w:r>
            <w:bookmarkStart w:id="502" w:name="xdx_404_eus-gaap--OperatingLeaseLiabilit"/>
            <w:bookmarkEnd w:id="502"/>
          </w:p>
        </w:tc>
      </w:tr>
      <w:tr>
        <w:trPr/>
        <w:tc>
          <w:tcPr>
            <w:tcW w:w="4295" w:type="dxa"/>
            <w:tcBorders/>
            <w:shd w:fill="FFFFFF" w:val="clear"/>
            <w:vAlign w:val="center"/>
          </w:tcPr>
          <w:p>
            <w:pPr>
              <w:pStyle w:val="TableContents"/>
              <w:bidi w:val="0"/>
              <w:spacing w:before="0" w:after="283"/>
              <w:jc w:val="both"/>
              <w:rPr/>
            </w:pPr>
            <w:r>
              <w:rPr/>
              <w:t>Operating lease liabilities –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424,215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392,950</w:t>
            </w:r>
          </w:p>
        </w:tc>
        <w:tc>
          <w:tcPr>
            <w:tcW w:w="75" w:type="dxa"/>
            <w:tcBorders/>
            <w:shd w:fill="FFFFFF" w:val="clear"/>
            <w:vAlign w:val="center"/>
          </w:tcPr>
          <w:p>
            <w:pPr>
              <w:pStyle w:val="TableContents"/>
              <w:bidi w:val="0"/>
              <w:spacing w:before="0" w:after="283"/>
              <w:jc w:val="left"/>
              <w:rPr/>
            </w:pPr>
            <w:r>
              <w:rPr/>
              <w:t> </w:t>
            </w:r>
            <w:bookmarkStart w:id="503" w:name="xdx_40A_eus-gaap--OperatingLeaseLiabilit"/>
            <w:bookmarkEnd w:id="503"/>
          </w:p>
        </w:tc>
      </w:tr>
      <w:tr>
        <w:trPr/>
        <w:tc>
          <w:tcPr>
            <w:tcW w:w="4295" w:type="dxa"/>
            <w:tcBorders/>
            <w:shd w:fill="CCEEFF" w:val="clear"/>
            <w:vAlign w:val="center"/>
          </w:tcPr>
          <w:p>
            <w:pPr>
              <w:pStyle w:val="TableContents"/>
              <w:bidi w:val="0"/>
              <w:spacing w:before="0" w:after="283"/>
              <w:jc w:val="both"/>
              <w:rPr/>
            </w:pPr>
            <w:r>
              <w:rPr/>
              <w:t>Operating lease liabilities – long-term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1,504,887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1,725,073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4" w:name="xdx_8AA_zFIlszENdLY7"/>
      <w:bookmarkEnd w:id="5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5" w:name="xdx_897_eus-gaap--LeaseCostTableTextBloc"/>
      <w:bookmarkEnd w:id="505"/>
      <w:r>
        <w:rPr>
          <w:rFonts w:ascii="Times New Roman;Times;Serif" w:hAnsi="Times New Roman;Times;Serif"/>
          <w:b w:val="false"/>
          <w:i w:val="false"/>
          <w:caps w:val="false"/>
          <w:smallCaps w:val="false"/>
          <w:sz w:val="20"/>
        </w:rPr>
        <w:t>The following is a summary of the lease cost of operating leases recognized in the Company’s statement of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6" w:name="xdx_8B8_zjJxag8rOhf9"/>
      <w:bookmarkEnd w:id="506"/>
      <w:r>
        <w:rPr>
          <w:rFonts w:ascii="Times New Roman;Times;Serif" w:hAnsi="Times New Roman;Times;Serif"/>
          <w:b w:val="false"/>
          <w:i w:val="false"/>
          <w:caps w:val="false"/>
          <w:smallCaps w:val="false"/>
          <w:sz w:val="20"/>
        </w:rPr>
        <w:t>SCHEDULE OF LEASE COST </w:t>
      </w:r>
    </w:p>
    <w:tbl>
      <w:tblPr>
        <w:tblW w:w="10205" w:type="dxa"/>
        <w:jc w:val="left"/>
        <w:tblInd w:w="0" w:type="dxa"/>
        <w:tblLayout w:type="fixed"/>
        <w:tblCellMar>
          <w:top w:w="0" w:type="dxa"/>
          <w:left w:w="0" w:type="dxa"/>
          <w:bottom w:w="0" w:type="dxa"/>
          <w:right w:w="0" w:type="dxa"/>
        </w:tblCellMar>
      </w:tblPr>
      <w:tblGrid>
        <w:gridCol w:w="4731"/>
        <w:gridCol w:w="60"/>
        <w:gridCol w:w="201"/>
        <w:gridCol w:w="1153"/>
        <w:gridCol w:w="86"/>
        <w:gridCol w:w="86"/>
        <w:gridCol w:w="201"/>
        <w:gridCol w:w="980"/>
        <w:gridCol w:w="60"/>
        <w:gridCol w:w="60"/>
        <w:gridCol w:w="186"/>
        <w:gridCol w:w="1068"/>
        <w:gridCol w:w="80"/>
        <w:gridCol w:w="80"/>
        <w:gridCol w:w="186"/>
        <w:gridCol w:w="907"/>
        <w:gridCol w:w="80"/>
      </w:tblGrid>
      <w:tr>
        <w:trPr/>
        <w:tc>
          <w:tcPr>
            <w:tcW w:w="473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07" w:name="xdx_498_20260401__20260630_zdJUuCAndhu9"/>
            <w:bookmarkEnd w:id="507"/>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508" w:name="xdx_495_20250401__20250630_zcFEnLGbCry5"/>
            <w:bookmarkEnd w:id="508"/>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9" w:name="xdx_49D_20260101__20260630_zV8OGJM1VGKb"/>
            <w:bookmarkEnd w:id="509"/>
          </w:p>
        </w:tc>
        <w:tc>
          <w:tcPr>
            <w:tcW w:w="12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bookmarkStart w:id="510" w:name="xdx_497_20250101__20250630_zSwf4ktHIDA5"/>
            <w:bookmarkEnd w:id="510"/>
          </w:p>
        </w:tc>
        <w:tc>
          <w:tcPr>
            <w:tcW w:w="10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r>
      <w:tr>
        <w:trPr/>
        <w:tc>
          <w:tcPr>
            <w:tcW w:w="473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80" w:type="dxa"/>
            <w:tcBorders/>
            <w:vAlign w:val="center"/>
          </w:tcPr>
          <w:p>
            <w:pPr>
              <w:pStyle w:val="TableContents"/>
              <w:bidi w:val="0"/>
              <w:spacing w:before="0" w:after="283"/>
              <w:jc w:val="left"/>
              <w:rPr/>
            </w:pPr>
            <w:r>
              <w:rPr/>
              <w:t> </w:t>
            </w:r>
          </w:p>
        </w:tc>
      </w:tr>
      <w:tr>
        <w:trPr/>
        <w:tc>
          <w:tcPr>
            <w:tcW w:w="473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bookmarkStart w:id="511" w:name="xdx_405_eus-gaap--OperatingLeaseCost_maL"/>
            <w:bookmarkEnd w:id="511"/>
          </w:p>
        </w:tc>
      </w:tr>
      <w:tr>
        <w:trPr/>
        <w:tc>
          <w:tcPr>
            <w:tcW w:w="4731" w:type="dxa"/>
            <w:tcBorders/>
            <w:shd w:fill="CCEEFF" w:val="clear"/>
            <w:vAlign w:val="center"/>
          </w:tcPr>
          <w:p>
            <w:pPr>
              <w:pStyle w:val="TableContents"/>
              <w:bidi w:val="0"/>
              <w:spacing w:before="0" w:after="283"/>
              <w:jc w:val="both"/>
              <w:rPr/>
            </w:pPr>
            <w:r>
              <w:rPr/>
              <w:t>Operating lease cost included in general and administrative expense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146,783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293,565</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0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bookmarkStart w:id="512" w:name="xdx_40B_eus-gaap--VariableLeaseCost_maLC"/>
            <w:bookmarkEnd w:id="512"/>
          </w:p>
        </w:tc>
      </w:tr>
      <w:tr>
        <w:trPr/>
        <w:tc>
          <w:tcPr>
            <w:tcW w:w="4731" w:type="dxa"/>
            <w:tcBorders/>
            <w:shd w:fill="FFFFFF" w:val="clear"/>
            <w:vAlign w:val="center"/>
          </w:tcPr>
          <w:p>
            <w:pPr>
              <w:pStyle w:val="TableContents"/>
              <w:bidi w:val="0"/>
              <w:spacing w:before="0" w:after="283"/>
              <w:jc w:val="both"/>
              <w:rPr/>
            </w:pPr>
            <w:r>
              <w:rPr/>
              <w:t>Variable lease costs (NNN)</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29,655</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59,310</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bookmarkStart w:id="513" w:name="xdx_403_eus-gaap--ShortTermLeaseCost_maL"/>
            <w:bookmarkEnd w:id="513"/>
          </w:p>
        </w:tc>
      </w:tr>
      <w:tr>
        <w:trPr/>
        <w:tc>
          <w:tcPr>
            <w:tcW w:w="4731" w:type="dxa"/>
            <w:tcBorders/>
            <w:shd w:fill="CCEEFF" w:val="clear"/>
            <w:vAlign w:val="center"/>
          </w:tcPr>
          <w:p>
            <w:pPr>
              <w:pStyle w:val="TableContents"/>
              <w:bidi w:val="0"/>
              <w:spacing w:before="0" w:after="283"/>
              <w:jc w:val="both"/>
              <w:rPr/>
            </w:pPr>
            <w:r>
              <w:rPr/>
              <w:t>Short-term lease costs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pPr>
            <w:r>
              <w:rPr/>
              <w:t>1,500</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17,550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1,500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pPr>
            <w:r>
              <w:rPr/>
              <w:t>35,100</w:t>
            </w:r>
          </w:p>
        </w:tc>
        <w:tc>
          <w:tcPr>
            <w:tcW w:w="80" w:type="dxa"/>
            <w:tcBorders/>
            <w:shd w:fill="CCEEFF" w:val="clear"/>
            <w:vAlign w:val="center"/>
          </w:tcPr>
          <w:p>
            <w:pPr>
              <w:pStyle w:val="TableContents"/>
              <w:bidi w:val="0"/>
              <w:spacing w:before="0" w:after="283"/>
              <w:jc w:val="left"/>
              <w:rPr/>
            </w:pPr>
            <w:r>
              <w:rPr/>
              <w:t> </w:t>
            </w:r>
            <w:bookmarkStart w:id="514" w:name="xdx_40C_eus-gaap--LeaseCost_iT_mtLCzFnm_"/>
            <w:bookmarkEnd w:id="514"/>
          </w:p>
        </w:tc>
      </w:tr>
      <w:tr>
        <w:trPr/>
        <w:tc>
          <w:tcPr>
            <w:tcW w:w="4731" w:type="dxa"/>
            <w:tcBorders/>
            <w:shd w:fill="FFFFFF" w:val="clear"/>
            <w:vAlign w:val="center"/>
          </w:tcPr>
          <w:p>
            <w:pPr>
              <w:pStyle w:val="TableContents"/>
              <w:bidi w:val="0"/>
              <w:spacing w:before="0" w:after="283"/>
              <w:jc w:val="both"/>
              <w:rPr/>
            </w:pPr>
            <w:r>
              <w:rPr/>
              <w:t>Total lease costs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pPr>
            <w:r>
              <w:rPr/>
              <w:t>177,938</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354,375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pPr>
            <w:r>
              <w:rPr/>
              <w:t>35,100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5" w:name="xdx_8A2_zL9Rdbmweh9h"/>
      <w:bookmarkEnd w:id="51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Cash Flow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6" w:name="xdx_89F_eus-gaap--ScheduleOfCashFlowSupp"/>
      <w:bookmarkEnd w:id="516"/>
      <w:r>
        <w:rPr>
          <w:rFonts w:ascii="Times New Roman;Times;Serif" w:hAnsi="Times New Roman;Times;Serif"/>
          <w:b w:val="false"/>
          <w:i w:val="false"/>
          <w:caps w:val="false"/>
          <w:smallCaps w:val="false"/>
          <w:sz w:val="20"/>
        </w:rPr>
        <w:t>The following is a summary of the supplemental information related to the Company’s operating leases included in the statements of cash flows: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7" w:name="xdx_8BA_zZwpEXT3fxY8"/>
      <w:bookmarkEnd w:id="517"/>
      <w:r>
        <w:rPr>
          <w:rFonts w:ascii="Times New Roman;Times;Serif" w:hAnsi="Times New Roman;Times;Serif"/>
          <w:b w:val="false"/>
          <w:i w:val="false"/>
          <w:caps w:val="false"/>
          <w:smallCaps w:val="false"/>
          <w:sz w:val="20"/>
        </w:rPr>
        <w:t>SCHEDULE OF SUPPLEMENTAL CASH FLOW INFORMATION </w:t>
      </w:r>
    </w:p>
    <w:tbl>
      <w:tblPr>
        <w:tblW w:w="10205" w:type="dxa"/>
        <w:jc w:val="left"/>
        <w:tblInd w:w="0" w:type="dxa"/>
        <w:tblLayout w:type="fixed"/>
        <w:tblCellMar>
          <w:top w:w="0" w:type="dxa"/>
          <w:left w:w="0" w:type="dxa"/>
          <w:bottom w:w="0" w:type="dxa"/>
          <w:right w:w="0" w:type="dxa"/>
        </w:tblCellMar>
      </w:tblPr>
      <w:tblGrid>
        <w:gridCol w:w="7299"/>
        <w:gridCol w:w="60"/>
        <w:gridCol w:w="248"/>
        <w:gridCol w:w="1422"/>
        <w:gridCol w:w="106"/>
        <w:gridCol w:w="106"/>
        <w:gridCol w:w="527"/>
        <w:gridCol w:w="360"/>
        <w:gridCol w:w="77"/>
      </w:tblGrid>
      <w:tr>
        <w:trPr/>
        <w:tc>
          <w:tcPr>
            <w:tcW w:w="72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18" w:name="xdx_499_20260101__20260630_zztoZ0GvQrpb"/>
            <w:bookmarkEnd w:id="518"/>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bookmarkStart w:id="519" w:name="xdx_497_20250101__20250630_zUjlWWaBxlmd"/>
            <w:bookmarkEnd w:id="519"/>
          </w:p>
        </w:tc>
        <w:tc>
          <w:tcPr>
            <w:tcW w:w="8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p>
        </w:tc>
      </w:tr>
      <w:tr>
        <w:trPr/>
        <w:tc>
          <w:tcPr>
            <w:tcW w:w="72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7" w:type="dxa"/>
            <w:tcBorders/>
            <w:vAlign w:val="center"/>
          </w:tcPr>
          <w:p>
            <w:pPr>
              <w:pStyle w:val="TableContents"/>
              <w:bidi w:val="0"/>
              <w:spacing w:before="0" w:after="283"/>
              <w:jc w:val="left"/>
              <w:rPr/>
            </w:pPr>
            <w:r>
              <w:rPr/>
              <w:t> </w:t>
            </w:r>
          </w:p>
        </w:tc>
      </w:tr>
      <w:tr>
        <w:trPr/>
        <w:tc>
          <w:tcPr>
            <w:tcW w:w="72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bookmarkStart w:id="520" w:name="xdx_401_eus-gaap--OperatingLeasePayments"/>
            <w:bookmarkEnd w:id="520"/>
          </w:p>
        </w:tc>
      </w:tr>
      <w:tr>
        <w:trPr/>
        <w:tc>
          <w:tcPr>
            <w:tcW w:w="7299" w:type="dxa"/>
            <w:tcBorders/>
            <w:shd w:fill="CCEEFF" w:val="clear"/>
            <w:vAlign w:val="center"/>
          </w:tcPr>
          <w:p>
            <w:pPr>
              <w:pStyle w:val="TableContents"/>
              <w:bidi w:val="0"/>
              <w:spacing w:before="0" w:after="283"/>
              <w:jc w:val="left"/>
              <w:rPr/>
            </w:pPr>
            <w:r>
              <w:rPr/>
              <w:t>Cash paid for amounts included in the measurement of operating lease liabilities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292,086</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w:t>
            </w:r>
          </w:p>
        </w:tc>
        <w:tc>
          <w:tcPr>
            <w:tcW w:w="360"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bookmarkStart w:id="521" w:name="xdx_40E_ecustom--RightofuseAssetsObtaine"/>
            <w:bookmarkEnd w:id="521"/>
          </w:p>
        </w:tc>
      </w:tr>
      <w:tr>
        <w:trPr/>
        <w:tc>
          <w:tcPr>
            <w:tcW w:w="7299" w:type="dxa"/>
            <w:tcBorders/>
            <w:shd w:fill="FFFFFF" w:val="clear"/>
            <w:vAlign w:val="center"/>
          </w:tcPr>
          <w:p>
            <w:pPr>
              <w:pStyle w:val="TableContents"/>
              <w:bidi w:val="0"/>
              <w:spacing w:before="0" w:after="283"/>
              <w:jc w:val="left"/>
              <w:rPr/>
            </w:pPr>
            <w:r>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2" w:name="xdx_8AC_zl9LbgepOxa3"/>
      <w:bookmarkEnd w:id="52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Discount Rate and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rate implicit in the Company’s office lease was not readily determinable, the Company used its incremental borrowing rate to discount future lease payments. The Company’s incremental borrowing rate represents the rate of interest that it would have to pay to borrow, on a collateralized basis and over a similar term, an amount equal to the lease payments in a similar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weighted-average remaining lease term and weighted-average discount rate for operating leases at June 30, 2026 were </w:t>
      </w:r>
      <w:bookmarkStart w:id="523" w:name="xdx_905_eus-gaap--OperatingLeaseWeighted"/>
      <w:bookmarkEnd w:id="523"/>
      <w:r>
        <w:rPr>
          <w:rFonts w:ascii="Times New Roman;Times;Serif" w:hAnsi="Times New Roman;Times;Serif"/>
          <w:b w:val="false"/>
          <w:i w:val="false"/>
          <w:caps w:val="false"/>
          <w:smallCaps w:val="false"/>
          <w:sz w:val="20"/>
        </w:rPr>
        <w:t xml:space="preserve">4.17 years and </w:t>
      </w:r>
      <w:bookmarkStart w:id="524" w:name="xdx_902_eus-gaap--OperatingLeaseWeighted"/>
      <w:bookmarkEnd w:id="524"/>
      <w:r>
        <w:rPr>
          <w:rFonts w:ascii="Times New Roman;Times;Serif" w:hAnsi="Times New Roman;Times;Serif"/>
          <w:b w:val="false"/>
          <w:i w:val="false"/>
          <w:caps w:val="false"/>
          <w:smallCaps w:val="false"/>
          <w:sz w:val="20"/>
        </w:rPr>
        <w:t>10.32%, respectively.</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Future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5" w:name="xdx_89F_eus-gaap--LesseeOperatingLeaseLi"/>
      <w:bookmarkEnd w:id="525"/>
      <w:r>
        <w:rPr>
          <w:rFonts w:ascii="Times New Roman;Times;Serif" w:hAnsi="Times New Roman;Times;Serif"/>
          <w:b w:val="false"/>
          <w:i w:val="false"/>
          <w:caps w:val="false"/>
          <w:smallCaps w:val="false"/>
          <w:sz w:val="20"/>
        </w:rPr>
        <w:t>The future lease payments required under the Company’s leases as of June 30, 2026 for the years ending December 31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6" w:name="xdx_8B0_zprjQhoUAmvi"/>
      <w:bookmarkEnd w:id="526"/>
      <w:r>
        <w:rPr>
          <w:rFonts w:ascii="Times New Roman;Times;Serif" w:hAnsi="Times New Roman;Times;Serif"/>
          <w:b w:val="false"/>
          <w:i w:val="false"/>
          <w:caps w:val="false"/>
          <w:smallCaps w:val="false"/>
          <w:sz w:val="20"/>
        </w:rPr>
        <w:t>SCHEDULE OF FUTURE MINIMUM LEASE PAYMENTS </w:t>
      </w:r>
    </w:p>
    <w:tbl>
      <w:tblPr>
        <w:tblW w:w="4610" w:type="dxa"/>
        <w:jc w:val="left"/>
        <w:tblInd w:w="0" w:type="dxa"/>
        <w:tblLayout w:type="fixed"/>
        <w:tblCellMar>
          <w:top w:w="0" w:type="dxa"/>
          <w:left w:w="0" w:type="dxa"/>
          <w:bottom w:w="0" w:type="dxa"/>
          <w:right w:w="0" w:type="dxa"/>
        </w:tblCellMar>
      </w:tblPr>
      <w:tblGrid>
        <w:gridCol w:w="3320"/>
        <w:gridCol w:w="60"/>
        <w:gridCol w:w="140"/>
        <w:gridCol w:w="980"/>
        <w:gridCol w:w="110"/>
      </w:tblGrid>
      <w:tr>
        <w:trPr/>
        <w:tc>
          <w:tcPr>
            <w:tcW w:w="3320" w:type="dxa"/>
            <w:tcBorders/>
            <w:shd w:fill="CCEEFF" w:val="clear"/>
            <w:vAlign w:val="center"/>
          </w:tcPr>
          <w:p>
            <w:pPr>
              <w:pStyle w:val="TableContents"/>
              <w:bidi w:val="0"/>
              <w:spacing w:before="0" w:after="283"/>
              <w:jc w:val="both"/>
              <w:rPr/>
            </w:pPr>
            <w:r>
              <w:rPr/>
              <w:t>Future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7" w:name="xdx_49C_20260630_zuTdfUGXof89"/>
            <w:bookmarkEnd w:id="527"/>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28" w:name="xdx_408_eus-gaap--LesseeOperatingLeaseLi"/>
            <w:bookmarkEnd w:id="528"/>
          </w:p>
        </w:tc>
      </w:tr>
      <w:tr>
        <w:trPr/>
        <w:tc>
          <w:tcPr>
            <w:tcW w:w="3320" w:type="dxa"/>
            <w:tcBorders/>
            <w:shd w:fill="FFFFFF" w:val="clear"/>
            <w:vAlign w:val="center"/>
          </w:tcPr>
          <w:p>
            <w:pPr>
              <w:pStyle w:val="TableContents"/>
              <w:bidi w:val="0"/>
              <w:spacing w:before="0" w:after="283"/>
              <w:jc w:val="both"/>
              <w:rPr/>
            </w:pPr>
            <w:r>
              <w:rPr/>
              <w:t>Remainder of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296,088</w:t>
            </w:r>
          </w:p>
        </w:tc>
        <w:tc>
          <w:tcPr>
            <w:tcW w:w="110" w:type="dxa"/>
            <w:tcBorders/>
            <w:shd w:fill="FFFFFF" w:val="clear"/>
            <w:vAlign w:val="center"/>
          </w:tcPr>
          <w:p>
            <w:pPr>
              <w:pStyle w:val="TableContents"/>
              <w:bidi w:val="0"/>
              <w:spacing w:before="0" w:after="283"/>
              <w:jc w:val="left"/>
              <w:rPr/>
            </w:pPr>
            <w:r>
              <w:rPr/>
              <w:t> </w:t>
            </w:r>
            <w:bookmarkStart w:id="529" w:name="xdx_405_eus-gaap--LesseeOperatingLeaseLi"/>
            <w:bookmarkEnd w:id="529"/>
          </w:p>
        </w:tc>
      </w:tr>
      <w:tr>
        <w:trPr/>
        <w:tc>
          <w:tcPr>
            <w:tcW w:w="332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579,102</w:t>
            </w:r>
          </w:p>
        </w:tc>
        <w:tc>
          <w:tcPr>
            <w:tcW w:w="110" w:type="dxa"/>
            <w:tcBorders/>
            <w:shd w:fill="CCEEFF" w:val="clear"/>
            <w:vAlign w:val="center"/>
          </w:tcPr>
          <w:p>
            <w:pPr>
              <w:pStyle w:val="TableContents"/>
              <w:bidi w:val="0"/>
              <w:spacing w:before="0" w:after="283"/>
              <w:jc w:val="left"/>
              <w:rPr/>
            </w:pPr>
            <w:r>
              <w:rPr/>
              <w:t> </w:t>
            </w:r>
            <w:bookmarkStart w:id="530" w:name="xdx_407_eus-gaap--LesseeOperatingLeaseLi"/>
            <w:bookmarkEnd w:id="530"/>
          </w:p>
        </w:tc>
      </w:tr>
      <w:tr>
        <w:trPr/>
        <w:tc>
          <w:tcPr>
            <w:tcW w:w="332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570,516</w:t>
            </w:r>
          </w:p>
        </w:tc>
        <w:tc>
          <w:tcPr>
            <w:tcW w:w="110" w:type="dxa"/>
            <w:tcBorders/>
            <w:shd w:fill="FFFFFF" w:val="clear"/>
            <w:vAlign w:val="center"/>
          </w:tcPr>
          <w:p>
            <w:pPr>
              <w:pStyle w:val="TableContents"/>
              <w:bidi w:val="0"/>
              <w:spacing w:before="0" w:after="283"/>
              <w:jc w:val="left"/>
              <w:rPr/>
            </w:pPr>
            <w:r>
              <w:rPr/>
              <w:t> </w:t>
            </w:r>
            <w:bookmarkStart w:id="531" w:name="xdx_40B_eus-gaap--LesseeOperatingLeaseLi"/>
            <w:bookmarkEnd w:id="531"/>
          </w:p>
        </w:tc>
      </w:tr>
      <w:tr>
        <w:trPr/>
        <w:tc>
          <w:tcPr>
            <w:tcW w:w="3320" w:type="dxa"/>
            <w:tcBorders/>
            <w:shd w:fill="CCEEFF" w:val="clear"/>
            <w:vAlign w:val="center"/>
          </w:tcPr>
          <w:p>
            <w:pPr>
              <w:pStyle w:val="TableContents"/>
              <w:bidi w:val="0"/>
              <w:spacing w:before="0" w:after="283"/>
              <w:jc w:val="both"/>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587,634</w:t>
            </w:r>
          </w:p>
        </w:tc>
        <w:tc>
          <w:tcPr>
            <w:tcW w:w="110" w:type="dxa"/>
            <w:tcBorders/>
            <w:shd w:fill="CCEEFF" w:val="clear"/>
            <w:vAlign w:val="center"/>
          </w:tcPr>
          <w:p>
            <w:pPr>
              <w:pStyle w:val="TableContents"/>
              <w:bidi w:val="0"/>
              <w:spacing w:before="0" w:after="283"/>
              <w:jc w:val="left"/>
              <w:rPr/>
            </w:pPr>
            <w:r>
              <w:rPr/>
              <w:t> </w:t>
            </w:r>
            <w:bookmarkStart w:id="532" w:name="xdx_408_eus-gaap--LesseeOperatingLeaseLi"/>
            <w:bookmarkEnd w:id="532"/>
          </w:p>
        </w:tc>
      </w:tr>
      <w:tr>
        <w:trPr/>
        <w:tc>
          <w:tcPr>
            <w:tcW w:w="3320" w:type="dxa"/>
            <w:tcBorders/>
            <w:shd w:fill="FFFFFF" w:val="clear"/>
            <w:vAlign w:val="center"/>
          </w:tcPr>
          <w:p>
            <w:pPr>
              <w:pStyle w:val="TableContents"/>
              <w:bidi w:val="0"/>
              <w:spacing w:before="0" w:after="283"/>
              <w:jc w:val="both"/>
              <w:rPr/>
            </w:pPr>
            <w:r>
              <w:rPr/>
              <w:t>2030</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300,378</w:t>
            </w:r>
          </w:p>
        </w:tc>
        <w:tc>
          <w:tcPr>
            <w:tcW w:w="110" w:type="dxa"/>
            <w:tcBorders/>
            <w:shd w:fill="FFFFFF" w:val="clear"/>
            <w:vAlign w:val="center"/>
          </w:tcPr>
          <w:p>
            <w:pPr>
              <w:pStyle w:val="TableContents"/>
              <w:bidi w:val="0"/>
              <w:spacing w:before="0" w:after="283"/>
              <w:jc w:val="left"/>
              <w:rPr/>
            </w:pPr>
            <w:r>
              <w:rPr/>
              <w:t> </w:t>
            </w:r>
            <w:bookmarkStart w:id="533" w:name="xdx_402_eus-gaap--LesseeOperatingLeaseLi"/>
            <w:bookmarkEnd w:id="533"/>
          </w:p>
        </w:tc>
      </w:tr>
      <w:tr>
        <w:trPr/>
        <w:tc>
          <w:tcPr>
            <w:tcW w:w="3320" w:type="dxa"/>
            <w:tcBorders/>
            <w:shd w:fill="CCEEFF" w:val="clear"/>
            <w:vAlign w:val="center"/>
          </w:tcPr>
          <w:p>
            <w:pPr>
              <w:pStyle w:val="TableContents"/>
              <w:bidi w:val="0"/>
              <w:spacing w:before="0" w:after="283"/>
              <w:jc w:val="both"/>
              <w:rPr/>
            </w:pPr>
            <w:r>
              <w:rPr/>
              <w:t>Total future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2,333,718</w:t>
            </w:r>
          </w:p>
        </w:tc>
        <w:tc>
          <w:tcPr>
            <w:tcW w:w="110" w:type="dxa"/>
            <w:tcBorders/>
            <w:shd w:fill="CCEEFF" w:val="clear"/>
            <w:vAlign w:val="center"/>
          </w:tcPr>
          <w:p>
            <w:pPr>
              <w:pStyle w:val="TableContents"/>
              <w:bidi w:val="0"/>
              <w:spacing w:before="0" w:after="283"/>
              <w:jc w:val="left"/>
              <w:rPr/>
            </w:pPr>
            <w:r>
              <w:rPr/>
              <w:t> </w:t>
            </w:r>
            <w:bookmarkStart w:id="534" w:name="xdx_409_eus-gaap--LesseeOperatingLeaseLi"/>
            <w:bookmarkEnd w:id="534"/>
          </w:p>
        </w:tc>
      </w:tr>
      <w:tr>
        <w:trPr/>
        <w:tc>
          <w:tcPr>
            <w:tcW w:w="3320" w:type="dxa"/>
            <w:tcBorders/>
            <w:shd w:fill="FFFFFF" w:val="clear"/>
            <w:vAlign w:val="center"/>
          </w:tcPr>
          <w:p>
            <w:pPr>
              <w:pStyle w:val="TableContents"/>
              <w:bidi w:val="0"/>
              <w:spacing w:before="0" w:after="283"/>
              <w:jc w:val="both"/>
              <w:rPr/>
            </w:pPr>
            <w:r>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(404,616</w:t>
            </w:r>
          </w:p>
        </w:tc>
        <w:tc>
          <w:tcPr>
            <w:tcW w:w="110" w:type="dxa"/>
            <w:tcBorders/>
            <w:shd w:fill="FFFFFF" w:val="clear"/>
            <w:vAlign w:val="center"/>
          </w:tcPr>
          <w:p>
            <w:pPr>
              <w:pStyle w:val="TableContents"/>
              <w:bidi w:val="0"/>
              <w:spacing w:before="0" w:after="283"/>
              <w:jc w:val="left"/>
              <w:rPr/>
            </w:pPr>
            <w:r>
              <w:rPr/>
              <w:t>)</w:t>
            </w:r>
            <w:bookmarkStart w:id="535" w:name="xdx_407_eus-gaap--OperatingLeaseLiabilit"/>
            <w:bookmarkEnd w:id="535"/>
          </w:p>
        </w:tc>
      </w:tr>
      <w:tr>
        <w:trPr/>
        <w:tc>
          <w:tcPr>
            <w:tcW w:w="3320" w:type="dxa"/>
            <w:tcBorders/>
            <w:shd w:fill="CCEEFF" w:val="clear"/>
            <w:vAlign w:val="center"/>
          </w:tcPr>
          <w:p>
            <w:pPr>
              <w:pStyle w:val="TableContents"/>
              <w:bidi w:val="0"/>
              <w:spacing w:before="0" w:after="283"/>
              <w:jc w:val="both"/>
              <w:rPr/>
            </w:pPr>
            <w:r>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1,929,102</w:t>
            </w:r>
          </w:p>
        </w:tc>
        <w:tc>
          <w:tcPr>
            <w:tcW w:w="110" w:type="dxa"/>
            <w:tcBorders/>
            <w:shd w:fill="CCEEFF" w:val="clear"/>
            <w:vAlign w:val="center"/>
          </w:tcPr>
          <w:p>
            <w:pPr>
              <w:pStyle w:val="TableContents"/>
              <w:bidi w:val="0"/>
              <w:spacing w:before="0" w:after="283"/>
              <w:jc w:val="left"/>
              <w:rPr/>
            </w:pPr>
            <w:r>
              <w:rPr/>
              <w:t> </w:t>
            </w:r>
            <w:bookmarkStart w:id="536" w:name="xdx_405_eus-gaap--OperatingLeaseLiabilit"/>
            <w:bookmarkEnd w:id="536"/>
          </w:p>
        </w:tc>
      </w:tr>
      <w:tr>
        <w:trPr/>
        <w:tc>
          <w:tcPr>
            <w:tcW w:w="3320" w:type="dxa"/>
            <w:tcBorders/>
            <w:shd w:fill="FFFFFF" w:val="clear"/>
            <w:vAlign w:val="center"/>
          </w:tcPr>
          <w:p>
            <w:pPr>
              <w:pStyle w:val="TableContents"/>
              <w:bidi w:val="0"/>
              <w:spacing w:before="0" w:after="283"/>
              <w:jc w:val="both"/>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(424,215</w:t>
            </w:r>
          </w:p>
        </w:tc>
        <w:tc>
          <w:tcPr>
            <w:tcW w:w="110" w:type="dxa"/>
            <w:tcBorders/>
            <w:shd w:fill="FFFFFF" w:val="clear"/>
            <w:vAlign w:val="center"/>
          </w:tcPr>
          <w:p>
            <w:pPr>
              <w:pStyle w:val="TableContents"/>
              <w:bidi w:val="0"/>
              <w:spacing w:before="0" w:after="283"/>
              <w:jc w:val="left"/>
              <w:rPr/>
            </w:pPr>
            <w:r>
              <w:rPr/>
              <w:t>)</w:t>
            </w:r>
            <w:bookmarkStart w:id="537" w:name="xdx_402_eus-gaap--OperatingLeaseLiabilit"/>
            <w:bookmarkEnd w:id="537"/>
          </w:p>
        </w:tc>
      </w:tr>
      <w:tr>
        <w:trPr/>
        <w:tc>
          <w:tcPr>
            <w:tcW w:w="3320" w:type="dxa"/>
            <w:tcBorders/>
            <w:shd w:fill="CCEEFF" w:val="clear"/>
            <w:vAlign w:val="center"/>
          </w:tcPr>
          <w:p>
            <w:pPr>
              <w:pStyle w:val="TableContents"/>
              <w:bidi w:val="0"/>
              <w:spacing w:before="0" w:after="283"/>
              <w:jc w:val="both"/>
              <w:rPr/>
            </w:pPr>
            <w:r>
              <w:rPr/>
              <w:t>Long-term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1,504,887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8" w:name="xdx_8A2_zC6SxGyjBq97"/>
      <w:bookmarkEnd w:id="53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amounts represent contractual base rent only and exclude variable NNN costs. Variable lease costs associated with the ground robot leases, if any, were not material for the three and six months ended June 30, 2026. Based on current estimates, NNN costs are approximately $</w:t>
      </w:r>
      <w:bookmarkStart w:id="539" w:name="xdx_902_eus-gaap--OperatingLeaseCost_c20"/>
      <w:bookmarkEnd w:id="539"/>
      <w:r>
        <w:rPr>
          <w:rFonts w:ascii="Times New Roman;Times;Serif" w:hAnsi="Times New Roman;Times;Serif"/>
          <w:b w:val="false"/>
          <w:i w:val="false"/>
          <w:caps w:val="false"/>
          <w:smallCaps w:val="false"/>
          <w:sz w:val="20"/>
        </w:rPr>
        <w:t>9,885 per month and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0" w:name="xdx_80E_eus-gaap--IntangibleAssetsDisclo"/>
      <w:bookmarkEnd w:id="540"/>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8 - </w:t>
      </w:r>
      <w:bookmarkStart w:id="541" w:name="xdx_82F_zYY0E4EVVm1g"/>
      <w:bookmarkEnd w:id="541"/>
      <w:r>
        <w:rPr>
          <w:rFonts w:ascii="Times New Roman;Times;Serif" w:hAnsi="Times New Roman;Times;Serif"/>
          <w:b/>
          <w:i w:val="false"/>
          <w:caps w:val="false"/>
          <w:smallCaps w:val="false"/>
          <w:sz w:val="20"/>
        </w:rPr>
        <w:t>PATENTS,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2" w:name="xdx_89D_eus-gaap--ScheduleOfFiniteLivedI"/>
      <w:bookmarkEnd w:id="542"/>
      <w:r>
        <w:rPr>
          <w:rFonts w:ascii="Times New Roman;Times;Serif" w:hAnsi="Times New Roman;Times;Serif"/>
          <w:b w:val="false"/>
          <w:i w:val="false"/>
          <w:caps w:val="false"/>
          <w:smallCaps w:val="false"/>
          <w:sz w:val="20"/>
        </w:rPr>
        <w:t>Patents consist of the following: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43" w:name="xdx_8B2_zPJrKETKc8k6"/>
      <w:bookmarkEnd w:id="543"/>
      <w:r>
        <w:rPr>
          <w:rFonts w:ascii="Times New Roman;Times;Serif" w:hAnsi="Times New Roman;Times;Serif"/>
          <w:b w:val="false"/>
          <w:i w:val="false"/>
          <w:caps w:val="false"/>
          <w:smallCaps w:val="false"/>
          <w:sz w:val="20"/>
        </w:rPr>
        <w:t>SCHEDULE OF PATENTS </w:t>
      </w:r>
    </w:p>
    <w:tbl>
      <w:tblPr>
        <w:tblW w:w="5684" w:type="dxa"/>
        <w:jc w:val="left"/>
        <w:tblInd w:w="0" w:type="dxa"/>
        <w:tblLayout w:type="fixed"/>
        <w:tblCellMar>
          <w:top w:w="0" w:type="dxa"/>
          <w:left w:w="0" w:type="dxa"/>
          <w:bottom w:w="0" w:type="dxa"/>
          <w:right w:w="0" w:type="dxa"/>
        </w:tblCellMar>
      </w:tblPr>
      <w:tblGrid>
        <w:gridCol w:w="3005"/>
        <w:gridCol w:w="60"/>
        <w:gridCol w:w="140"/>
        <w:gridCol w:w="800"/>
        <w:gridCol w:w="95"/>
        <w:gridCol w:w="60"/>
        <w:gridCol w:w="210"/>
        <w:gridCol w:w="1204"/>
        <w:gridCol w:w="110"/>
      </w:tblGrid>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44" w:name="xdx_49E_20260630_zJZTDeynk7Yf"/>
            <w:bookmarkEnd w:id="544"/>
          </w:p>
        </w:tc>
        <w:tc>
          <w:tcPr>
            <w:tcW w:w="9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5" w:name="xdx_496_20251231_zhZmBmaOJ7w2"/>
            <w:bookmarkEnd w:id="545"/>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546" w:name="xdx_407_eus-gaap--FiniteLivedPatentsGros"/>
            <w:bookmarkEnd w:id="546"/>
          </w:p>
        </w:tc>
      </w:tr>
      <w:tr>
        <w:trPr/>
        <w:tc>
          <w:tcPr>
            <w:tcW w:w="3005" w:type="dxa"/>
            <w:tcBorders/>
            <w:shd w:fill="CCEEFF" w:val="clear"/>
            <w:vAlign w:val="center"/>
          </w:tcPr>
          <w:p>
            <w:pPr>
              <w:pStyle w:val="TableContents"/>
              <w:bidi w:val="0"/>
              <w:spacing w:before="0" w:after="283"/>
              <w:jc w:val="both"/>
              <w:rPr/>
            </w:pPr>
            <w:r>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274,700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274,700</w:t>
            </w:r>
          </w:p>
        </w:tc>
        <w:tc>
          <w:tcPr>
            <w:tcW w:w="110" w:type="dxa"/>
            <w:tcBorders/>
            <w:shd w:fill="CCEEFF" w:val="clear"/>
            <w:vAlign w:val="center"/>
          </w:tcPr>
          <w:p>
            <w:pPr>
              <w:pStyle w:val="TableContents"/>
              <w:bidi w:val="0"/>
              <w:spacing w:before="0" w:after="283"/>
              <w:jc w:val="left"/>
              <w:rPr/>
            </w:pPr>
            <w:r>
              <w:rPr/>
              <w:t> </w:t>
            </w:r>
            <w:bookmarkStart w:id="547" w:name="xdx_40A_eus-gaap--FiniteLivedIntangibleA"/>
            <w:bookmarkEnd w:id="547"/>
          </w:p>
        </w:tc>
      </w:tr>
      <w:tr>
        <w:trPr/>
        <w:tc>
          <w:tcPr>
            <w:tcW w:w="3005" w:type="dxa"/>
            <w:tcBorders/>
            <w:shd w:fill="FFFFFF" w:val="clear"/>
            <w:vAlign w:val="center"/>
          </w:tcPr>
          <w:p>
            <w:pPr>
              <w:pStyle w:val="TableContents"/>
              <w:bidi w:val="0"/>
              <w:spacing w:before="0" w:after="283"/>
              <w:jc w:val="both"/>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(3,636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(2,603</w:t>
            </w:r>
          </w:p>
        </w:tc>
        <w:tc>
          <w:tcPr>
            <w:tcW w:w="110" w:type="dxa"/>
            <w:tcBorders/>
            <w:shd w:fill="FFFFFF" w:val="clear"/>
            <w:vAlign w:val="center"/>
          </w:tcPr>
          <w:p>
            <w:pPr>
              <w:pStyle w:val="TableContents"/>
              <w:bidi w:val="0"/>
              <w:spacing w:before="0" w:after="283"/>
              <w:jc w:val="left"/>
              <w:rPr/>
            </w:pPr>
            <w:r>
              <w:rPr/>
              <w:t>)</w:t>
            </w:r>
            <w:bookmarkStart w:id="548" w:name="xdx_409_eus-gaap--FiniteLivedIntangibleA"/>
            <w:bookmarkEnd w:id="548"/>
          </w:p>
        </w:tc>
      </w:tr>
      <w:tr>
        <w:trPr/>
        <w:tc>
          <w:tcPr>
            <w:tcW w:w="3005" w:type="dxa"/>
            <w:tcBorders/>
            <w:shd w:fill="CCEEFF" w:val="clear"/>
            <w:vAlign w:val="center"/>
          </w:tcPr>
          <w:p>
            <w:pPr>
              <w:pStyle w:val="TableContents"/>
              <w:bidi w:val="0"/>
              <w:spacing w:before="0" w:after="283"/>
              <w:jc w:val="both"/>
              <w:rPr/>
            </w:pPr>
            <w:r>
              <w:rPr/>
              <w:t>TOTAL PATENTS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271,064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pPr>
            <w:r>
              <w:rPr/>
              <w:t>272,097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9" w:name="xdx_8AF_zK5DmLIT6gC5"/>
      <w:bookmarkEnd w:id="549"/>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Eight of the Company’s international patent applications have been issued and are being amortized over the remaining legal life of up to </w:t>
      </w:r>
      <w:bookmarkStart w:id="550" w:name="xdx_907_eus-gaap--FiniteLivedIntangibleA"/>
      <w:bookmarkEnd w:id="550"/>
      <w:r>
        <w:rPr>
          <w:rFonts w:ascii="Times New Roman;Times;Serif" w:hAnsi="Times New Roman;Times;Serif"/>
          <w:b w:val="false"/>
          <w:i w:val="false"/>
          <w:caps w:val="false"/>
          <w:smallCaps w:val="false"/>
          <w:sz w:val="20"/>
        </w:rPr>
        <w:t>16 years. The Company did not file for any patents during the three and six months ended June 30, 2026. Amortization expense was $</w:t>
      </w:r>
      <w:bookmarkStart w:id="551" w:name="xdx_906_eus-gaap--AmortizationOfIntangib"/>
      <w:bookmarkEnd w:id="551"/>
      <w:r>
        <w:rPr>
          <w:rFonts w:ascii="Times New Roman;Times;Serif" w:hAnsi="Times New Roman;Times;Serif"/>
          <w:b w:val="false"/>
          <w:i w:val="false"/>
          <w:caps w:val="false"/>
          <w:smallCaps w:val="false"/>
          <w:sz w:val="20"/>
        </w:rPr>
        <w:t>516 and $</w:t>
      </w:r>
      <w:bookmarkStart w:id="552" w:name="xdx_900_eus-gaap--AmortizationOfIntangib"/>
      <w:bookmarkEnd w:id="552"/>
      <w:r>
        <w:rPr>
          <w:rFonts w:ascii="Times New Roman;Times;Serif" w:hAnsi="Times New Roman;Times;Serif"/>
          <w:b w:val="false"/>
          <w:i w:val="false"/>
          <w:caps w:val="false"/>
          <w:smallCaps w:val="false"/>
          <w:sz w:val="20"/>
        </w:rPr>
        <w:t>1,033 and $</w:t>
      </w:r>
      <w:bookmarkStart w:id="553" w:name="xdx_907_eus-gaap--AmortizationOfIntangib"/>
      <w:bookmarkEnd w:id="553"/>
      <w:r>
        <w:rPr>
          <w:rFonts w:ascii="Times New Roman;Times;Serif" w:hAnsi="Times New Roman;Times;Serif"/>
          <w:b w:val="false"/>
          <w:i w:val="false"/>
          <w:caps w:val="false"/>
          <w:smallCaps w:val="false"/>
          <w:sz w:val="20"/>
        </w:rPr>
        <w:t>150 and $</w:t>
      </w:r>
      <w:bookmarkStart w:id="554" w:name="xdx_907_eus-gaap--AmortizationOfIntangib"/>
      <w:bookmarkEnd w:id="554"/>
      <w:r>
        <w:rPr>
          <w:rFonts w:ascii="Times New Roman;Times;Serif" w:hAnsi="Times New Roman;Times;Serif"/>
          <w:b w:val="false"/>
          <w:i w:val="false"/>
          <w:caps w:val="false"/>
          <w:smallCaps w:val="false"/>
          <w:sz w:val="20"/>
        </w:rPr>
        <w:t>452 for the three and six months ended June 30, 2026 and 2025, respectively. Estimated amortization expense on the existing intangible patent assets for the next five years is $</w:t>
      </w:r>
      <w:bookmarkStart w:id="555" w:name="xdx_90E_eus-gaap--AmortizationOfIntangib"/>
      <w:bookmarkEnd w:id="555"/>
      <w:r>
        <w:rPr>
          <w:rFonts w:ascii="Times New Roman;Times;Serif" w:hAnsi="Times New Roman;Times;Serif"/>
          <w:b w:val="false"/>
          <w:i w:val="false"/>
          <w:caps w:val="false"/>
          <w:smallCaps w:val="false"/>
          <w:sz w:val="20"/>
        </w:rPr>
        <w:t>2,066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6" w:name="xdx_809_ecustom--DeferredOfferingCostsTe"/>
      <w:bookmarkEnd w:id="556"/>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9 - </w:t>
      </w:r>
      <w:bookmarkStart w:id="557" w:name="xdx_823_zbESzwJaDIqk"/>
      <w:bookmarkEnd w:id="557"/>
      <w:r>
        <w:rPr>
          <w:rFonts w:ascii="Times New Roman;Times;Serif" w:hAnsi="Times New Roman;Times;Serif"/>
          <w:b/>
          <w:i w:val="false"/>
          <w:caps w:val="false"/>
          <w:smallCaps w:val="false"/>
          <w:sz w:val="20"/>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an equity offering, including all pre-paid advances under the Securities Purchase Agreement discussed in NOTE 10, such costs are recorded as a reduction of the related proceeds and reflected as a reduction of additional paid-in capital. The deferred offering costs related to the SPA are recorded pro rata based on the pre-paid advance compared to the maximum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raised gross proceeds of $</w:t>
      </w:r>
      <w:bookmarkStart w:id="558" w:name="xdx_90D_eus-gaap--ProceedsFromIssuanceOf"/>
      <w:bookmarkEnd w:id="558"/>
      <w:r>
        <w:rPr>
          <w:rFonts w:ascii="Times New Roman;Times;Serif" w:hAnsi="Times New Roman;Times;Serif"/>
          <w:b w:val="false"/>
          <w:i w:val="false"/>
          <w:caps w:val="false"/>
          <w:smallCaps w:val="false"/>
          <w:sz w:val="20"/>
        </w:rPr>
        <w:t>10,000,000 under pre-paid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9" w:name="xdx_890_ecustom--ScheduleOfDeferredOffer"/>
      <w:bookmarkEnd w:id="559"/>
      <w:r>
        <w:rPr>
          <w:rFonts w:ascii="Times New Roman;Times;Serif" w:hAnsi="Times New Roman;Times;Serif"/>
          <w:b w:val="false"/>
          <w:i w:val="false"/>
          <w:caps w:val="false"/>
          <w:smallCaps w:val="false"/>
          <w:sz w:val="20"/>
        </w:rPr>
        <w:t>The following summarizes the deferred offering balances as of and for the six months ended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0" w:name="xdx_8B1_z1jvPN5dmhn3"/>
      <w:bookmarkEnd w:id="560"/>
      <w:r>
        <w:rPr>
          <w:rFonts w:ascii="Times New Roman;Times;Serif" w:hAnsi="Times New Roman;Times;Serif"/>
          <w:b w:val="false"/>
          <w:i w:val="false"/>
          <w:caps w:val="false"/>
          <w:smallCaps w:val="false"/>
          <w:sz w:val="20"/>
        </w:rPr>
        <w:t>SCHEDULE OF DEFERRED OFFERING COSTS  </w:t>
      </w:r>
    </w:p>
    <w:tbl>
      <w:tblPr>
        <w:tblW w:w="5729" w:type="dxa"/>
        <w:jc w:val="left"/>
        <w:tblInd w:w="0" w:type="dxa"/>
        <w:tblLayout w:type="fixed"/>
        <w:tblCellMar>
          <w:top w:w="0" w:type="dxa"/>
          <w:left w:w="0" w:type="dxa"/>
          <w:bottom w:w="0" w:type="dxa"/>
          <w:right w:w="0" w:type="dxa"/>
        </w:tblCellMar>
      </w:tblPr>
      <w:tblGrid>
        <w:gridCol w:w="4145"/>
        <w:gridCol w:w="60"/>
        <w:gridCol w:w="165"/>
        <w:gridCol w:w="1249"/>
        <w:gridCol w:w="110"/>
      </w:tblGrid>
      <w:tr>
        <w:trPr/>
        <w:tc>
          <w:tcPr>
            <w:tcW w:w="4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11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bookmarkStart w:id="561" w:name="xdx_980_ecustom--DeferredOfferingCostsCu"/>
            <w:bookmarkEnd w:id="561"/>
          </w:p>
        </w:tc>
        <w:tc>
          <w:tcPr>
            <w:tcW w:w="1249" w:type="dxa"/>
            <w:tcBorders/>
            <w:shd w:fill="CCEEFF" w:val="clear"/>
            <w:vAlign w:val="center"/>
          </w:tcPr>
          <w:p>
            <w:pPr>
              <w:pStyle w:val="TableContents"/>
              <w:bidi w:val="0"/>
              <w:spacing w:before="0" w:after="283"/>
              <w:jc w:val="right"/>
              <w:rPr/>
            </w:pPr>
            <w:r>
              <w:rPr/>
              <w:t>5,650,185</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both"/>
              <w:rPr/>
            </w:pPr>
            <w:r>
              <w:rPr/>
              <w:t>Reclassification to additional paid-in capital</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2" w:name="xdx_98B_ecustom--DeferredOfferingCostsRe"/>
            <w:bookmarkEnd w:id="562"/>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(2,174,671</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both"/>
              <w:rPr/>
            </w:pPr>
            <w:r>
              <w:rPr/>
              <w:t>OUTSTANDING BALANCE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63" w:name="xdx_980_ecustom--DeferredOfferingCostsCu"/>
            <w:bookmarkEnd w:id="563"/>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pPr>
            <w:r>
              <w:rPr/>
              <w:t>3,475,514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4" w:name="xdx_8A1_z6VlsyQ7iysh"/>
      <w:bookmarkEnd w:id="5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recorded $</w:t>
      </w:r>
      <w:bookmarkStart w:id="565" w:name="xdx_906_ecustom--DeferredOfferingCostsRe"/>
      <w:bookmarkEnd w:id="565"/>
      <w:r>
        <w:rPr>
          <w:rFonts w:ascii="Times New Roman;Times;Serif" w:hAnsi="Times New Roman;Times;Serif"/>
          <w:b w:val="false"/>
          <w:i w:val="false"/>
          <w:caps w:val="false"/>
          <w:smallCaps w:val="false"/>
          <w:sz w:val="20"/>
        </w:rPr>
        <w:t>2,174,671 of deferred offering costs as a reduction of additional paid-in capital in connection with the convertible note financing transaction discussed in NOTE 10. As of June 30, 2026, the Company had remaining deferred offering costs of $</w:t>
      </w:r>
      <w:bookmarkStart w:id="566" w:name="xdx_900_ecustom--DeferredOfferingCostsCu"/>
      <w:bookmarkEnd w:id="566"/>
      <w:r>
        <w:rPr>
          <w:rFonts w:ascii="Times New Roman;Times;Serif" w:hAnsi="Times New Roman;Times;Serif"/>
          <w:b w:val="false"/>
          <w:i w:val="false"/>
          <w:caps w:val="false"/>
          <w:smallCaps w:val="false"/>
          <w:sz w:val="20"/>
        </w:rPr>
        <w:t>3,475,514 related to equity financing transactions under the Securities Purchase Agreement discussed in NOTE 10, which are expected to be recorded as a reduction of additional paid-in capital upon completion of the related transactions.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7" w:name="xdx_809_ecustom--ConvertibleNotePayableT"/>
      <w:bookmarkEnd w:id="567"/>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10 - </w:t>
      </w:r>
      <w:bookmarkStart w:id="568" w:name="xdx_825_zILWZkKeP8N3"/>
      <w:bookmarkEnd w:id="568"/>
      <w:r>
        <w:rPr>
          <w:rFonts w:ascii="Times New Roman;Times;Serif" w:hAnsi="Times New Roman;Times;Serif"/>
          <w:b/>
          <w:i w:val="false"/>
          <w:caps w:val="false"/>
          <w:smallCaps w:val="false"/>
          <w:sz w:val="20"/>
        </w:rPr>
        <w:t>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Overview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2025, the Company entered into a Securities Purchase Agreement with Streeterville Capital, LLC (“Streeterville”). The SPA closed on May 15, 2025, upon satisfaction of all conditions precedent. The SPA provides for a maximum facility of $</w:t>
      </w:r>
      <w:bookmarkStart w:id="569" w:name="xdx_908_eus-gaap--ConvertibleNotesPayabl"/>
      <w:bookmarkEnd w:id="569"/>
      <w:r>
        <w:rPr>
          <w:rFonts w:ascii="Times New Roman;Times;Serif" w:hAnsi="Times New Roman;Times;Serif"/>
          <w:b w:val="false"/>
          <w:i w:val="false"/>
          <w:caps w:val="false"/>
          <w:smallCaps w:val="false"/>
          <w:sz w:val="20"/>
        </w:rPr>
        <w:t>40,000,000, under which three draws were completed during 2025, resulting in aggregate cash proceeds of $</w:t>
      </w:r>
      <w:bookmarkStart w:id="570" w:name="xdx_90C_eus-gaap--ProceedsFromIssuanceOf"/>
      <w:bookmarkEnd w:id="570"/>
      <w:r>
        <w:rPr>
          <w:rFonts w:ascii="Times New Roman;Times;Serif" w:hAnsi="Times New Roman;Times;Serif"/>
          <w:b w:val="false"/>
          <w:i w:val="false"/>
          <w:caps w:val="false"/>
          <w:smallCaps w:val="false"/>
          <w:sz w:val="20"/>
        </w:rPr>
        <w:t>11,000,000 and the issuance of convertible notes with an aggregate face amount of $</w:t>
      </w:r>
      <w:bookmarkStart w:id="571" w:name="xdx_908_eus-gaap--DebtInstrumentFaceAmou"/>
      <w:bookmarkEnd w:id="571"/>
      <w:r>
        <w:rPr>
          <w:rFonts w:ascii="Times New Roman;Times;Serif" w:hAnsi="Times New Roman;Times;Serif"/>
          <w:b w:val="false"/>
          <w:i w:val="false"/>
          <w:caps w:val="false"/>
          <w:smallCaps w:val="false"/>
          <w:sz w:val="20"/>
        </w:rPr>
        <w:t>11,890,000. One draw was completed in the first quarter of 2026 resulting in cash proceeds of $</w:t>
      </w:r>
      <w:bookmarkStart w:id="572" w:name="xdx_908_eus-gaap--ProceedsFromOtherDebt_"/>
      <w:bookmarkEnd w:id="572"/>
      <w:r>
        <w:rPr>
          <w:rFonts w:ascii="Times New Roman;Times;Serif" w:hAnsi="Times New Roman;Times;Serif"/>
          <w:b w:val="false"/>
          <w:i w:val="false"/>
          <w:caps w:val="false"/>
          <w:smallCaps w:val="false"/>
          <w:sz w:val="20"/>
        </w:rPr>
        <w:t>10,000,000. As of June 30, 2026, the remaining undrawn capacity under the facility is $</w:t>
      </w:r>
      <w:bookmarkStart w:id="573" w:name="xdx_90B_ecustom--RemainingUndrawnCapacit"/>
      <w:bookmarkEnd w:id="573"/>
      <w:r>
        <w:rPr>
          <w:rFonts w:ascii="Times New Roman;Times;Serif" w:hAnsi="Times New Roman;Times;Serif"/>
          <w:b w:val="false"/>
          <w:i w:val="false"/>
          <w:caps w:val="false"/>
          <w:smallCaps w:val="false"/>
          <w:sz w:val="20"/>
        </w:rPr>
        <w:t>19,000,000; however, any future draws remain subject to the satisfaction of conditions precedent set forth in the SPA, and no assurance can be given that additional draws will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issued under the SPA bear interest at a rate of </w:t>
      </w:r>
      <w:bookmarkStart w:id="574" w:name="xdx_90C_eus-gaap--DebtInstrumentInterest"/>
      <w:bookmarkEnd w:id="574"/>
      <w:r>
        <w:rPr>
          <w:rFonts w:ascii="Times New Roman;Times;Serif" w:hAnsi="Times New Roman;Times;Serif"/>
          <w:b w:val="false"/>
          <w:i w:val="false"/>
          <w:caps w:val="false"/>
          <w:smallCaps w:val="false"/>
          <w:sz w:val="20"/>
        </w:rPr>
        <w:t>8% per annum and have no stated maturity date. In the event of a default under the SPA, the Company will be required to make monthly cash payments until the default is cured or the notes are repaid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Pre-Delivery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SPA, Streeterville purchased </w:t>
      </w:r>
      <w:bookmarkStart w:id="575" w:name="xdx_90A_eus-gaap--StockIssuedDuringPerio"/>
      <w:bookmarkEnd w:id="575"/>
      <w:r>
        <w:rPr>
          <w:rFonts w:ascii="Times New Roman;Times;Serif" w:hAnsi="Times New Roman;Times;Serif"/>
          <w:b w:val="false"/>
          <w:i w:val="false"/>
          <w:caps w:val="false"/>
          <w:smallCaps w:val="false"/>
          <w:sz w:val="20"/>
        </w:rPr>
        <w:t>2,937,500 shares of common stock (the “Pre-Delivery Shares”) at par value ($</w:t>
      </w:r>
      <w:bookmarkStart w:id="576" w:name="xdx_909_eus-gaap--SharesIssuedPricePerSh"/>
      <w:bookmarkEnd w:id="576"/>
      <w:r>
        <w:rPr>
          <w:rFonts w:ascii="Times New Roman;Times;Serif" w:hAnsi="Times New Roman;Times;Serif"/>
          <w:b w:val="false"/>
          <w:i w:val="false"/>
          <w:caps w:val="false"/>
          <w:smallCaps w:val="false"/>
          <w:sz w:val="20"/>
        </w:rPr>
        <w:t>0.0002 per share) in exchange for aggregate consideration of $</w:t>
      </w:r>
      <w:bookmarkStart w:id="577" w:name="xdx_905_eus-gaap--StockIssuedDuringPerio"/>
      <w:bookmarkEnd w:id="577"/>
      <w:r>
        <w:rPr>
          <w:rFonts w:ascii="Times New Roman;Times;Serif" w:hAnsi="Times New Roman;Times;Serif"/>
          <w:b w:val="false"/>
          <w:i w:val="false"/>
          <w:caps w:val="false"/>
          <w:smallCaps w:val="false"/>
          <w:sz w:val="20"/>
        </w:rPr>
        <w:t>588. The Pre-Delivery Shares were issued as a condition of and concurrent with the closing of the SPA on May 15, 2025, and are contractually linked to the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the Pre-Delivery Shares under ASC 480-10-25 and ASC 505-10-45 and concluded that equity classification is appropriate on the following basis: (i) the shares represent issued and legally outstanding common stock with full voting rights; (ii) the Company holds a right, but not an obligation, to repurchase the Pre-Delivery Shares at par value, which is a unilateral call option and does not, by itself, require liability classification; and (iii) the shares are not mandatorily redeemable and do not embody an unconditional obligation requiring the Company to transfer assets. Accordingly, the Pre-Delivery Shares are presented within stockholders’ equity and are included as issued and outstanding shares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Pre-Delivery Shares are included in the weighted-average shares outstanding used in the computation of basic and diluted loss per share beginning on May 15, 2025, the date the SPA closed and the shares were issued, consistent with ASC 260-10-45. The Company considered whether the nominal issuance price and the Company’s repurchase right created any basis to exclude these shares from EPS and concluded that, because the shares are legally issued and outstanding with no outstanding contingency that would require their return, the Company’s inclusion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Feature and Bifurcation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815-40-15 and ASC 815-15-25, a conversion feature that fails the indexed-to-own-stock test must be bifurcated from the host instrument and accounted for separately as a derivative liability, measured at fair value at each reporting date, with changes in fair value recognized in earnings. Accordingly, the Company has bifurcated the conversion feature as a derivative liability at the inception of each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 Issuance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issued were bifurcated as follows. The initial host carrying value for each note represents the cash proceeds received, reduced by (i) the original issue discount (“OID”) of approximately </w:t>
      </w:r>
      <w:bookmarkStart w:id="578" w:name="xdx_90C_ecustom--OriginalIssueDiscountRa"/>
      <w:bookmarkEnd w:id="578"/>
      <w:r>
        <w:rPr>
          <w:rFonts w:ascii="Times New Roman;Times;Serif" w:hAnsi="Times New Roman;Times;Serif"/>
          <w:b w:val="false"/>
          <w:i w:val="false"/>
          <w:caps w:val="false"/>
          <w:smallCaps w:val="false"/>
          <w:sz w:val="20"/>
        </w:rPr>
        <w:t xml:space="preserve">8% of the principal proceeds, (ii) the fair value of the bifurcated derivative liabilities at issuance, (iii) the portion of debt issuance costs of </w:t>
      </w:r>
      <w:bookmarkStart w:id="579" w:name="xdx_90D_ecustom--DebtIssuanceCostsRate_d"/>
      <w:bookmarkEnd w:id="579"/>
      <w:r>
        <w:rPr>
          <w:rFonts w:ascii="Times New Roman;Times;Serif" w:hAnsi="Times New Roman;Times;Serif"/>
          <w:b w:val="false"/>
          <w:i w:val="false"/>
          <w:caps w:val="false"/>
          <w:smallCaps w:val="false"/>
          <w:sz w:val="20"/>
        </w:rPr>
        <w:t>4% in 2026 that are allocated to the host debt instrument, as described below.</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issuance of the Convertible Note 4 in January 2026, the Company incurred debt issuance costs equal to </w:t>
      </w:r>
      <w:bookmarkStart w:id="580" w:name="xdx_90D_ecustom--DebtIssuanceCostsRate_d"/>
      <w:bookmarkEnd w:id="580"/>
      <w:r>
        <w:rPr>
          <w:rFonts w:ascii="Times New Roman;Times;Serif" w:hAnsi="Times New Roman;Times;Serif"/>
          <w:b w:val="false"/>
          <w:i w:val="false"/>
          <w:caps w:val="false"/>
          <w:smallCaps w:val="false"/>
          <w:sz w:val="20"/>
        </w:rPr>
        <w:t>4% of cash proceeds in 2026 which was $</w:t>
      </w:r>
      <w:bookmarkStart w:id="581" w:name="xdx_901_eus-gaap--ProceedsFromConvertibl"/>
      <w:bookmarkEnd w:id="581"/>
      <w:r>
        <w:rPr>
          <w:rFonts w:ascii="Times New Roman;Times;Serif" w:hAnsi="Times New Roman;Times;Serif"/>
          <w:b w:val="false"/>
          <w:i w:val="false"/>
          <w:caps w:val="false"/>
          <w:smallCaps w:val="false"/>
          <w:sz w:val="20"/>
        </w:rPr>
        <w:t>400,000 for Convertible Note 4. In accordance with ASC 835.30 and ASC 815, the Company allocated the debt issuance costs between the host debt instrument and the bifurcated derivative liability based on their relative fair values at the issuance date. Accordingly, $</w:t>
      </w:r>
      <w:bookmarkStart w:id="582" w:name="xdx_90E_ecustom--DerivativeComponentsAnd"/>
      <w:bookmarkEnd w:id="582"/>
      <w:r>
        <w:rPr>
          <w:rFonts w:ascii="Times New Roman;Times;Serif" w:hAnsi="Times New Roman;Times;Serif"/>
          <w:b w:val="false"/>
          <w:i w:val="false"/>
          <w:caps w:val="false"/>
          <w:smallCaps w:val="false"/>
          <w:sz w:val="20"/>
        </w:rPr>
        <w:t>92,400 of the debt issuance costs was allocated to the derivative liability and recognized immediately in other expense during the three months ended March 31, 2026, because costs allocated to a derivative liability measured at fair value through earnings are not eligible for deferral. The remaining $</w:t>
      </w:r>
      <w:bookmarkStart w:id="583" w:name="xdx_90A_ecustom--Contraliability_c202601"/>
      <w:bookmarkEnd w:id="583"/>
      <w:r>
        <w:rPr>
          <w:rFonts w:ascii="Times New Roman;Times;Serif" w:hAnsi="Times New Roman;Times;Serif"/>
          <w:b w:val="false"/>
          <w:i w:val="false"/>
          <w:caps w:val="false"/>
          <w:smallCaps w:val="false"/>
          <w:sz w:val="20"/>
        </w:rPr>
        <w:t>307,600 was recorded as a contra-liability (direct reduction of the carrying value of the host debt instrument) and is being amortized to interest expense using the effective interest method over the estimated expected term, consistent with the accretion of the OID and debt discounts described below. The resulting discount is accreted to par using the effective interest method over the estimated term of each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 notes have no stated maturity date, the Company estimated an expected term of </w:t>
      </w:r>
      <w:bookmarkStart w:id="584" w:name="xdx_901_eus-gaap--DebtInstrumentTerm_dtY"/>
      <w:bookmarkEnd w:id="584"/>
      <w:r>
        <w:rPr>
          <w:rFonts w:ascii="Times New Roman;Times;Serif" w:hAnsi="Times New Roman;Times;Serif"/>
          <w:b w:val="false"/>
          <w:i w:val="false"/>
          <w:caps w:val="false"/>
          <w:smallCaps w:val="false"/>
          <w:sz w:val="20"/>
        </w:rPr>
        <w:t>2.93 years for purposes of both the EIM accretion schedule and the Monte Carlo valuation of the bifurcated derivative of convertible note 4. This expected term was determined based on (i) the Company’s expected timing of draws under the SPA (ii) the economic terms and structure of the SPA, including the conversion mechanics and the absence of a mandatory redemption date, (iii) the Company’s assessment of the expected conversion behavior of the noteholder based on the Lookback Formula, and (iv) the provisions of the SPA governing the noteholder’s conversion rights. The use of an expected term rather than a contractual maturity is consistent with ASC 820-10-35-24C, which requires that fair value reflect market participant assumptions. Management applied the same expected term in both the EIM accretion model and the Monte Carlo valuation model based on its estimate of the period over which the notes are expected to remain outstanding. The expected term assumption will be reassessed each reporting period in connection with the fair value remeasurement of the derivative liability. The following table shows the initial host carrying value of Convertible Note 4 at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5" w:name="xdx_8B0_zzA8u7al0wF9"/>
      <w:bookmarkStart w:id="586" w:name="xdx_895_ecustom--ScheduleOfFairValueReme"/>
      <w:bookmarkEnd w:id="585"/>
      <w:bookmarkEnd w:id="586"/>
      <w:r>
        <w:rPr>
          <w:rFonts w:ascii="Times New Roman;Times;Serif" w:hAnsi="Times New Roman;Times;Serif"/>
          <w:b w:val="false"/>
          <w:i w:val="false"/>
          <w:caps w:val="false"/>
          <w:smallCaps w:val="false"/>
          <w:sz w:val="20"/>
        </w:rPr>
        <w:t>SCHEDULE OF FAIR VALUE REMEASUREMENT OF THE DERIVATIVE LIABILITY </w:t>
      </w:r>
    </w:p>
    <w:tbl>
      <w:tblPr>
        <w:tblW w:w="8009" w:type="dxa"/>
        <w:jc w:val="left"/>
        <w:tblInd w:w="0" w:type="dxa"/>
        <w:tblLayout w:type="fixed"/>
        <w:tblCellMar>
          <w:top w:w="0" w:type="dxa"/>
          <w:left w:w="0" w:type="dxa"/>
          <w:bottom w:w="0" w:type="dxa"/>
          <w:right w:w="0" w:type="dxa"/>
        </w:tblCellMar>
      </w:tblPr>
      <w:tblGrid>
        <w:gridCol w:w="5900"/>
        <w:gridCol w:w="60"/>
        <w:gridCol w:w="219"/>
        <w:gridCol w:w="1720"/>
        <w:gridCol w:w="110"/>
      </w:tblGrid>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7" w:name="xdx_4BE_us-gaap--DebtInstrumentAxis_cust"/>
            <w:bookmarkEnd w:id="587"/>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4</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Issuance date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sz w:val="20"/>
              </w:rPr>
            </w:pPr>
            <w:bookmarkStart w:id="588" w:name="xdx_90F_eus-gaap--DebtInstrumentIssuance"/>
            <w:bookmarkEnd w:id="588"/>
            <w:r>
              <w:rPr>
                <w:rFonts w:ascii="Times New Roman;Times;Serif" w:hAnsi="Times New Roman;Times;Serif"/>
                <w:sz w:val="20"/>
              </w:rPr>
              <w:t>Jan 26, 2026</w:t>
            </w:r>
          </w:p>
        </w:tc>
        <w:tc>
          <w:tcPr>
            <w:tcW w:w="110" w:type="dxa"/>
            <w:tcBorders/>
            <w:shd w:fill="CCEEFF" w:val="clear"/>
            <w:vAlign w:val="center"/>
          </w:tcPr>
          <w:p>
            <w:pPr>
              <w:pStyle w:val="TableContents"/>
              <w:bidi w:val="0"/>
              <w:spacing w:before="0" w:after="283"/>
              <w:jc w:val="left"/>
              <w:rPr/>
            </w:pPr>
            <w:r>
              <w:rPr/>
              <w:t> </w:t>
            </w:r>
            <w:bookmarkStart w:id="589" w:name="xdx_43B_c20260630_eus-gaap--DebtInstrume"/>
            <w:bookmarkEnd w:id="589"/>
          </w:p>
        </w:tc>
      </w:tr>
      <w:tr>
        <w:trPr/>
        <w:tc>
          <w:tcPr>
            <w:tcW w:w="5900" w:type="dxa"/>
            <w:tcBorders/>
            <w:shd w:fill="FFFFFF" w:val="clear"/>
            <w:vAlign w:val="center"/>
          </w:tcPr>
          <w:p>
            <w:pPr>
              <w:pStyle w:val="TableContents"/>
              <w:bidi w:val="0"/>
              <w:spacing w:before="0" w:after="283"/>
              <w:jc w:val="left"/>
              <w:rPr/>
            </w:pPr>
            <w:r>
              <w:rPr/>
              <w:t>Face amount</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720" w:type="dxa"/>
            <w:tcBorders/>
            <w:shd w:fill="FFFFFF" w:val="clear"/>
            <w:vAlign w:val="center"/>
          </w:tcPr>
          <w:p>
            <w:pPr>
              <w:pStyle w:val="TableContents"/>
              <w:bidi w:val="0"/>
              <w:spacing w:before="0" w:after="283"/>
              <w:jc w:val="right"/>
              <w:rPr/>
            </w:pPr>
            <w:r>
              <w:rPr/>
              <w:t>10,800,000</w:t>
            </w:r>
          </w:p>
        </w:tc>
        <w:tc>
          <w:tcPr>
            <w:tcW w:w="110" w:type="dxa"/>
            <w:tcBorders/>
            <w:shd w:fill="FFFFFF" w:val="clear"/>
            <w:vAlign w:val="center"/>
          </w:tcPr>
          <w:p>
            <w:pPr>
              <w:pStyle w:val="TableContents"/>
              <w:bidi w:val="0"/>
              <w:spacing w:before="0" w:after="283"/>
              <w:jc w:val="left"/>
              <w:rPr/>
            </w:pPr>
            <w:r>
              <w:rPr/>
              <w:t> </w:t>
            </w:r>
            <w:bookmarkStart w:id="590" w:name="xdx_43D_c20260630_ecustom--DebtInstrumen"/>
            <w:bookmarkEnd w:id="590"/>
          </w:p>
        </w:tc>
      </w:tr>
      <w:tr>
        <w:trPr/>
        <w:tc>
          <w:tcPr>
            <w:tcW w:w="5900" w:type="dxa"/>
            <w:tcBorders/>
            <w:shd w:fill="CCEEFF" w:val="clear"/>
            <w:vAlign w:val="center"/>
          </w:tcPr>
          <w:p>
            <w:pPr>
              <w:pStyle w:val="TableContents"/>
              <w:bidi w:val="0"/>
              <w:spacing w:before="0" w:after="283"/>
              <w:jc w:val="left"/>
              <w:rPr/>
            </w:pPr>
            <w:r>
              <w:rPr/>
              <w:t>Original issue discount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0" w:type="dxa"/>
            <w:tcBorders>
              <w:bottom w:val="single" w:sz="8" w:space="0" w:color="000000"/>
            </w:tcBorders>
            <w:shd w:fill="CCEEFF" w:val="clear"/>
            <w:tcMar>
              <w:bottom w:w="28" w:type="dxa"/>
            </w:tcMar>
            <w:vAlign w:val="center"/>
          </w:tcPr>
          <w:p>
            <w:pPr>
              <w:pStyle w:val="TableContents"/>
              <w:bidi w:val="0"/>
              <w:spacing w:before="0" w:after="283"/>
              <w:jc w:val="right"/>
              <w:rPr/>
            </w:pPr>
            <w:r>
              <w:rPr/>
              <w:t>(800,000</w:t>
            </w:r>
          </w:p>
        </w:tc>
        <w:tc>
          <w:tcPr>
            <w:tcW w:w="110" w:type="dxa"/>
            <w:tcBorders/>
            <w:shd w:fill="CCEEFF" w:val="clear"/>
            <w:vAlign w:val="center"/>
          </w:tcPr>
          <w:p>
            <w:pPr>
              <w:pStyle w:val="TableContents"/>
              <w:bidi w:val="0"/>
              <w:spacing w:before="0" w:after="283"/>
              <w:jc w:val="left"/>
              <w:rPr/>
            </w:pPr>
            <w:r>
              <w:rPr/>
              <w:t>)</w:t>
            </w:r>
            <w:bookmarkStart w:id="591" w:name="xdx_439_c20260101__20260630_eus-gaap--Pr"/>
            <w:bookmarkEnd w:id="591"/>
          </w:p>
        </w:tc>
      </w:tr>
      <w:tr>
        <w:trPr/>
        <w:tc>
          <w:tcPr>
            <w:tcW w:w="5900" w:type="dxa"/>
            <w:tcBorders/>
            <w:shd w:fill="FFFFFF" w:val="clear"/>
            <w:vAlign w:val="center"/>
          </w:tcPr>
          <w:p>
            <w:pPr>
              <w:pStyle w:val="TableContents"/>
              <w:bidi w:val="0"/>
              <w:spacing w:before="0" w:after="283"/>
              <w:jc w:val="left"/>
              <w:rPr/>
            </w:pPr>
            <w:r>
              <w:rPr/>
              <w:t>Cash proceeds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pPr>
            <w:r>
              <w:rPr/>
              <w:t>10,000,000</w:t>
            </w:r>
          </w:p>
        </w:tc>
        <w:tc>
          <w:tcPr>
            <w:tcW w:w="110" w:type="dxa"/>
            <w:tcBorders/>
            <w:shd w:fill="FFFFFF" w:val="clear"/>
            <w:vAlign w:val="center"/>
          </w:tcPr>
          <w:p>
            <w:pPr>
              <w:pStyle w:val="TableContents"/>
              <w:bidi w:val="0"/>
              <w:spacing w:before="0" w:after="283"/>
              <w:jc w:val="left"/>
              <w:rPr/>
            </w:pPr>
            <w:r>
              <w:rPr/>
              <w:t> </w:t>
            </w:r>
            <w:bookmarkStart w:id="592" w:name="xdx_439_c20260101__20260630_ecustom--Deb"/>
            <w:bookmarkEnd w:id="592"/>
          </w:p>
        </w:tc>
      </w:tr>
      <w:tr>
        <w:trPr/>
        <w:tc>
          <w:tcPr>
            <w:tcW w:w="5900" w:type="dxa"/>
            <w:tcBorders/>
            <w:shd w:fill="CCEEFF" w:val="clear"/>
            <w:vAlign w:val="center"/>
          </w:tcPr>
          <w:p>
            <w:pPr>
              <w:pStyle w:val="TableContents"/>
              <w:bidi w:val="0"/>
              <w:spacing w:before="0" w:after="283"/>
              <w:jc w:val="left"/>
              <w:rPr/>
            </w:pPr>
            <w:r>
              <w:rPr/>
              <w:t>Debt issuance costs (contra-liability)</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pPr>
            <w:r>
              <w:rPr/>
              <w:t>(307,600</w:t>
            </w:r>
          </w:p>
        </w:tc>
        <w:tc>
          <w:tcPr>
            <w:tcW w:w="110" w:type="dxa"/>
            <w:tcBorders/>
            <w:shd w:fill="CCEEFF" w:val="clear"/>
            <w:vAlign w:val="center"/>
          </w:tcPr>
          <w:p>
            <w:pPr>
              <w:pStyle w:val="TableContents"/>
              <w:bidi w:val="0"/>
              <w:spacing w:before="0" w:after="283"/>
              <w:jc w:val="left"/>
              <w:rPr/>
            </w:pPr>
            <w:r>
              <w:rPr/>
              <w:t>)</w:t>
            </w:r>
            <w:bookmarkStart w:id="593" w:name="xdx_436_c20260101__20260630_ecustom--Der"/>
            <w:bookmarkEnd w:id="593"/>
          </w:p>
        </w:tc>
      </w:tr>
      <w:tr>
        <w:trPr/>
        <w:tc>
          <w:tcPr>
            <w:tcW w:w="5900" w:type="dxa"/>
            <w:tcBorders/>
            <w:shd w:fill="FFFFFF" w:val="clear"/>
            <w:vAlign w:val="center"/>
          </w:tcPr>
          <w:p>
            <w:pPr>
              <w:pStyle w:val="TableContents"/>
              <w:bidi w:val="0"/>
              <w:spacing w:before="0" w:after="283"/>
              <w:jc w:val="left"/>
              <w:rPr/>
            </w:pPr>
            <w:r>
              <w:rPr/>
              <w:t>Derivative discount (initial fair value of bifurcated derivatives)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pPr>
            <w:r>
              <w:rPr/>
              <w:t>(2,310,000</w:t>
            </w:r>
          </w:p>
        </w:tc>
        <w:tc>
          <w:tcPr>
            <w:tcW w:w="110" w:type="dxa"/>
            <w:tcBorders/>
            <w:shd w:fill="FFFFFF" w:val="clear"/>
            <w:vAlign w:val="center"/>
          </w:tcPr>
          <w:p>
            <w:pPr>
              <w:pStyle w:val="TableContents"/>
              <w:bidi w:val="0"/>
              <w:spacing w:before="0" w:after="283"/>
              <w:jc w:val="left"/>
              <w:rPr/>
            </w:pPr>
            <w:r>
              <w:rPr/>
              <w:t>)</w:t>
            </w:r>
            <w:bookmarkStart w:id="594" w:name="xdx_431_c20260101__20260630_ecustom--Com"/>
            <w:bookmarkEnd w:id="594"/>
          </w:p>
        </w:tc>
      </w:tr>
      <w:tr>
        <w:trPr/>
        <w:tc>
          <w:tcPr>
            <w:tcW w:w="5900" w:type="dxa"/>
            <w:tcBorders/>
            <w:shd w:fill="CCEEFF" w:val="clear"/>
            <w:vAlign w:val="center"/>
          </w:tcPr>
          <w:p>
            <w:pPr>
              <w:pStyle w:val="TableContents"/>
              <w:bidi w:val="0"/>
              <w:spacing w:before="0" w:after="283"/>
              <w:jc w:val="left"/>
              <w:rPr/>
            </w:pPr>
            <w:r>
              <w:rPr/>
              <w:t>Commitment shares (discount)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95" w:name="xdx_430_c20260101__20260630_ecustom--Ini"/>
            <w:bookmarkEnd w:id="595"/>
          </w:p>
        </w:tc>
      </w:tr>
      <w:tr>
        <w:trPr/>
        <w:tc>
          <w:tcPr>
            <w:tcW w:w="5900" w:type="dxa"/>
            <w:tcBorders/>
            <w:shd w:fill="FFFFFF" w:val="clear"/>
            <w:vAlign w:val="center"/>
          </w:tcPr>
          <w:p>
            <w:pPr>
              <w:pStyle w:val="TableContents"/>
              <w:bidi w:val="0"/>
              <w:spacing w:before="0" w:after="283"/>
              <w:jc w:val="left"/>
              <w:rPr/>
            </w:pPr>
            <w:r>
              <w:rPr/>
              <w:t>INITIAL HOST CARRYING VALUE</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0" w:type="dxa"/>
            <w:tcBorders>
              <w:bottom w:val="double" w:sz="6" w:space="0" w:color="000000"/>
            </w:tcBorders>
            <w:shd w:fill="FFFFFF" w:val="clear"/>
            <w:tcMar>
              <w:bottom w:w="28" w:type="dxa"/>
            </w:tcMar>
            <w:vAlign w:val="center"/>
          </w:tcPr>
          <w:p>
            <w:pPr>
              <w:pStyle w:val="TableContents"/>
              <w:bidi w:val="0"/>
              <w:spacing w:before="0" w:after="283"/>
              <w:jc w:val="right"/>
              <w:rPr/>
            </w:pPr>
            <w:r>
              <w:rPr/>
              <w:t>7,382,400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6" w:name="xdx_8A1_z3EM6fHw9vfl"/>
      <w:bookmarkEnd w:id="59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Host Convertible Notes Roll-Forward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activity in the carrying value of the host portion of the convertible notes for the six months ended June 30, 2026. Discount accretion is computed using the EIM applied to the initial carrying value of each note over its estimated expected term. Upon conversion, the face amount converted and the pro-rata unamortized discount and issuance costs attributable to the converted portion are removed from the carrying value.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97" w:name="xdx_8BE_zeJC2Y6WGCyf"/>
      <w:bookmarkStart w:id="598" w:name="xdx_896_eus-gaap--ConvertibleDebtTableTe"/>
      <w:bookmarkEnd w:id="597"/>
      <w:bookmarkEnd w:id="598"/>
      <w:r>
        <w:rPr>
          <w:rFonts w:ascii="Times New Roman;Times;Serif" w:hAnsi="Times New Roman;Times;Serif"/>
          <w:b w:val="false"/>
          <w:i w:val="false"/>
          <w:caps w:val="false"/>
          <w:smallCaps w:val="false"/>
          <w:sz w:val="20"/>
        </w:rPr>
        <w:t>SCHEDULE OF CONVERTIBLE NOTE PAYABLE </w:t>
      </w:r>
    </w:p>
    <w:tbl>
      <w:tblPr>
        <w:tblW w:w="10205" w:type="dxa"/>
        <w:jc w:val="left"/>
        <w:tblInd w:w="0" w:type="dxa"/>
        <w:tblLayout w:type="fixed"/>
        <w:tblCellMar>
          <w:top w:w="0" w:type="dxa"/>
          <w:left w:w="0" w:type="dxa"/>
          <w:bottom w:w="0" w:type="dxa"/>
          <w:right w:w="0" w:type="dxa"/>
        </w:tblCellMar>
      </w:tblPr>
      <w:tblGrid>
        <w:gridCol w:w="2393"/>
        <w:gridCol w:w="60"/>
        <w:gridCol w:w="163"/>
        <w:gridCol w:w="1245"/>
        <w:gridCol w:w="95"/>
        <w:gridCol w:w="60"/>
        <w:gridCol w:w="175"/>
        <w:gridCol w:w="1233"/>
        <w:gridCol w:w="95"/>
        <w:gridCol w:w="60"/>
        <w:gridCol w:w="175"/>
        <w:gridCol w:w="1233"/>
        <w:gridCol w:w="95"/>
        <w:gridCol w:w="60"/>
        <w:gridCol w:w="157"/>
        <w:gridCol w:w="1321"/>
        <w:gridCol w:w="95"/>
        <w:gridCol w:w="60"/>
        <w:gridCol w:w="140"/>
        <w:gridCol w:w="1175"/>
        <w:gridCol w:w="115"/>
      </w:tblGrid>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9" w:name="xdx_4B3_us-gaap--DebtInstrumentAxis_cust"/>
            <w:bookmarkEnd w:id="599"/>
          </w:p>
        </w:tc>
        <w:tc>
          <w:tcPr>
            <w:tcW w:w="14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0" w:name="xdx_4B6_us-gaap--DebtInstrumentAxis_cust"/>
            <w:bookmarkEnd w:id="600"/>
          </w:p>
        </w:tc>
        <w:tc>
          <w:tcPr>
            <w:tcW w:w="14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1" w:name="xdx_4BC_us-gaap--DebtInstrumentAxis_cust"/>
            <w:bookmarkEnd w:id="601"/>
          </w:p>
        </w:tc>
        <w:tc>
          <w:tcPr>
            <w:tcW w:w="14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2" w:name="xdx_4BF_us-gaap--DebtInstrumentAxis_cust"/>
            <w:bookmarkEnd w:id="602"/>
          </w:p>
        </w:tc>
        <w:tc>
          <w:tcPr>
            <w:tcW w:w="14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3" w:name="xdx_4B3_z7iQ5rAfQ15b"/>
            <w:bookmarkEnd w:id="603"/>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jc w:val="left"/>
              <w:rPr/>
            </w:pPr>
            <w:r>
              <w:rPr/>
              <w:t> </w:t>
            </w:r>
            <w:bookmarkStart w:id="604" w:name="xdx_433_c20260101__20260630_eus-gaap--Co"/>
            <w:bookmarkEnd w:id="604"/>
          </w:p>
        </w:tc>
      </w:tr>
      <w:tr>
        <w:trPr/>
        <w:tc>
          <w:tcPr>
            <w:tcW w:w="2393" w:type="dxa"/>
            <w:tcBorders/>
            <w:shd w:fill="CCEEFF" w:val="clear"/>
            <w:vAlign w:val="center"/>
          </w:tcPr>
          <w:p>
            <w:pPr>
              <w:pStyle w:val="TableContents"/>
              <w:bidi w:val="0"/>
              <w:spacing w:before="0" w:after="283"/>
              <w:jc w:val="left"/>
              <w:rPr/>
            </w:pPr>
            <w:r>
              <w:rPr/>
              <w:t>Balance at January 1, 2026</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45" w:type="dxa"/>
            <w:tcBorders>
              <w:bottom w:val="single" w:sz="8" w:space="0" w:color="000000"/>
            </w:tcBorders>
            <w:shd w:fill="CCEEFF" w:val="clear"/>
            <w:tcMar>
              <w:bottom w:w="28" w:type="dxa"/>
            </w:tcMar>
            <w:vAlign w:val="center"/>
          </w:tcPr>
          <w:p>
            <w:pPr>
              <w:pStyle w:val="TableContents"/>
              <w:bidi w:val="0"/>
              <w:spacing w:before="0" w:after="283"/>
              <w:jc w:val="right"/>
              <w:rPr/>
            </w:pPr>
            <w:r>
              <w:rPr/>
              <w:t>367,275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1,639,474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2,137,908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4,144,657</w:t>
            </w:r>
          </w:p>
        </w:tc>
        <w:tc>
          <w:tcPr>
            <w:tcW w:w="115" w:type="dxa"/>
            <w:tcBorders/>
            <w:shd w:fill="CCEEFF" w:val="clear"/>
            <w:vAlign w:val="center"/>
          </w:tcPr>
          <w:p>
            <w:pPr>
              <w:pStyle w:val="TableContents"/>
              <w:bidi w:val="0"/>
              <w:spacing w:before="0" w:after="283"/>
              <w:jc w:val="left"/>
              <w:rPr/>
            </w:pPr>
            <w:r>
              <w:rPr/>
              <w:t> </w:t>
            </w:r>
            <w:bookmarkStart w:id="605" w:name="xdx_403_ecustom--NoteIssuanceInitialHost"/>
            <w:bookmarkEnd w:id="605"/>
          </w:p>
        </w:tc>
      </w:tr>
      <w:tr>
        <w:trPr/>
        <w:tc>
          <w:tcPr>
            <w:tcW w:w="2393" w:type="dxa"/>
            <w:tcBorders/>
            <w:shd w:fill="FFFFFF" w:val="clear"/>
            <w:vAlign w:val="center"/>
          </w:tcPr>
          <w:p>
            <w:pPr>
              <w:pStyle w:val="TableContents"/>
              <w:bidi w:val="0"/>
              <w:spacing w:before="0" w:after="283"/>
              <w:jc w:val="left"/>
              <w:rPr/>
            </w:pPr>
            <w:r>
              <w:rPr/>
              <w:t>Note issuance — initial host carrying value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7,382,400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7,382,400</w:t>
            </w:r>
          </w:p>
        </w:tc>
        <w:tc>
          <w:tcPr>
            <w:tcW w:w="115" w:type="dxa"/>
            <w:tcBorders/>
            <w:shd w:fill="FFFFFF" w:val="clear"/>
            <w:vAlign w:val="center"/>
          </w:tcPr>
          <w:p>
            <w:pPr>
              <w:pStyle w:val="TableContents"/>
              <w:bidi w:val="0"/>
              <w:spacing w:before="0" w:after="283"/>
              <w:jc w:val="left"/>
              <w:rPr/>
            </w:pPr>
            <w:r>
              <w:rPr/>
              <w:t> </w:t>
            </w:r>
            <w:bookmarkStart w:id="606" w:name="xdx_40E_ecustom--EimAccretionOfDebtDisco"/>
            <w:bookmarkEnd w:id="606"/>
          </w:p>
        </w:tc>
      </w:tr>
      <w:tr>
        <w:trPr/>
        <w:tc>
          <w:tcPr>
            <w:tcW w:w="2393" w:type="dxa"/>
            <w:tcBorders/>
            <w:shd w:fill="CCEEFF" w:val="clear"/>
            <w:vAlign w:val="center"/>
          </w:tcPr>
          <w:p>
            <w:pPr>
              <w:pStyle w:val="TableContents"/>
              <w:bidi w:val="0"/>
              <w:spacing w:before="0" w:after="283"/>
              <w:jc w:val="left"/>
              <w:rPr/>
            </w:pPr>
            <w:r>
              <w:rPr/>
              <w:t>EIM accretion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47,077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169,576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135,265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69,524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421,442</w:t>
            </w:r>
          </w:p>
        </w:tc>
        <w:tc>
          <w:tcPr>
            <w:tcW w:w="115" w:type="dxa"/>
            <w:tcBorders/>
            <w:shd w:fill="CCEEFF" w:val="clear"/>
            <w:vAlign w:val="center"/>
          </w:tcPr>
          <w:p>
            <w:pPr>
              <w:pStyle w:val="TableContents"/>
              <w:bidi w:val="0"/>
              <w:spacing w:before="0" w:after="283"/>
              <w:jc w:val="left"/>
              <w:rPr/>
            </w:pPr>
            <w:r>
              <w:rPr/>
              <w:t> </w:t>
            </w:r>
            <w:bookmarkStart w:id="607" w:name="xdx_40A_ecustom--ConversionsFaceAmount_i"/>
            <w:bookmarkEnd w:id="607"/>
          </w:p>
        </w:tc>
      </w:tr>
      <w:tr>
        <w:trPr/>
        <w:tc>
          <w:tcPr>
            <w:tcW w:w="2393" w:type="dxa"/>
            <w:tcBorders/>
            <w:shd w:fill="FFFFFF" w:val="clear"/>
            <w:vAlign w:val="center"/>
          </w:tcPr>
          <w:p>
            <w:pPr>
              <w:pStyle w:val="TableContents"/>
              <w:bidi w:val="0"/>
              <w:spacing w:before="0" w:after="283"/>
              <w:jc w:val="left"/>
              <w:rPr/>
            </w:pPr>
            <w:r>
              <w:rPr/>
              <w:t>Conversions — face amount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(1,455,000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(550,000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(456,982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(10,800,000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(13,261,982</w:t>
            </w:r>
          </w:p>
        </w:tc>
        <w:tc>
          <w:tcPr>
            <w:tcW w:w="115" w:type="dxa"/>
            <w:tcBorders/>
            <w:shd w:fill="FFFFFF" w:val="clear"/>
            <w:vAlign w:val="center"/>
          </w:tcPr>
          <w:p>
            <w:pPr>
              <w:pStyle w:val="TableContents"/>
              <w:bidi w:val="0"/>
              <w:spacing w:before="0" w:after="283"/>
              <w:jc w:val="left"/>
              <w:rPr/>
            </w:pPr>
            <w:r>
              <w:rPr/>
              <w:t>)</w:t>
            </w:r>
            <w:bookmarkStart w:id="608" w:name="xdx_408_ecustom--ConversionsIssuanceCost"/>
            <w:bookmarkEnd w:id="608"/>
          </w:p>
        </w:tc>
      </w:tr>
      <w:tr>
        <w:trPr/>
        <w:tc>
          <w:tcPr>
            <w:tcW w:w="2393" w:type="dxa"/>
            <w:tcBorders/>
            <w:shd w:fill="CCEEFF" w:val="clear"/>
            <w:vAlign w:val="center"/>
          </w:tcPr>
          <w:p>
            <w:pPr>
              <w:pStyle w:val="TableContents"/>
              <w:bidi w:val="0"/>
              <w:spacing w:before="0" w:after="283"/>
              <w:jc w:val="left"/>
              <w:rPr/>
            </w:pPr>
            <w:r>
              <w:rPr/>
              <w:t>Conversions — issuance costs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1,021,557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225,716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128,234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3,047,832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4,423,339</w:t>
            </w:r>
          </w:p>
        </w:tc>
        <w:tc>
          <w:tcPr>
            <w:tcW w:w="115" w:type="dxa"/>
            <w:tcBorders/>
            <w:shd w:fill="CCEEFF" w:val="clear"/>
            <w:vAlign w:val="center"/>
          </w:tcPr>
          <w:p>
            <w:pPr>
              <w:pStyle w:val="TableContents"/>
              <w:bidi w:val="0"/>
              <w:spacing w:before="0" w:after="283"/>
              <w:jc w:val="left"/>
              <w:rPr/>
            </w:pPr>
            <w:r>
              <w:rPr/>
              <w:t> </w:t>
            </w:r>
            <w:bookmarkStart w:id="609" w:name="xdx_402_ecustom--ConversionsUnamortizedD"/>
            <w:bookmarkEnd w:id="609"/>
          </w:p>
        </w:tc>
      </w:tr>
      <w:tr>
        <w:trPr/>
        <w:tc>
          <w:tcPr>
            <w:tcW w:w="2393" w:type="dxa"/>
            <w:tcBorders/>
            <w:shd w:fill="FFFFFF" w:val="clear"/>
            <w:vAlign w:val="center"/>
          </w:tcPr>
          <w:p>
            <w:pPr>
              <w:pStyle w:val="TableContents"/>
              <w:bidi w:val="0"/>
              <w:spacing w:before="0" w:after="283"/>
              <w:jc w:val="left"/>
              <w:rPr/>
            </w:pPr>
            <w:r>
              <w:rPr/>
              <w:t>Conversions — unamortized discount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8" w:space="0" w:color="000000"/>
            </w:tcBorders>
            <w:shd w:fill="FFFFFF" w:val="clear"/>
            <w:tcMar>
              <w:bottom w:w="28" w:type="dxa"/>
            </w:tcMar>
            <w:vAlign w:val="center"/>
          </w:tcPr>
          <w:p>
            <w:pPr>
              <w:pStyle w:val="TableContents"/>
              <w:bidi w:val="0"/>
              <w:spacing w:before="0" w:after="283"/>
              <w:jc w:val="right"/>
              <w:rPr/>
            </w:pPr>
            <w:r>
              <w:rPr/>
              <w:t>19,091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14,458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17,185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FFFFFF" w:val="clear"/>
            <w:tcMar>
              <w:bottom w:w="28" w:type="dxa"/>
            </w:tcMar>
            <w:vAlign w:val="center"/>
          </w:tcPr>
          <w:p>
            <w:pPr>
              <w:pStyle w:val="TableContents"/>
              <w:bidi w:val="0"/>
              <w:spacing w:before="0" w:after="283"/>
              <w:jc w:val="right"/>
              <w:rPr/>
            </w:pPr>
            <w:r>
              <w:rPr/>
              <w:t>300,244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350,978</w:t>
            </w:r>
          </w:p>
        </w:tc>
        <w:tc>
          <w:tcPr>
            <w:tcW w:w="115" w:type="dxa"/>
            <w:tcBorders/>
            <w:shd w:fill="FFFFFF" w:val="clear"/>
            <w:vAlign w:val="center"/>
          </w:tcPr>
          <w:p>
            <w:pPr>
              <w:pStyle w:val="TableContents"/>
              <w:bidi w:val="0"/>
              <w:spacing w:before="0" w:after="283"/>
              <w:jc w:val="left"/>
              <w:rPr/>
            </w:pPr>
            <w:r>
              <w:rPr/>
              <w:t> </w:t>
            </w:r>
            <w:bookmarkStart w:id="610" w:name="xdx_43A_c20260101__20260630_eus-gaap--Co"/>
            <w:bookmarkEnd w:id="610"/>
          </w:p>
        </w:tc>
      </w:tr>
      <w:tr>
        <w:trPr/>
        <w:tc>
          <w:tcPr>
            <w:tcW w:w="2393" w:type="dxa"/>
            <w:tcBorders/>
            <w:shd w:fill="CCEEFF" w:val="clear"/>
            <w:vAlign w:val="center"/>
          </w:tcPr>
          <w:p>
            <w:pPr>
              <w:pStyle w:val="TableContents"/>
              <w:bidi w:val="0"/>
              <w:spacing w:before="0" w:after="283"/>
              <w:jc w:val="left"/>
              <w:rPr/>
            </w:pPr>
            <w:r>
              <w:rPr/>
              <w:t>HOST CARRYING VALUE AT JUNE 30, 2026</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pPr>
            <w:r>
              <w:rPr/>
              <w:t>1,499,224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pPr>
            <w:r>
              <w:rPr/>
              <w:t>1,961,610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3,460,834</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11" w:name="xdx_8AB_zw8sFSTDshU9"/>
      <w:bookmarkEnd w:id="6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Convertible Notes Payable and Derivative Liabilities for details on accounting for the conversion of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summary of derivative liability activity during 2026, including amounts derecognized upon conversion, refer to NOTE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income and expenses related to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2" w:name="xdx_89A_ecustom--ScheduleOfOtherIncomeAn"/>
      <w:bookmarkEnd w:id="612"/>
      <w:r>
        <w:rPr>
          <w:rFonts w:ascii="Times New Roman;Times;Serif" w:hAnsi="Times New Roman;Times;Serif"/>
          <w:b w:val="false"/>
          <w:i w:val="false"/>
          <w:caps w:val="false"/>
          <w:smallCaps w:val="false"/>
          <w:sz w:val="20"/>
        </w:rPr>
        <w:t>Other income and expenses related to the convertible notes recognized during the three and six months ended June 30, 2026 consisted of the following, presented in the statement of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3" w:name="xdx_8BD_zqhHKLWhl53j"/>
      <w:bookmarkEnd w:id="613"/>
      <w:r>
        <w:rPr>
          <w:rFonts w:ascii="Times New Roman;Times;Serif" w:hAnsi="Times New Roman;Times;Serif"/>
          <w:b w:val="false"/>
          <w:i w:val="false"/>
          <w:caps w:val="false"/>
          <w:smallCaps w:val="false"/>
          <w:sz w:val="20"/>
        </w:rPr>
        <w:t>SCHEDULE OF OTHER INCOME AND EXPENSES RELATED TO THE CONVERTIBLE NOTES </w:t>
      </w:r>
    </w:p>
    <w:tbl>
      <w:tblPr>
        <w:tblW w:w="10205" w:type="dxa"/>
        <w:jc w:val="left"/>
        <w:tblInd w:w="0" w:type="dxa"/>
        <w:tblLayout w:type="fixed"/>
        <w:tblCellMar>
          <w:top w:w="0" w:type="dxa"/>
          <w:left w:w="0" w:type="dxa"/>
          <w:bottom w:w="0" w:type="dxa"/>
          <w:right w:w="0" w:type="dxa"/>
        </w:tblCellMar>
      </w:tblPr>
      <w:tblGrid>
        <w:gridCol w:w="4238"/>
        <w:gridCol w:w="60"/>
        <w:gridCol w:w="172"/>
        <w:gridCol w:w="1211"/>
        <w:gridCol w:w="60"/>
        <w:gridCol w:w="60"/>
        <w:gridCol w:w="108"/>
        <w:gridCol w:w="1237"/>
        <w:gridCol w:w="60"/>
        <w:gridCol w:w="60"/>
        <w:gridCol w:w="157"/>
        <w:gridCol w:w="1239"/>
        <w:gridCol w:w="60"/>
        <w:gridCol w:w="60"/>
        <w:gridCol w:w="108"/>
        <w:gridCol w:w="1237"/>
        <w:gridCol w:w="78"/>
      </w:tblGrid>
      <w:tr>
        <w:trPr/>
        <w:tc>
          <w:tcPr>
            <w:tcW w:w="423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14" w:name="xdx_492_20260401__20260630_zeElNLswqbO1"/>
            <w:bookmarkEnd w:id="614"/>
          </w:p>
        </w:tc>
        <w:tc>
          <w:tcPr>
            <w:tcW w:w="13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5" w:name="xdx_49C_20250401__20250630_z89SBtOZFAT6"/>
            <w:bookmarkEnd w:id="615"/>
          </w:p>
        </w:tc>
        <w:tc>
          <w:tcPr>
            <w:tcW w:w="13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6" w:name="xdx_498_20260101__20260630_zhVwupejokj5"/>
            <w:bookmarkEnd w:id="616"/>
          </w:p>
        </w:tc>
        <w:tc>
          <w:tcPr>
            <w:tcW w:w="1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7" w:name="xdx_494_20250101__20250630_zJRht92Qa0e4"/>
            <w:bookmarkEnd w:id="617"/>
          </w:p>
        </w:tc>
        <w:tc>
          <w:tcPr>
            <w:tcW w:w="13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8" w:type="dxa"/>
            <w:tcBorders/>
            <w:vAlign w:val="center"/>
          </w:tcPr>
          <w:p>
            <w:pPr>
              <w:pStyle w:val="TableContents"/>
              <w:bidi w:val="0"/>
              <w:spacing w:before="0" w:after="283"/>
              <w:jc w:val="left"/>
              <w:rPr/>
            </w:pPr>
            <w:r>
              <w:rPr/>
              <w:t> </w:t>
            </w:r>
          </w:p>
        </w:tc>
      </w:tr>
      <w:tr>
        <w:trPr/>
        <w:tc>
          <w:tcPr>
            <w:tcW w:w="423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3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6 Months Ended</w:t>
            </w:r>
          </w:p>
        </w:tc>
        <w:tc>
          <w:tcPr>
            <w:tcW w:w="78" w:type="dxa"/>
            <w:tcBorders/>
            <w:vAlign w:val="center"/>
          </w:tcPr>
          <w:p>
            <w:pPr>
              <w:pStyle w:val="TableContents"/>
              <w:bidi w:val="0"/>
              <w:spacing w:before="0" w:after="283"/>
              <w:jc w:val="left"/>
              <w:rPr/>
            </w:pPr>
            <w:r>
              <w:rPr/>
              <w:t> </w:t>
            </w:r>
          </w:p>
        </w:tc>
      </w:tr>
      <w:tr>
        <w:trPr/>
        <w:tc>
          <w:tcPr>
            <w:tcW w:w="423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8" w:type="dxa"/>
            <w:tcBorders/>
            <w:vAlign w:val="center"/>
          </w:tcPr>
          <w:p>
            <w:pPr>
              <w:pStyle w:val="TableContents"/>
              <w:bidi w:val="0"/>
              <w:spacing w:before="0" w:after="283"/>
              <w:jc w:val="left"/>
              <w:rPr/>
            </w:pPr>
            <w:r>
              <w:rPr/>
              <w:t> </w:t>
            </w:r>
            <w:bookmarkStart w:id="618" w:name="xdx_409_eus-gaap--DebtInstrumentIncrease"/>
            <w:bookmarkEnd w:id="618"/>
          </w:p>
        </w:tc>
      </w:tr>
      <w:tr>
        <w:trPr/>
        <w:tc>
          <w:tcPr>
            <w:tcW w:w="4238" w:type="dxa"/>
            <w:tcBorders/>
            <w:shd w:fill="CCEEFF" w:val="clear"/>
            <w:vAlign w:val="center"/>
          </w:tcPr>
          <w:p>
            <w:pPr>
              <w:pStyle w:val="TableContents"/>
              <w:bidi w:val="0"/>
              <w:spacing w:before="0" w:after="283"/>
              <w:jc w:val="both"/>
              <w:rPr/>
            </w:pPr>
            <w:r>
              <w:rPr/>
              <w:t xml:space="preserve">Stated interest at </w:t>
            </w:r>
            <w:bookmarkStart w:id="619" w:name="xdx_908_eus-gaap--DebtInstrumentInterest"/>
            <w:bookmarkEnd w:id="619"/>
            <w:r>
              <w:rPr/>
              <w:t>8% per annum</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133,074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372,940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620" w:name="xdx_403_ecustom--AccretionOfDebtDiscount"/>
            <w:bookmarkEnd w:id="620"/>
          </w:p>
        </w:tc>
      </w:tr>
      <w:tr>
        <w:trPr/>
        <w:tc>
          <w:tcPr>
            <w:tcW w:w="4238" w:type="dxa"/>
            <w:tcBorders/>
            <w:shd w:fill="FFFFFF" w:val="clear"/>
            <w:vAlign w:val="center"/>
          </w:tcPr>
          <w:p>
            <w:pPr>
              <w:pStyle w:val="TableContents"/>
              <w:bidi w:val="0"/>
              <w:spacing w:before="0" w:after="283"/>
              <w:jc w:val="both"/>
              <w:rPr/>
            </w:pPr>
            <w:r>
              <w:rPr/>
              <w:t>Accretion of debt discount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128,946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27,738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379,915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27,738</w:t>
            </w:r>
          </w:p>
        </w:tc>
        <w:tc>
          <w:tcPr>
            <w:tcW w:w="78" w:type="dxa"/>
            <w:tcBorders/>
            <w:shd w:fill="FFFFFF" w:val="clear"/>
            <w:vAlign w:val="center"/>
          </w:tcPr>
          <w:p>
            <w:pPr>
              <w:pStyle w:val="TableContents"/>
              <w:bidi w:val="0"/>
              <w:spacing w:before="0" w:after="283"/>
              <w:jc w:val="left"/>
              <w:rPr/>
            </w:pPr>
            <w:r>
              <w:rPr/>
              <w:t> </w:t>
            </w:r>
            <w:bookmarkStart w:id="621" w:name="xdx_402_ecustom--AccretionOfDebtIssuance"/>
            <w:bookmarkEnd w:id="621"/>
          </w:p>
        </w:tc>
      </w:tr>
      <w:tr>
        <w:trPr/>
        <w:tc>
          <w:tcPr>
            <w:tcW w:w="4238" w:type="dxa"/>
            <w:tcBorders/>
            <w:shd w:fill="CCEEFF" w:val="clear"/>
            <w:vAlign w:val="center"/>
          </w:tcPr>
          <w:p>
            <w:pPr>
              <w:pStyle w:val="TableContents"/>
              <w:bidi w:val="0"/>
              <w:spacing w:before="0" w:after="283"/>
              <w:jc w:val="both"/>
              <w:rPr/>
            </w:pPr>
            <w:r>
              <w:rPr/>
              <w:t>Accretion of debt issuance costs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14,908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41,527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1,856</w:t>
            </w:r>
          </w:p>
        </w:tc>
        <w:tc>
          <w:tcPr>
            <w:tcW w:w="78" w:type="dxa"/>
            <w:tcBorders/>
            <w:shd w:fill="CCEEFF" w:val="clear"/>
            <w:vAlign w:val="center"/>
          </w:tcPr>
          <w:p>
            <w:pPr>
              <w:pStyle w:val="TableContents"/>
              <w:bidi w:val="0"/>
              <w:spacing w:before="0" w:after="283"/>
              <w:jc w:val="left"/>
              <w:rPr/>
            </w:pPr>
            <w:r>
              <w:rPr/>
              <w:t> </w:t>
            </w:r>
            <w:bookmarkStart w:id="622" w:name="xdx_40B_ecustom--LossOnConversionOfConve"/>
            <w:bookmarkEnd w:id="622"/>
          </w:p>
        </w:tc>
      </w:tr>
      <w:tr>
        <w:trPr/>
        <w:tc>
          <w:tcPr>
            <w:tcW w:w="4238" w:type="dxa"/>
            <w:tcBorders/>
            <w:shd w:fill="FFFFFF" w:val="clear"/>
            <w:vAlign w:val="center"/>
          </w:tcPr>
          <w:p>
            <w:pPr>
              <w:pStyle w:val="TableContents"/>
              <w:bidi w:val="0"/>
              <w:spacing w:before="0" w:after="283"/>
              <w:jc w:val="both"/>
              <w:rPr/>
            </w:pPr>
            <w:r>
              <w:rPr/>
              <w:t>Loss on conversion of convertible notes payable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9,696,797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12,042,410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23" w:name="xdx_8A3_zRGl2ulfPTEg"/>
      <w:bookmarkEnd w:id="623"/>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4" w:name="xdx_808_eus-gaap--DebtDisclosureTextBloc"/>
      <w:bookmarkEnd w:id="624"/>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11 - </w:t>
      </w:r>
      <w:bookmarkStart w:id="625" w:name="xdx_827_zYQXDnzW0od7"/>
      <w:bookmarkEnd w:id="625"/>
      <w:r>
        <w:rPr>
          <w:rFonts w:ascii="Times New Roman;Times;Serif" w:hAnsi="Times New Roman;Times;Serif"/>
          <w:b/>
          <w:i w:val="false"/>
          <w:caps w:val="false"/>
          <w:smallCaps w:val="false"/>
          <w:sz w:val="20"/>
        </w:rPr>
        <w:t>NOTES PAYABLE</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626" w:name="xdx_89A_eus-gaap--ScheduleOfDebtTableTex"/>
      <w:bookmarkEnd w:id="626"/>
      <w:r>
        <w:rPr>
          <w:rFonts w:ascii="Times New Roman;Times;Serif" w:hAnsi="Times New Roman;Times;Serif"/>
          <w:b w:val="false"/>
          <w:i w:val="false"/>
          <w:caps w:val="false"/>
          <w:smallCaps w:val="false"/>
          <w:sz w:val="20"/>
        </w:rPr>
        <w:t>Notes payable consists of the following:</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627" w:name="xdx_8B4_zvThP0eySkzl"/>
      <w:bookmarkEnd w:id="627"/>
      <w:r>
        <w:rPr>
          <w:rFonts w:ascii="Times New Roman;Times;Serif" w:hAnsi="Times New Roman;Times;Serif"/>
          <w:b w:val="false"/>
          <w:i w:val="false"/>
          <w:caps w:val="false"/>
          <w:smallCaps w:val="false"/>
          <w:sz w:val="20"/>
        </w:rPr>
        <w:t>SCHEDULE OF NOTES PAYABLE </w:t>
      </w:r>
    </w:p>
    <w:tbl>
      <w:tblPr>
        <w:tblW w:w="10205" w:type="dxa"/>
        <w:jc w:val="left"/>
        <w:tblInd w:w="0" w:type="dxa"/>
        <w:tblLayout w:type="fixed"/>
        <w:tblCellMar>
          <w:top w:w="0" w:type="dxa"/>
          <w:left w:w="0" w:type="dxa"/>
          <w:bottom w:w="0" w:type="dxa"/>
          <w:right w:w="0" w:type="dxa"/>
        </w:tblCellMar>
      </w:tblPr>
      <w:tblGrid>
        <w:gridCol w:w="7799"/>
        <w:gridCol w:w="60"/>
        <w:gridCol w:w="140"/>
        <w:gridCol w:w="755"/>
        <w:gridCol w:w="95"/>
        <w:gridCol w:w="60"/>
        <w:gridCol w:w="202"/>
        <w:gridCol w:w="983"/>
        <w:gridCol w:w="111"/>
      </w:tblGrid>
      <w:tr>
        <w:trPr/>
        <w:tc>
          <w:tcPr>
            <w:tcW w:w="7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8" w:name="xdx_49A_20260630_zBelN6nNh1Vg"/>
            <w:bookmarkEnd w:id="628"/>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9" w:name="xdx_496_20251231_zC5bDxQby6tj"/>
            <w:bookmarkEnd w:id="629"/>
          </w:p>
        </w:tc>
        <w:tc>
          <w:tcPr>
            <w:tcW w:w="11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7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bookmarkStart w:id="630" w:name="xdx_401_eus-gaap--NotesPayable_iI_hus-ga"/>
            <w:bookmarkEnd w:id="630"/>
          </w:p>
        </w:tc>
      </w:tr>
      <w:tr>
        <w:trPr/>
        <w:tc>
          <w:tcPr>
            <w:tcW w:w="7799" w:type="dxa"/>
            <w:tcBorders/>
            <w:shd w:fill="CCEEFF" w:val="clear"/>
            <w:vAlign w:val="center"/>
          </w:tcPr>
          <w:p>
            <w:pPr>
              <w:pStyle w:val="TableContents"/>
              <w:bidi w:val="0"/>
              <w:spacing w:before="0" w:after="283"/>
              <w:jc w:val="left"/>
              <w:rPr/>
            </w:pPr>
            <w:r>
              <w:rPr/>
              <w:t>Vehicle note payable for $</w:t>
            </w:r>
            <w:bookmarkStart w:id="631" w:name="xdx_904_ecustom--VehicleNotePayable_iI_c"/>
            <w:bookmarkEnd w:id="631"/>
            <w:r>
              <w:rPr/>
              <w:t>40,248 with monthly installment payments of $</w:t>
            </w:r>
            <w:bookmarkStart w:id="632" w:name="xdx_908_eus-gaap--DebtInstrumentPeriodic"/>
            <w:bookmarkEnd w:id="632"/>
            <w:r>
              <w:rPr/>
              <w:t xml:space="preserve">799, including interest at </w:t>
            </w:r>
            <w:bookmarkStart w:id="633" w:name="xdx_909_eus-gaap--DebtInstrumentInterest"/>
            <w:bookmarkEnd w:id="633"/>
            <w:r>
              <w:rPr/>
              <w:t xml:space="preserve">6.99% per annum. The loan is collateralized by the respective vehicle and is </w:t>
            </w:r>
            <w:bookmarkStart w:id="634" w:name="xdx_902_eus-gaap--DebtInstrumentMaturity"/>
            <w:bookmarkEnd w:id="634"/>
            <w:r>
              <w:rPr/>
              <w:t>due in February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3" w:type="dxa"/>
            <w:tcBorders/>
            <w:shd w:fill="CCEEFF" w:val="clear"/>
            <w:vAlign w:val="center"/>
          </w:tcPr>
          <w:p>
            <w:pPr>
              <w:pStyle w:val="TableContents"/>
              <w:bidi w:val="0"/>
              <w:spacing w:before="0" w:after="283"/>
              <w:jc w:val="right"/>
              <w:rPr/>
            </w:pPr>
            <w:r>
              <w:rPr/>
              <w:t>10,558</w:t>
            </w:r>
          </w:p>
        </w:tc>
        <w:tc>
          <w:tcPr>
            <w:tcW w:w="111" w:type="dxa"/>
            <w:tcBorders/>
            <w:shd w:fill="CCEEFF" w:val="clear"/>
            <w:vAlign w:val="center"/>
          </w:tcPr>
          <w:p>
            <w:pPr>
              <w:pStyle w:val="TableContents"/>
              <w:bidi w:val="0"/>
              <w:spacing w:before="0" w:after="283"/>
              <w:jc w:val="left"/>
              <w:rPr/>
            </w:pPr>
            <w:r>
              <w:rPr/>
              <w:t> </w:t>
            </w:r>
            <w:bookmarkStart w:id="635" w:name="xdx_408_eus-gaap--NotesPayable_iI_hus-ga"/>
            <w:bookmarkEnd w:id="635"/>
          </w:p>
        </w:tc>
      </w:tr>
      <w:tr>
        <w:trPr/>
        <w:tc>
          <w:tcPr>
            <w:tcW w:w="7799" w:type="dxa"/>
            <w:tcBorders/>
            <w:shd w:fill="FFFFFF" w:val="clear"/>
            <w:vAlign w:val="center"/>
          </w:tcPr>
          <w:p>
            <w:pPr>
              <w:pStyle w:val="TableContents"/>
              <w:bidi w:val="0"/>
              <w:spacing w:before="0" w:after="283"/>
              <w:jc w:val="left"/>
              <w:rPr/>
            </w:pPr>
            <w:r>
              <w:rPr/>
              <w:t>Equipment note payable for $</w:t>
            </w:r>
            <w:bookmarkStart w:id="636" w:name="xdx_900_ecustom--EquipmentNotePayable_iI"/>
            <w:bookmarkEnd w:id="636"/>
            <w:r>
              <w:rPr/>
              <w:t>40,579 with monthly installment payments of $</w:t>
            </w:r>
            <w:bookmarkStart w:id="637" w:name="xdx_90A_eus-gaap--DebtInstrumentPeriodic"/>
            <w:bookmarkEnd w:id="637"/>
            <w:r>
              <w:rPr/>
              <w:t xml:space="preserve">880, including interest at </w:t>
            </w:r>
            <w:bookmarkStart w:id="638" w:name="xdx_90B_eus-gaap--DebtInstrumentInterest"/>
            <w:bookmarkEnd w:id="638"/>
            <w:r>
              <w:rPr/>
              <w:t xml:space="preserve">1.99% per annum. The loan is collateralized by the respective equipment and is </w:t>
            </w:r>
            <w:bookmarkStart w:id="639" w:name="xdx_907_eus-gaap--DebtInstrumentMaturity"/>
            <w:bookmarkEnd w:id="639"/>
            <w:r>
              <w:rPr/>
              <w:t>due in July, 2030.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640" w:name="xdx_400_eus-gaap--NotesPayable_iI_hus-ga"/>
            <w:bookmarkEnd w:id="640"/>
          </w:p>
        </w:tc>
      </w:tr>
      <w:tr>
        <w:trPr/>
        <w:tc>
          <w:tcPr>
            <w:tcW w:w="7799" w:type="dxa"/>
            <w:tcBorders/>
            <w:shd w:fill="FFFFFF" w:val="clear"/>
            <w:vAlign w:val="center"/>
          </w:tcPr>
          <w:p>
            <w:pPr>
              <w:pStyle w:val="TableContents"/>
              <w:bidi w:val="0"/>
              <w:spacing w:before="0" w:after="283"/>
              <w:jc w:val="left"/>
              <w:rPr/>
            </w:pPr>
            <w:r>
              <w:rPr/>
              <w:t>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641" w:name="xdx_405_eus-gaap--NotesPayableCurrent_iN"/>
            <w:bookmarkEnd w:id="641"/>
          </w:p>
        </w:tc>
      </w:tr>
      <w:tr>
        <w:trPr/>
        <w:tc>
          <w:tcPr>
            <w:tcW w:w="7799"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(15,088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pPr>
            <w:r>
              <w:rPr/>
              <w:t>(9,140</w:t>
            </w:r>
          </w:p>
        </w:tc>
        <w:tc>
          <w:tcPr>
            <w:tcW w:w="111" w:type="dxa"/>
            <w:tcBorders/>
            <w:shd w:fill="CCEEFF" w:val="clear"/>
            <w:vAlign w:val="center"/>
          </w:tcPr>
          <w:p>
            <w:pPr>
              <w:pStyle w:val="TableContents"/>
              <w:bidi w:val="0"/>
              <w:spacing w:before="0" w:after="283"/>
              <w:jc w:val="left"/>
              <w:rPr/>
            </w:pPr>
            <w:r>
              <w:rPr/>
              <w:t>)</w:t>
            </w:r>
            <w:bookmarkStart w:id="642" w:name="xdx_40D_eus-gaap--LongTermNotesPayable_i"/>
            <w:bookmarkEnd w:id="642"/>
          </w:p>
        </w:tc>
      </w:tr>
      <w:tr>
        <w:trPr/>
        <w:tc>
          <w:tcPr>
            <w:tcW w:w="7799" w:type="dxa"/>
            <w:tcBorders/>
            <w:shd w:fill="FFFFFF" w:val="clear"/>
            <w:vAlign w:val="center"/>
          </w:tcPr>
          <w:p>
            <w:pPr>
              <w:pStyle w:val="TableContents"/>
              <w:bidi w:val="0"/>
              <w:spacing w:before="0" w:after="283"/>
              <w:jc w:val="left"/>
              <w:rPr/>
            </w:pPr>
            <w:r>
              <w:rPr/>
              <w:t>LONG-TERM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31,563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jc w:val="right"/>
              <w:rPr/>
            </w:pPr>
            <w:r>
              <w:rPr/>
              <w:t>1,418</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76" w:right="0" w:hanging="576"/>
        <w:jc w:val="both"/>
        <w:rPr>
          <w:caps w:val="false"/>
          <w:smallCaps w:val="false"/>
        </w:rPr>
      </w:pPr>
      <w:bookmarkStart w:id="643" w:name="xdx_8A5_zZjgVlJmXjIi"/>
      <w:bookmarkEnd w:id="643"/>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644" w:name="xdx_89D_eus-gaap--ScheduleOfMaturitiesOf"/>
      <w:bookmarkEnd w:id="644"/>
      <w:r>
        <w:rPr>
          <w:rFonts w:ascii="Times New Roman;Times;Serif" w:hAnsi="Times New Roman;Times;Serif"/>
          <w:b w:val="false"/>
          <w:i w:val="false"/>
          <w:caps w:val="false"/>
          <w:smallCaps w:val="false"/>
          <w:sz w:val="20"/>
        </w:rPr>
        <w:t>At June 30, 2026 aggregate future principal payments on the notes payable are as follows:</w:t>
      </w:r>
    </w:p>
    <w:p>
      <w:pPr>
        <w:pStyle w:val="TextBody"/>
        <w:bidi w:val="0"/>
        <w:spacing w:before="0" w:after="0"/>
        <w:ind w:left="576" w:right="0" w:hanging="576"/>
        <w:jc w:val="both"/>
        <w:rPr>
          <w:caps w:val="false"/>
          <w:smallCaps w:val="false"/>
        </w:rPr>
      </w:pPr>
      <w:r>
        <w:rPr>
          <w:caps w:val="false"/>
          <w:smallCaps w:val="false"/>
        </w:rPr>
        <w:t> </w:t>
      </w:r>
      <w:bookmarkStart w:id="645" w:name="xdx_8BE_zX8oY7ybnIqk"/>
      <w:bookmarkEnd w:id="645"/>
      <w:r>
        <w:rPr>
          <w:rFonts w:ascii="Times New Roman;Times;Serif" w:hAnsi="Times New Roman;Times;Serif"/>
          <w:b w:val="false"/>
          <w:i w:val="false"/>
          <w:caps w:val="false"/>
          <w:smallCaps w:val="false"/>
          <w:sz w:val="20"/>
        </w:rPr>
        <w:t>SCHEDULE OF MATURITIES OF LONG-TERM DEBT</w:t>
      </w:r>
    </w:p>
    <w:tbl>
      <w:tblPr>
        <w:tblW w:w="1800" w:type="dxa"/>
        <w:jc w:val="left"/>
        <w:tblInd w:w="0" w:type="dxa"/>
        <w:tblLayout w:type="fixed"/>
        <w:tblCellMar>
          <w:top w:w="0" w:type="dxa"/>
          <w:left w:w="0" w:type="dxa"/>
          <w:bottom w:w="0" w:type="dxa"/>
          <w:right w:w="0" w:type="dxa"/>
        </w:tblCellMar>
      </w:tblPr>
      <w:tblGrid>
        <w:gridCol w:w="845"/>
        <w:gridCol w:w="60"/>
        <w:gridCol w:w="140"/>
        <w:gridCol w:w="680"/>
        <w:gridCol w:w="75"/>
      </w:tblGrid>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46" w:name="xdx_491_20260630_zETDxBs9JiQ7"/>
            <w:bookmarkEnd w:id="646"/>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47" w:name="xdx_40C_eus-gaap--LongTermDebtMaturities"/>
            <w:bookmarkEnd w:id="647"/>
          </w:p>
        </w:tc>
      </w:tr>
      <w:tr>
        <w:trPr/>
        <w:tc>
          <w:tcPr>
            <w:tcW w:w="84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8,727</w:t>
            </w:r>
          </w:p>
        </w:tc>
        <w:tc>
          <w:tcPr>
            <w:tcW w:w="75" w:type="dxa"/>
            <w:tcBorders/>
            <w:shd w:fill="CCEEFF" w:val="clear"/>
            <w:vAlign w:val="center"/>
          </w:tcPr>
          <w:p>
            <w:pPr>
              <w:pStyle w:val="TableContents"/>
              <w:bidi w:val="0"/>
              <w:spacing w:before="0" w:after="283"/>
              <w:jc w:val="left"/>
              <w:rPr/>
            </w:pPr>
            <w:r>
              <w:rPr/>
              <w:t> </w:t>
            </w:r>
            <w:bookmarkStart w:id="648" w:name="xdx_40C_eus-gaap--LongTermDebtMaturities"/>
            <w:bookmarkEnd w:id="648"/>
          </w:p>
        </w:tc>
      </w:tr>
      <w:tr>
        <w:trPr/>
        <w:tc>
          <w:tcPr>
            <w:tcW w:w="84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11,348</w:t>
            </w:r>
          </w:p>
        </w:tc>
        <w:tc>
          <w:tcPr>
            <w:tcW w:w="75" w:type="dxa"/>
            <w:tcBorders/>
            <w:shd w:fill="FFFFFF" w:val="clear"/>
            <w:vAlign w:val="center"/>
          </w:tcPr>
          <w:p>
            <w:pPr>
              <w:pStyle w:val="TableContents"/>
              <w:bidi w:val="0"/>
              <w:spacing w:before="0" w:after="283"/>
              <w:jc w:val="left"/>
              <w:rPr/>
            </w:pPr>
            <w:r>
              <w:rPr/>
              <w:t> </w:t>
            </w:r>
            <w:bookmarkStart w:id="649" w:name="xdx_40A_eus-gaap--LongTermDebtMaturities"/>
            <w:bookmarkEnd w:id="649"/>
          </w:p>
        </w:tc>
      </w:tr>
      <w:tr>
        <w:trPr/>
        <w:tc>
          <w:tcPr>
            <w:tcW w:w="84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10,126</w:t>
            </w:r>
          </w:p>
        </w:tc>
        <w:tc>
          <w:tcPr>
            <w:tcW w:w="75" w:type="dxa"/>
            <w:tcBorders/>
            <w:shd w:fill="CCEEFF" w:val="clear"/>
            <w:vAlign w:val="center"/>
          </w:tcPr>
          <w:p>
            <w:pPr>
              <w:pStyle w:val="TableContents"/>
              <w:bidi w:val="0"/>
              <w:spacing w:before="0" w:after="283"/>
              <w:jc w:val="left"/>
              <w:rPr/>
            </w:pPr>
            <w:r>
              <w:rPr/>
              <w:t> </w:t>
            </w:r>
            <w:bookmarkStart w:id="650" w:name="xdx_401_eus-gaap--LongTermDebtMaturities"/>
            <w:bookmarkEnd w:id="650"/>
          </w:p>
        </w:tc>
      </w:tr>
      <w:tr>
        <w:trPr/>
        <w:tc>
          <w:tcPr>
            <w:tcW w:w="84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10,329</w:t>
            </w:r>
          </w:p>
        </w:tc>
        <w:tc>
          <w:tcPr>
            <w:tcW w:w="75" w:type="dxa"/>
            <w:tcBorders/>
            <w:shd w:fill="FFFFFF" w:val="clear"/>
            <w:vAlign w:val="center"/>
          </w:tcPr>
          <w:p>
            <w:pPr>
              <w:pStyle w:val="TableContents"/>
              <w:bidi w:val="0"/>
              <w:spacing w:before="0" w:after="283"/>
              <w:jc w:val="left"/>
              <w:rPr/>
            </w:pPr>
            <w:r>
              <w:rPr/>
              <w:t> </w:t>
            </w:r>
            <w:bookmarkStart w:id="651" w:name="xdx_408_eus-gaap--LongTermDebtMaturities"/>
            <w:bookmarkEnd w:id="651"/>
          </w:p>
        </w:tc>
      </w:tr>
      <w:tr>
        <w:trPr/>
        <w:tc>
          <w:tcPr>
            <w:tcW w:w="84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6,121</w:t>
            </w:r>
          </w:p>
        </w:tc>
        <w:tc>
          <w:tcPr>
            <w:tcW w:w="75" w:type="dxa"/>
            <w:tcBorders/>
            <w:shd w:fill="CCEEFF" w:val="clear"/>
            <w:vAlign w:val="center"/>
          </w:tcPr>
          <w:p>
            <w:pPr>
              <w:pStyle w:val="TableContents"/>
              <w:bidi w:val="0"/>
              <w:spacing w:before="0" w:after="283"/>
              <w:jc w:val="left"/>
              <w:rPr/>
            </w:pPr>
            <w:r>
              <w:rPr/>
              <w:t> </w:t>
            </w:r>
            <w:bookmarkStart w:id="652" w:name="xdx_409_eus-gaap--NotesPayable_iTI_mtNPz"/>
            <w:bookmarkEnd w:id="652"/>
          </w:p>
        </w:tc>
      </w:tr>
      <w:tr>
        <w:trPr/>
        <w:tc>
          <w:tcPr>
            <w:tcW w:w="84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46,651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3" w:name="xdx_8AC_z6SkBMGhmscf"/>
      <w:bookmarkEnd w:id="65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notes payable for the three and six months ended June 30, 2026 and 2025, was $</w:t>
      </w:r>
      <w:bookmarkStart w:id="654" w:name="xdx_904_eus-gaap--InterestExpenseLongTer"/>
      <w:bookmarkEnd w:id="654"/>
      <w:r>
        <w:rPr>
          <w:rFonts w:ascii="Times New Roman;Times;Serif" w:hAnsi="Times New Roman;Times;Serif"/>
          <w:b w:val="false"/>
          <w:i w:val="false"/>
          <w:caps w:val="false"/>
          <w:smallCaps w:val="false"/>
          <w:sz w:val="20"/>
        </w:rPr>
        <w:t>132 and $</w:t>
      </w:r>
      <w:bookmarkStart w:id="655" w:name="xdx_900_eus-gaap--InterestExpenseLongTer"/>
      <w:bookmarkEnd w:id="655"/>
      <w:r>
        <w:rPr>
          <w:rFonts w:ascii="Times New Roman;Times;Serif" w:hAnsi="Times New Roman;Times;Serif"/>
          <w:b w:val="false"/>
          <w:i w:val="false"/>
          <w:caps w:val="false"/>
          <w:smallCaps w:val="false"/>
          <w:sz w:val="20"/>
        </w:rPr>
        <w:t>304, and $</w:t>
      </w:r>
      <w:bookmarkStart w:id="656" w:name="xdx_900_eus-gaap--InterestExpenseLongTer"/>
      <w:bookmarkEnd w:id="656"/>
      <w:r>
        <w:rPr>
          <w:rFonts w:ascii="Times New Roman;Times;Serif" w:hAnsi="Times New Roman;Times;Serif"/>
          <w:b w:val="false"/>
          <w:i w:val="false"/>
          <w:caps w:val="false"/>
          <w:smallCaps w:val="false"/>
          <w:sz w:val="20"/>
        </w:rPr>
        <w:t>285 and $</w:t>
      </w:r>
      <w:bookmarkStart w:id="657" w:name="xdx_90C_eus-gaap--InterestExpenseLongTer"/>
      <w:bookmarkEnd w:id="657"/>
      <w:r>
        <w:rPr>
          <w:rFonts w:ascii="Times New Roman;Times;Serif" w:hAnsi="Times New Roman;Times;Serif"/>
          <w:b w:val="false"/>
          <w:i w:val="false"/>
          <w:caps w:val="false"/>
          <w:smallCaps w:val="false"/>
          <w:sz w:val="20"/>
        </w:rPr>
        <w:t>607,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8" w:name="xdx_806_eus-gaap--RelatedPartyTransactio"/>
      <w:bookmarkEnd w:id="658"/>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12 - </w:t>
      </w:r>
      <w:bookmarkStart w:id="659" w:name="xdx_823_zhViGXEKOnFj"/>
      <w:bookmarkEnd w:id="659"/>
      <w:r>
        <w:rPr>
          <w:rFonts w:ascii="Times New Roman;Times;Serif" w:hAnsi="Times New Roman;Times;Serif"/>
          <w:b/>
          <w:i w:val="false"/>
          <w:caps w:val="false"/>
          <w:smallCaps w:val="false"/>
          <w:sz w:val="20"/>
        </w:rPr>
        <w:t>RELATED-PARTY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2020, the Company entered into an initial three-year agreement with the Company’s Chief Executive Officer, Daniel O’Toole, for the use of a patent. Beginning June 1, 2020, the Company began paying Mr. O’Toole a monthly license fee of $</w:t>
      </w:r>
      <w:bookmarkStart w:id="660" w:name="xdx_908_ecustom--PaymentForLicenseFees_c"/>
      <w:bookmarkEnd w:id="660"/>
      <w:r>
        <w:rPr>
          <w:rFonts w:ascii="Times New Roman;Times;Serif" w:hAnsi="Times New Roman;Times;Serif"/>
          <w:b w:val="false"/>
          <w:i w:val="false"/>
          <w:caps w:val="false"/>
          <w:smallCaps w:val="false"/>
          <w:sz w:val="20"/>
        </w:rPr>
        <w:t>10,000. Once revenue from sales, rentals, and leases begins, the Company is required to pay $</w:t>
      </w:r>
      <w:bookmarkStart w:id="661" w:name="xdx_905_ecustom--ContractualPaymentPerUn"/>
      <w:bookmarkEnd w:id="661"/>
      <w:r>
        <w:rPr>
          <w:rFonts w:ascii="Times New Roman;Times;Serif" w:hAnsi="Times New Roman;Times;Serif"/>
          <w:b w:val="false"/>
          <w:i w:val="false"/>
          <w:caps w:val="false"/>
          <w:smallCaps w:val="false"/>
          <w:sz w:val="20"/>
        </w:rPr>
        <w:t xml:space="preserve">25.00 per unit sold. </w:t>
      </w:r>
      <w:bookmarkStart w:id="662" w:name="xdx_90D_eus-gaap--RelatedPartyTransactio"/>
      <w:bookmarkEnd w:id="662"/>
      <w:r>
        <w:rPr>
          <w:rFonts w:ascii="Times New Roman;Times;Serif" w:hAnsi="Times New Roman;Times;Serif"/>
          <w:b w:val="false"/>
          <w:i w:val="false"/>
          <w:caps w:val="false"/>
          <w:smallCaps w:val="false"/>
          <w:sz w:val="20"/>
        </w:rPr>
        <w:t>If the Company does not sell 400 units per month (or $10,000), the original fixed $10,000 is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the Company entered into the second amendment to the Exclusive Patent License Agreement of May 26, 2020. The Second Amendment extends the license to perpetuity, covering the full term and life of the patents, and provides for cure provisions in the event of default. The Second Amendment also removes prior restrictions on the Company’s use, sale, or commercialization of the technology after termination, permitting the sale of remaining inventory for up to 90 days post-termination, provided all required reports and payments are made under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 the Company recorded licensing fee costs in the amount of $</w:t>
      </w:r>
      <w:bookmarkStart w:id="663" w:name="xdx_903_ecustom--LicensingFeeCosts_c2025"/>
      <w:bookmarkStart w:id="664" w:name="xdx_907_ecustom--LicensingFeeCosts_c2026"/>
      <w:bookmarkEnd w:id="663"/>
      <w:bookmarkEnd w:id="664"/>
      <w:r>
        <w:rPr>
          <w:rFonts w:ascii="Times New Roman;Times;Serif" w:hAnsi="Times New Roman;Times;Serif"/>
          <w:b w:val="false"/>
          <w:i w:val="false"/>
          <w:caps w:val="false"/>
          <w:smallCaps w:val="false"/>
          <w:sz w:val="20"/>
        </w:rPr>
        <w:t>30,000 for each of the three months ended and $</w:t>
      </w:r>
      <w:bookmarkStart w:id="665" w:name="xdx_907_ecustom--LicensingFeeCosts_c2025"/>
      <w:bookmarkStart w:id="666" w:name="xdx_90A_ecustom--LicensingFeeCosts_c2026"/>
      <w:bookmarkEnd w:id="665"/>
      <w:bookmarkEnd w:id="666"/>
      <w:r>
        <w:rPr>
          <w:rFonts w:ascii="Times New Roman;Times;Serif" w:hAnsi="Times New Roman;Times;Serif"/>
          <w:b w:val="false"/>
          <w:i w:val="false"/>
          <w:caps w:val="false"/>
          <w:smallCaps w:val="false"/>
          <w:sz w:val="20"/>
        </w:rPr>
        <w:t>60,000 for each of the six months ended,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October 1, 2025, the Company entered into a noncancelable lease for an office space with an entity owned by the Company’s Chief Executive Officer and principal shareholder. The lease terms are described in </w:t>
      </w:r>
      <w:r>
        <w:rPr>
          <w:rFonts w:ascii="Times New Roman;Times;Serif" w:hAnsi="Times New Roman;Times;Serif"/>
          <w:b w:val="false"/>
          <w:i w:val="false"/>
          <w:caps/>
          <w:sz w:val="20"/>
        </w:rPr>
        <w:t>NOTE</w:t>
      </w:r>
      <w:r>
        <w:rPr>
          <w:rFonts w:ascii="Times New Roman;Times;Serif" w:hAnsi="Times New Roman;Times;Serif"/>
          <w:b w:val="false"/>
          <w:i w:val="false"/>
          <w:caps w:val="false"/>
          <w:smallCaps w:val="false"/>
          <w:sz w:val="20"/>
        </w:rPr>
        <w:t xml:space="preserve"> 7 and were evaluated for reasonableness using prevailing market rates for similar properties.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7" w:name="xdx_801_eus-gaap--StockholdersEquityNote"/>
      <w:bookmarkEnd w:id="667"/>
      <w:r>
        <w:rPr>
          <w:rFonts w:ascii="Times New Roman;Times;Serif" w:hAnsi="Times New Roman;Times;Serif"/>
          <w:b/>
          <w:i w:val="false"/>
          <w:caps w:val="false"/>
          <w:smallCaps w:val="false"/>
          <w:sz w:val="20"/>
        </w:rPr>
        <w:t xml:space="preserve">NOTE 13 - </w:t>
      </w:r>
      <w:bookmarkStart w:id="668" w:name="xdx_824_zWCMPcHyThU2"/>
      <w:bookmarkEnd w:id="668"/>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issued in the aggregate </w:t>
      </w:r>
      <w:bookmarkStart w:id="669" w:name="xdx_908_eus-gaap--StockIssuedDuringPerio"/>
      <w:bookmarkEnd w:id="669"/>
      <w:r>
        <w:rPr>
          <w:rFonts w:ascii="Times New Roman;Times;Serif" w:hAnsi="Times New Roman;Times;Serif"/>
          <w:b w:val="false"/>
          <w:i w:val="false"/>
          <w:caps w:val="false"/>
          <w:smallCaps w:val="false"/>
          <w:sz w:val="20"/>
        </w:rPr>
        <w:t>17,678,268 shares of common stock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70" w:name="xdx_908_eus-gaap--StockIssuedDuringPerio"/>
            <w:bookmarkEnd w:id="670"/>
            <w:r>
              <w:rPr>
                <w:rFonts w:ascii="Times New Roman;Times;Serif" w:hAnsi="Times New Roman;Times;Serif"/>
                <w:b w:val="false"/>
                <w:i w:val="false"/>
                <w:caps w:val="false"/>
                <w:smallCaps w:val="false"/>
                <w:sz w:val="20"/>
              </w:rPr>
              <w:t>118,343 restricted shares issued to a vendor in exchange for marketing services under an agreement which includes a buyback provision, with a fair value of $</w:t>
            </w:r>
            <w:bookmarkStart w:id="671" w:name="xdx_901_eus-gaap--StockIssuedDuringPerio"/>
            <w:bookmarkEnd w:id="671"/>
            <w:r>
              <w:rPr>
                <w:rFonts w:ascii="Times New Roman;Times;Serif" w:hAnsi="Times New Roman;Times;Serif"/>
                <w:b w:val="false"/>
                <w:i w:val="false"/>
                <w:caps w:val="false"/>
                <w:smallCaps w:val="false"/>
                <w:sz w:val="20"/>
              </w:rPr>
              <w:t>161,000 recorded to deferred compensation. The related expense is recorded on a straight-line basis over the term of the agreement. During the three and six months ended June 30, 2026, compensation expense of $</w:t>
            </w:r>
            <w:bookmarkStart w:id="672" w:name="xdx_90D_eus-gaap--StockIssuedDuringPerio"/>
            <w:bookmarkEnd w:id="672"/>
            <w:r>
              <w:rPr>
                <w:rFonts w:ascii="Times New Roman;Times;Serif" w:hAnsi="Times New Roman;Times;Serif"/>
                <w:b w:val="false"/>
                <w:i w:val="false"/>
                <w:caps w:val="false"/>
                <w:smallCaps w:val="false"/>
                <w:sz w:val="20"/>
              </w:rPr>
              <w:t>80,500 and $</w:t>
            </w:r>
            <w:bookmarkStart w:id="673" w:name="xdx_900_eus-gaap--StockIssuedDuringPerio"/>
            <w:bookmarkEnd w:id="673"/>
            <w:r>
              <w:rPr>
                <w:rFonts w:ascii="Times New Roman;Times;Serif" w:hAnsi="Times New Roman;Times;Serif"/>
                <w:b w:val="false"/>
                <w:i w:val="false"/>
                <w:caps w:val="false"/>
                <w:smallCaps w:val="false"/>
                <w:sz w:val="20"/>
              </w:rPr>
              <w:t xml:space="preserve">134,166 was recorded.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74" w:name="xdx_900_eus-gaap--StockIssuedDuringPerio"/>
            <w:bookmarkEnd w:id="674"/>
            <w:r>
              <w:rPr>
                <w:rFonts w:ascii="Times New Roman;Times;Serif" w:hAnsi="Times New Roman;Times;Serif"/>
                <w:b w:val="false"/>
                <w:i w:val="false"/>
                <w:caps w:val="false"/>
                <w:smallCaps w:val="false"/>
                <w:sz w:val="20"/>
              </w:rPr>
              <w:t xml:space="preserve">102,492 shares of restricted stock units vested under the 2023 Equity Incentive Plan. Of these shares, </w:t>
            </w:r>
            <w:bookmarkStart w:id="675" w:name="xdx_908_eus-gaap--StockIssuedDuringPerio"/>
            <w:bookmarkEnd w:id="675"/>
            <w:r>
              <w:rPr>
                <w:rFonts w:ascii="Times New Roman;Times;Serif" w:hAnsi="Times New Roman;Times;Serif"/>
                <w:b w:val="false"/>
                <w:i w:val="false"/>
                <w:caps w:val="false"/>
                <w:smallCaps w:val="false"/>
                <w:sz w:val="20"/>
              </w:rPr>
              <w:t>32,308 were withheld for payroll taxes of $</w:t>
            </w:r>
            <w:bookmarkStart w:id="676" w:name="xdx_908_eus-gaap--AccruedPayrollTaxesCur"/>
            <w:bookmarkEnd w:id="676"/>
            <w:r>
              <w:rPr>
                <w:rFonts w:ascii="Times New Roman;Times;Serif" w:hAnsi="Times New Roman;Times;Serif"/>
                <w:b w:val="false"/>
                <w:i w:val="false"/>
                <w:caps w:val="false"/>
                <w:smallCaps w:val="false"/>
                <w:sz w:val="20"/>
              </w:rPr>
              <w:t>25,749.</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77" w:name="xdx_90A_eus-gaap--StockIssuedDuringPerio"/>
            <w:bookmarkEnd w:id="677"/>
            <w:r>
              <w:rPr>
                <w:rFonts w:ascii="Times New Roman;Times;Serif" w:hAnsi="Times New Roman;Times;Serif"/>
                <w:b w:val="false"/>
                <w:i w:val="false"/>
                <w:caps w:val="false"/>
                <w:smallCaps w:val="false"/>
                <w:sz w:val="20"/>
              </w:rPr>
              <w:t>17,457,433 shares issued, with a fair value of $</w:t>
            </w:r>
            <w:bookmarkStart w:id="678" w:name="xdx_908_eus-gaap--StockIssuedDuringPerio"/>
            <w:bookmarkEnd w:id="678"/>
            <w:r>
              <w:rPr>
                <w:rFonts w:ascii="Times New Roman;Times;Serif" w:hAnsi="Times New Roman;Times;Serif"/>
                <w:b w:val="false"/>
                <w:i w:val="false"/>
                <w:caps w:val="false"/>
                <w:smallCaps w:val="false"/>
                <w:sz w:val="20"/>
              </w:rPr>
              <w:t xml:space="preserve">20,807,755, as a conversion of convertible notes payable, as described in NOTE 10. Because the conversions of Convertible Notes 1 and 2 on April 16, 2026 and April 21, 2026 exceeded the number of shares then registered under the Company’s registration statement, approximately </w:t>
            </w:r>
            <w:bookmarkStart w:id="679" w:name="xdx_902_eus-gaap--StockIssuedDuringPerio"/>
            <w:bookmarkStart w:id="680" w:name="xdx_907_eus-gaap--StockIssuedDuringPerio"/>
            <w:bookmarkEnd w:id="679"/>
            <w:bookmarkEnd w:id="680"/>
            <w:r>
              <w:rPr>
                <w:rFonts w:ascii="Times New Roman;Times;Serif" w:hAnsi="Times New Roman;Times;Serif"/>
                <w:b w:val="false"/>
                <w:i w:val="false"/>
                <w:caps w:val="false"/>
                <w:smallCaps w:val="false"/>
                <w:sz w:val="20"/>
              </w:rPr>
              <w:t>4,127,956 shares were issued in unregistered transactions. The holders may resell the shares pursuant to an available exemption from registration, including Rule 144, if the applicable requirements are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the Company announced a new share repurchase program (the “Repurchase Program”), pursuant to which the Company may purchase up to $</w:t>
      </w:r>
      <w:bookmarkStart w:id="681" w:name="xdx_90E_esrt--StockRepurchaseProgramAuth"/>
      <w:bookmarkEnd w:id="681"/>
      <w:r>
        <w:rPr>
          <w:rFonts w:ascii="Times New Roman;Times;Serif" w:hAnsi="Times New Roman;Times;Serif"/>
          <w:b w:val="false"/>
          <w:i w:val="false"/>
          <w:caps w:val="false"/>
          <w:smallCaps w:val="false"/>
          <w:sz w:val="20"/>
        </w:rPr>
        <w:t>10 million of its common stock through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repurchases under the Repurchase Program may be made from time to time through various means, including open market purchases, privately negotiated transactions, and/or pursuant to Rule 10b5-1 trading plans, in each case in accordance with Rule 10b-18 under the Securities Exchange Act of 1934. The timing, volume, and nature of share repurchases pursuant to the Repurchase Program are at the discretion of management and may be suspended or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682" w:name="xdx_909_eus-gaap--StockRepurchasedDuring"/>
      <w:bookmarkEnd w:id="682"/>
      <w:r>
        <w:rPr>
          <w:rFonts w:ascii="Times New Roman;Times;Serif" w:hAnsi="Times New Roman;Times;Serif"/>
          <w:b w:val="false"/>
          <w:i w:val="false"/>
          <w:caps w:val="false"/>
          <w:smallCaps w:val="false"/>
          <w:sz w:val="20"/>
        </w:rPr>
        <w:t xml:space="preserve">no shares repurchased during the six months ended June 30, 2026. </w:t>
      </w:r>
      <w:bookmarkStart w:id="683" w:name="xdx_90A_eus-gaap--StockRepurchasedDuring"/>
      <w:bookmarkEnd w:id="683"/>
      <w:r>
        <w:rPr>
          <w:rFonts w:ascii="Times New Roman;Times;Serif" w:hAnsi="Times New Roman;Times;Serif"/>
          <w:b w:val="false"/>
          <w:i w:val="false"/>
          <w:caps w:val="false"/>
          <w:smallCaps w:val="false"/>
          <w:sz w:val="20"/>
        </w:rPr>
        <w:t>19,700 shares were repurchased in 2025 totaling $</w:t>
      </w:r>
      <w:bookmarkStart w:id="684" w:name="xdx_906_eus-gaap--StockRepurchasedDuring"/>
      <w:bookmarkEnd w:id="684"/>
      <w:r>
        <w:rPr>
          <w:rFonts w:ascii="Times New Roman;Times;Serif" w:hAnsi="Times New Roman;Times;Serif"/>
          <w:b w:val="false"/>
          <w:i w:val="false"/>
          <w:caps w:val="false"/>
          <w:smallCaps w:val="false"/>
          <w:sz w:val="20"/>
        </w:rPr>
        <w:t xml:space="preserve">74,743. The </w:t>
      </w:r>
      <w:bookmarkStart w:id="685" w:name="xdx_906_eus-gaap--StockRepurchasedAndRet"/>
      <w:bookmarkEnd w:id="685"/>
      <w:r>
        <w:rPr>
          <w:rFonts w:ascii="Times New Roman;Times;Serif" w:hAnsi="Times New Roman;Times;Serif"/>
          <w:b w:val="false"/>
          <w:i w:val="false"/>
          <w:caps w:val="false"/>
          <w:smallCaps w:val="false"/>
          <w:sz w:val="20"/>
        </w:rPr>
        <w:t>19,700 shares were fully retired as of December 31, 2025, which reduced the number of issued shares of common stock.</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6" w:name="xdx_80F_eus-gaap--DerivativeInstrumentsA"/>
      <w:bookmarkEnd w:id="686"/>
      <w:r>
        <w:rPr>
          <w:rFonts w:ascii="Times New Roman;Times;Serif" w:hAnsi="Times New Roman;Times;Serif"/>
          <w:b/>
          <w:i w:val="false"/>
          <w:caps w:val="false"/>
          <w:smallCaps w:val="false"/>
          <w:sz w:val="20"/>
        </w:rPr>
        <w:t xml:space="preserve">NOTE 14 - </w:t>
      </w:r>
      <w:bookmarkStart w:id="687" w:name="xdx_82A_ziNdx8zdYk44"/>
      <w:bookmarkEnd w:id="687"/>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8" w:name="xdx_89A_eus-gaap--ScheduleOfStockholders"/>
      <w:bookmarkEnd w:id="688"/>
      <w:r>
        <w:rPr>
          <w:rFonts w:ascii="Times New Roman;Times;Serif" w:hAnsi="Times New Roman;Times;Serif"/>
          <w:b w:val="false"/>
          <w:i w:val="false"/>
          <w:caps w:val="false"/>
          <w:smallCaps w:val="false"/>
          <w:sz w:val="20"/>
        </w:rPr>
        <w:t>The following table summarizes the warrants outstanding as of June 30, 2026 and changes during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689" w:name="xdx_8B5_zdfIEudcO53b"/>
      <w:bookmarkEnd w:id="689"/>
      <w:r>
        <w:rPr>
          <w:rFonts w:ascii="Times New Roman;Times;Serif" w:hAnsi="Times New Roman;Times;Serif"/>
          <w:b w:val="false"/>
          <w:i w:val="false"/>
          <w:caps w:val="false"/>
          <w:smallCaps w:val="false"/>
          <w:sz w:val="20"/>
        </w:rPr>
        <w:t>SCHEDULE OF WARRANTS OUTSTANDING  </w:t>
      </w:r>
    </w:p>
    <w:tbl>
      <w:tblPr>
        <w:tblW w:w="10205" w:type="dxa"/>
        <w:jc w:val="left"/>
        <w:tblInd w:w="0" w:type="dxa"/>
        <w:tblLayout w:type="fixed"/>
        <w:tblCellMar>
          <w:top w:w="0" w:type="dxa"/>
          <w:left w:w="0" w:type="dxa"/>
          <w:bottom w:w="0" w:type="dxa"/>
          <w:right w:w="0" w:type="dxa"/>
        </w:tblCellMar>
      </w:tblPr>
      <w:tblGrid>
        <w:gridCol w:w="2133"/>
        <w:gridCol w:w="60"/>
        <w:gridCol w:w="71"/>
        <w:gridCol w:w="959"/>
        <w:gridCol w:w="95"/>
        <w:gridCol w:w="60"/>
        <w:gridCol w:w="284"/>
        <w:gridCol w:w="1137"/>
        <w:gridCol w:w="60"/>
        <w:gridCol w:w="60"/>
        <w:gridCol w:w="379"/>
        <w:gridCol w:w="1195"/>
        <w:gridCol w:w="60"/>
        <w:gridCol w:w="60"/>
        <w:gridCol w:w="245"/>
        <w:gridCol w:w="1799"/>
        <w:gridCol w:w="60"/>
        <w:gridCol w:w="60"/>
        <w:gridCol w:w="471"/>
        <w:gridCol w:w="876"/>
        <w:gridCol w:w="81"/>
      </w:tblGrid>
      <w:tr>
        <w:trPr/>
        <w:tc>
          <w:tcPr>
            <w:tcW w:w="21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jc w:val="center"/>
              <w:rPr>
                <w:b/>
              </w:rPr>
            </w:pPr>
            <w:r>
              <w:rPr>
                <w:b/>
              </w:rPr>
              <w:t>Number of</w:t>
            </w:r>
          </w:p>
          <w:p>
            <w:pPr>
              <w:pStyle w:val="TableContents"/>
              <w:bidi w:val="0"/>
              <w:spacing w:before="0" w:after="283"/>
              <w:jc w:val="center"/>
              <w:rPr>
                <w:b/>
              </w:rPr>
            </w:pPr>
            <w:r>
              <w:rPr>
                <w:b/>
              </w:rP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81" w:type="dxa"/>
            <w:tcBorders/>
            <w:vAlign w:val="center"/>
          </w:tcPr>
          <w:p>
            <w:pPr>
              <w:pStyle w:val="TableContents"/>
              <w:bidi w:val="0"/>
              <w:spacing w:before="0" w:after="283"/>
              <w:jc w:val="left"/>
              <w:rPr/>
            </w:pPr>
            <w:r>
              <w:rPr/>
              <w:t> </w:t>
            </w:r>
          </w:p>
        </w:tc>
      </w:tr>
      <w:tr>
        <w:trPr/>
        <w:tc>
          <w:tcPr>
            <w:tcW w:w="2133" w:type="dxa"/>
            <w:tcBorders/>
            <w:shd w:fill="CCEEFF" w:val="clear"/>
            <w:vAlign w:val="center"/>
          </w:tcPr>
          <w:p>
            <w:pPr>
              <w:pStyle w:val="TableContents"/>
              <w:bidi w:val="0"/>
              <w:spacing w:before="0" w:after="283"/>
              <w:jc w:val="left"/>
              <w:rPr/>
            </w:pPr>
            <w:r>
              <w:rPr/>
              <w:t>NONVESTED, DECEMBER 31, 2025</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0" w:name="xdx_982_eus-gaap--ShareBasedCompensation"/>
            <w:bookmarkEnd w:id="690"/>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107,741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91" w:name="xdx_983_ecustom--ShareBasedCompensationA"/>
            <w:bookmarkEnd w:id="691"/>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pPr>
            <w:r>
              <w:rPr/>
              <w:t>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92" w:name="xdx_98B_ecustom--ShareBasedCompensationA"/>
            <w:bookmarkEnd w:id="692"/>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3" w:name="xdx_985_ecustom--ShareBasedCompensationA"/>
            <w:bookmarkEnd w:id="693"/>
          </w:p>
        </w:tc>
        <w:tc>
          <w:tcPr>
            <w:tcW w:w="1799"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94" w:name="xdx_98E_ecustom--SharebasedCompensationA"/>
            <w:bookmarkEnd w:id="694"/>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695" w:name="xdx_98B_eus-gaap--ShareBasedCompensation"/>
            <w:bookmarkEnd w:id="695"/>
          </w:p>
        </w:tc>
        <w:tc>
          <w:tcPr>
            <w:tcW w:w="9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bookmarkStart w:id="696" w:name="xdx_982_ecustom--ShareBasedCompensationA"/>
            <w:bookmarkEnd w:id="696"/>
          </w:p>
        </w:tc>
        <w:tc>
          <w:tcPr>
            <w:tcW w:w="11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697" w:name="xdx_980_ecustom--ShareBasedCompensationA"/>
            <w:bookmarkEnd w:id="697"/>
          </w:p>
        </w:tc>
        <w:tc>
          <w:tcPr>
            <w:tcW w:w="11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133"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698" w:name="xdx_982_eus-gaap--ShareBasedCompensation"/>
            <w:bookmarkEnd w:id="698"/>
          </w:p>
        </w:tc>
        <w:tc>
          <w:tcPr>
            <w:tcW w:w="9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bookmarkStart w:id="699" w:name="xdx_98A_ecustom--ShareBasedCompensationA"/>
            <w:bookmarkEnd w:id="699"/>
          </w:p>
        </w:tc>
        <w:tc>
          <w:tcPr>
            <w:tcW w:w="11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00" w:name="xdx_984_ecustom--ShareBasedCompensationA"/>
            <w:bookmarkEnd w:id="700"/>
          </w:p>
        </w:tc>
        <w:tc>
          <w:tcPr>
            <w:tcW w:w="11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7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pPr>
            <w:r>
              <w:rPr/>
              <w:t>Cancelled/Expired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701" w:name="xdx_987_eus-gaap--ShareBasedCompensation"/>
            <w:bookmarkEnd w:id="701"/>
          </w:p>
        </w:tc>
        <w:tc>
          <w:tcPr>
            <w:tcW w:w="959" w:type="dxa"/>
            <w:tcBorders/>
            <w:shd w:fill="FFFFFF" w:val="clear"/>
            <w:vAlign w:val="center"/>
          </w:tcPr>
          <w:p>
            <w:pPr>
              <w:pStyle w:val="TableContents"/>
              <w:bidi w:val="0"/>
              <w:spacing w:before="0" w:after="283"/>
              <w:jc w:val="right"/>
              <w:rPr/>
            </w:pPr>
            <w:r>
              <w:rPr/>
              <w:t>(79,489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bookmarkStart w:id="702" w:name="xdx_986_ecustom--ShareBasedCompensationA"/>
            <w:bookmarkEnd w:id="702"/>
          </w:p>
        </w:tc>
        <w:tc>
          <w:tcPr>
            <w:tcW w:w="1137" w:type="dxa"/>
            <w:tcBorders/>
            <w:shd w:fill="FFFFFF" w:val="clear"/>
            <w:vAlign w:val="center"/>
          </w:tcPr>
          <w:p>
            <w:pPr>
              <w:pStyle w:val="TableContents"/>
              <w:bidi w:val="0"/>
              <w:spacing w:before="0" w:after="283"/>
              <w:jc w:val="right"/>
              <w:rPr/>
            </w:pPr>
            <w:r>
              <w:rPr/>
              <w:t>10.46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03" w:name="xdx_980_ecustom--ShareBasedCompensationA"/>
            <w:bookmarkEnd w:id="703"/>
          </w:p>
        </w:tc>
        <w:tc>
          <w:tcPr>
            <w:tcW w:w="1195" w:type="dxa"/>
            <w:tcBorders/>
            <w:shd w:fill="FFFFFF" w:val="clear"/>
            <w:vAlign w:val="center"/>
          </w:tcPr>
          <w:p>
            <w:pPr>
              <w:pStyle w:val="TableContents"/>
              <w:bidi w:val="0"/>
              <w:spacing w:before="0" w:after="283"/>
              <w:jc w:val="right"/>
              <w:rPr/>
            </w:pPr>
            <w:r>
              <w:rPr/>
              <w:t>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133" w:type="dxa"/>
            <w:tcBorders/>
            <w:shd w:fill="CCEEFF" w:val="clear"/>
            <w:vAlign w:val="center"/>
          </w:tcPr>
          <w:p>
            <w:pPr>
              <w:pStyle w:val="TableContents"/>
              <w:bidi w:val="0"/>
              <w:spacing w:before="0" w:after="283"/>
              <w:jc w:val="left"/>
              <w:rPr/>
            </w:pPr>
            <w:r>
              <w:rPr/>
              <w:t>NONVESTED JUNE 30, 2026</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704" w:name="xdx_985_eus-gaap--ShareBasedCompensation"/>
            <w:bookmarkEnd w:id="704"/>
          </w:p>
        </w:tc>
        <w:tc>
          <w:tcPr>
            <w:tcW w:w="959" w:type="dxa"/>
            <w:tcBorders/>
            <w:shd w:fill="CCEEFF" w:val="clear"/>
            <w:vAlign w:val="center"/>
          </w:tcPr>
          <w:p>
            <w:pPr>
              <w:pStyle w:val="TableContents"/>
              <w:bidi w:val="0"/>
              <w:spacing w:before="0" w:after="283"/>
              <w:jc w:val="right"/>
              <w:rPr/>
            </w:pPr>
            <w:r>
              <w:rPr/>
              <w:t>28,252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bookmarkStart w:id="705" w:name="xdx_989_ecustom--ShareBasedCompensationA"/>
            <w:bookmarkEnd w:id="705"/>
          </w:p>
        </w:tc>
        <w:tc>
          <w:tcPr>
            <w:tcW w:w="1137" w:type="dxa"/>
            <w:tcBorders/>
            <w:shd w:fill="CCEEFF" w:val="clear"/>
            <w:vAlign w:val="center"/>
          </w:tcPr>
          <w:p>
            <w:pPr>
              <w:pStyle w:val="TableContents"/>
              <w:bidi w:val="0"/>
              <w:spacing w:before="0" w:after="283"/>
              <w:jc w:val="right"/>
              <w:rPr/>
            </w:pPr>
            <w:r>
              <w:rPr/>
              <w:t>11.78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06" w:name="xdx_988_ecustom--ShareBasedCompensationA"/>
            <w:bookmarkEnd w:id="706"/>
          </w:p>
        </w:tc>
        <w:tc>
          <w:tcPr>
            <w:tcW w:w="1195" w:type="dxa"/>
            <w:tcBorders/>
            <w:shd w:fill="CCEEFF" w:val="clear"/>
            <w:vAlign w:val="center"/>
          </w:tcPr>
          <w:p>
            <w:pPr>
              <w:pStyle w:val="TableContents"/>
              <w:bidi w:val="0"/>
              <w:spacing w:before="0" w:after="283"/>
              <w:jc w:val="right"/>
              <w:rPr/>
            </w:pPr>
            <w:r>
              <w:rPr/>
              <w:t>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bookmarkStart w:id="707" w:name="xdx_984_ecustom--ShareBasedCompensationA"/>
            <w:bookmarkEnd w:id="707"/>
          </w:p>
        </w:tc>
        <w:tc>
          <w:tcPr>
            <w:tcW w:w="1799" w:type="dxa"/>
            <w:tcBorders/>
            <w:shd w:fill="CCEEFF" w:val="clear"/>
            <w:vAlign w:val="center"/>
          </w:tcPr>
          <w:p>
            <w:pPr>
              <w:pStyle w:val="TableContents"/>
              <w:bidi w:val="0"/>
              <w:spacing w:before="0" w:after="283"/>
              <w:jc w:val="right"/>
              <w:rPr/>
            </w:pPr>
            <w:r>
              <w:rPr/>
              <w:t>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bookmarkStart w:id="708" w:name="xdx_98E_ecustom--SharebasedCompensationA"/>
            <w:bookmarkEnd w:id="708"/>
          </w:p>
        </w:tc>
        <w:tc>
          <w:tcPr>
            <w:tcW w:w="876"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pPr>
            <w:r>
              <w:rPr/>
              <w:t>EXERCISABLE, JUNE 30, 2026</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09" w:name="xdx_984_ecustom--ShareBasedCompensationA"/>
            <w:bookmarkEnd w:id="709"/>
          </w:p>
        </w:tc>
        <w:tc>
          <w:tcPr>
            <w:tcW w:w="959" w:type="dxa"/>
            <w:tcBorders>
              <w:bottom w:val="double" w:sz="6" w:space="0" w:color="000000"/>
            </w:tcBorders>
            <w:shd w:fill="FFFFFF" w:val="clear"/>
            <w:tcMar>
              <w:bottom w:w="28" w:type="dxa"/>
            </w:tcMar>
            <w:vAlign w:val="center"/>
          </w:tcPr>
          <w:p>
            <w:pPr>
              <w:pStyle w:val="TableContents"/>
              <w:bidi w:val="0"/>
              <w:spacing w:before="0" w:after="283"/>
              <w:jc w:val="right"/>
              <w:rPr/>
            </w:pPr>
            <w:r>
              <w:rPr/>
              <w:t>28,252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10" w:name="xdx_98C_ecustom--ShareBasedCompensationA"/>
            <w:bookmarkEnd w:id="710"/>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pPr>
            <w:r>
              <w:rPr/>
              <w:t>11.78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11" w:name="xdx_982_ecustom--ShareBasedCompensationA"/>
            <w:bookmarkEnd w:id="711"/>
          </w:p>
        </w:tc>
        <w:tc>
          <w:tcPr>
            <w:tcW w:w="1195" w:type="dxa"/>
            <w:tcBorders>
              <w:bottom w:val="double" w:sz="6" w:space="0" w:color="000000"/>
            </w:tcBorders>
            <w:shd w:fill="FFFFFF" w:val="clear"/>
            <w:tcMar>
              <w:bottom w:w="28" w:type="dxa"/>
            </w:tcMar>
            <w:vAlign w:val="center"/>
          </w:tcPr>
          <w:p>
            <w:pPr>
              <w:pStyle w:val="TableContents"/>
              <w:bidi w:val="0"/>
              <w:spacing w:before="0" w:after="283"/>
              <w:jc w:val="right"/>
              <w:rPr/>
            </w:pPr>
            <w:r>
              <w:rPr/>
              <w:t>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12" w:name="xdx_980_ecustom--ShareBasedCompensationA"/>
            <w:bookmarkEnd w:id="712"/>
          </w:p>
        </w:tc>
        <w:tc>
          <w:tcPr>
            <w:tcW w:w="1799" w:type="dxa"/>
            <w:tcBorders>
              <w:bottom w:val="double" w:sz="6" w:space="0" w:color="000000"/>
            </w:tcBorders>
            <w:shd w:fill="FFFFFF" w:val="clear"/>
            <w:tcMar>
              <w:bottom w:w="28" w:type="dxa"/>
            </w:tcMar>
            <w:vAlign w:val="center"/>
          </w:tcPr>
          <w:p>
            <w:pPr>
              <w:pStyle w:val="TableContents"/>
              <w:bidi w:val="0"/>
              <w:spacing w:before="0" w:after="283"/>
              <w:jc w:val="right"/>
              <w:rPr/>
            </w:pPr>
            <w:r>
              <w:rPr/>
              <w:t>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13" w:name="xdx_98F_ecustom--SharebasedCompensationA"/>
            <w:bookmarkEnd w:id="713"/>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14" w:name="xdx_8AE_z0yPEepBsbV7"/>
      <w:bookmarkEnd w:id="7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represents the excess, if any, of the Company’s common stock price over the exercise price of in-the-money warrants as of the applicable reporting date. The stock prices used were $</w:t>
      </w:r>
      <w:bookmarkStart w:id="715" w:name="xdx_905_eus-gaap--ClassOfWarrantOrRightE"/>
      <w:bookmarkEnd w:id="715"/>
      <w:r>
        <w:rPr>
          <w:rFonts w:ascii="Times New Roman;Times;Serif" w:hAnsi="Times New Roman;Times;Serif"/>
          <w:b w:val="false"/>
          <w:i w:val="false"/>
          <w:caps w:val="false"/>
          <w:smallCaps w:val="false"/>
          <w:sz w:val="20"/>
        </w:rPr>
        <w:t>2.63 and $</w:t>
      </w:r>
      <w:bookmarkStart w:id="716" w:name="xdx_908_eus-gaap--ClassOfWarrantOrRightE"/>
      <w:bookmarkEnd w:id="716"/>
      <w:r>
        <w:rPr>
          <w:rFonts w:ascii="Times New Roman;Times;Serif" w:hAnsi="Times New Roman;Times;Serif"/>
          <w:b w:val="false"/>
          <w:i w:val="false"/>
          <w:caps w:val="false"/>
          <w:smallCaps w:val="false"/>
          <w:sz w:val="20"/>
        </w:rPr>
        <w:t>0.429 as of December 31, 2025 and June 30,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7" w:name="xdx_80F_eus-gaap--DisclosureOfCompensati"/>
      <w:bookmarkEnd w:id="717"/>
      <w:r>
        <w:rPr>
          <w:rFonts w:ascii="Times New Roman;Times;Serif" w:hAnsi="Times New Roman;Times;Serif"/>
          <w:b/>
          <w:i w:val="false"/>
          <w:caps w:val="false"/>
          <w:smallCaps w:val="false"/>
          <w:sz w:val="20"/>
        </w:rPr>
        <w:t xml:space="preserve">NOTE 15 - </w:t>
      </w:r>
      <w:bookmarkStart w:id="718" w:name="xdx_82E_zi61w5Rrn7vk"/>
      <w:bookmarkEnd w:id="718"/>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created the 2023 Equity Incentive Plan (the “Plan”) on April 27, 2023, under which stock options, restricted stock awards (“RSAs”), restricted stock units (“RSUs”), and other stock-based awards became available for issuance not to exceed </w:t>
      </w:r>
      <w:bookmarkStart w:id="719" w:name="xdx_909_ecustom--CommonStockAvailbleForI"/>
      <w:bookmarkEnd w:id="719"/>
      <w:r>
        <w:rPr>
          <w:rFonts w:ascii="Times New Roman;Times;Serif" w:hAnsi="Times New Roman;Times;Serif"/>
          <w:b w:val="false"/>
          <w:i w:val="false"/>
          <w:caps w:val="false"/>
          <w:smallCaps w:val="false"/>
          <w:sz w:val="20"/>
        </w:rPr>
        <w:t xml:space="preserve">1,500,000. On November 6, 2025, the Board of Directors resolved to increase the share pool under the Plan to </w:t>
      </w:r>
      <w:bookmarkStart w:id="720" w:name="xdx_901_ecustom--CommonStockAvailbleForI"/>
      <w:bookmarkEnd w:id="720"/>
      <w:r>
        <w:rPr>
          <w:rFonts w:ascii="Times New Roman;Times;Serif" w:hAnsi="Times New Roman;Times;Serif"/>
          <w:b w:val="false"/>
          <w:i w:val="false"/>
          <w:caps w:val="false"/>
          <w:smallCaps w:val="false"/>
          <w:sz w:val="20"/>
        </w:rPr>
        <w:t xml:space="preserve">7,000,000 shares. The Plan is designed to attract, retain, and motivate key employees. Currently, the fair value is recognized as an expense over the vesting period of the award. Options are generally granted with an exercise price equal to the fair market value of the Company’s stock at the date of grant, vest over a four-year period, and expire after five or ten years. There are certain situations that may accelerate the vesting or termination of all outstanding options, such as a change in control. Vesting of RSUs awarded to employees may be time or performance-based. As of June 30, 2026, </w:t>
      </w:r>
      <w:bookmarkStart w:id="721" w:name="xdx_90E_eus-gaap--ShareBasedCompensation"/>
      <w:bookmarkEnd w:id="721"/>
      <w:r>
        <w:rPr>
          <w:rFonts w:ascii="Times New Roman;Times;Serif" w:hAnsi="Times New Roman;Times;Serif"/>
          <w:b w:val="false"/>
          <w:i w:val="false"/>
          <w:caps w:val="false"/>
          <w:smallCaps w:val="false"/>
          <w:sz w:val="20"/>
        </w:rPr>
        <w:t>1,523,552 shares were available for grant under the Plan. The compensation expense related to stock-based awards is included in general and administrative expenses with a corresponding increase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2" w:name="xdx_89E_eus-gaap--ScheduleOfShareBasedCo"/>
      <w:bookmarkEnd w:id="722"/>
      <w:r>
        <w:rPr>
          <w:rFonts w:ascii="Times New Roman;Times;Serif" w:hAnsi="Times New Roman;Times;Serif"/>
          <w:b w:val="false"/>
          <w:i w:val="false"/>
          <w:caps w:val="false"/>
          <w:smallCaps w:val="false"/>
          <w:sz w:val="20"/>
        </w:rPr>
        <w:t>The following table summarizes the option activity during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723" w:name="xdx_8BC_ziobQtn6Ee4h"/>
      <w:bookmarkEnd w:id="723"/>
      <w:r>
        <w:rPr>
          <w:rFonts w:ascii="Times New Roman;Times;Serif" w:hAnsi="Times New Roman;Times;Serif"/>
          <w:b w:val="false"/>
          <w:i w:val="false"/>
          <w:caps w:val="false"/>
          <w:smallCaps w:val="false"/>
          <w:sz w:val="20"/>
        </w:rPr>
        <w:t>SCHEDULE OF SHARE OPTIONS OUTSTANDING</w:t>
      </w:r>
    </w:p>
    <w:tbl>
      <w:tblPr>
        <w:tblW w:w="10205" w:type="dxa"/>
        <w:jc w:val="left"/>
        <w:tblInd w:w="0" w:type="dxa"/>
        <w:tblLayout w:type="fixed"/>
        <w:tblCellMar>
          <w:top w:w="0" w:type="dxa"/>
          <w:left w:w="0" w:type="dxa"/>
          <w:bottom w:w="0" w:type="dxa"/>
          <w:right w:w="0" w:type="dxa"/>
        </w:tblCellMar>
      </w:tblPr>
      <w:tblGrid>
        <w:gridCol w:w="2446"/>
        <w:gridCol w:w="60"/>
        <w:gridCol w:w="63"/>
        <w:gridCol w:w="851"/>
        <w:gridCol w:w="95"/>
        <w:gridCol w:w="60"/>
        <w:gridCol w:w="331"/>
        <w:gridCol w:w="1041"/>
        <w:gridCol w:w="60"/>
        <w:gridCol w:w="60"/>
        <w:gridCol w:w="301"/>
        <w:gridCol w:w="1207"/>
        <w:gridCol w:w="60"/>
        <w:gridCol w:w="60"/>
        <w:gridCol w:w="234"/>
        <w:gridCol w:w="1719"/>
        <w:gridCol w:w="60"/>
        <w:gridCol w:w="60"/>
        <w:gridCol w:w="169"/>
        <w:gridCol w:w="1188"/>
        <w:gridCol w:w="80"/>
      </w:tblGrid>
      <w:tr>
        <w:trPr/>
        <w:tc>
          <w:tcPr>
            <w:tcW w:w="24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center"/>
          </w:tcPr>
          <w:p>
            <w:pPr>
              <w:pStyle w:val="TableContents"/>
              <w:bidi w:val="0"/>
              <w:jc w:val="center"/>
              <w:rPr>
                <w:b/>
              </w:rPr>
            </w:pPr>
            <w:r>
              <w:rPr>
                <w:b/>
              </w:rPr>
              <w:t>Number of</w:t>
            </w:r>
          </w:p>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80" w:type="dxa"/>
            <w:tcBorders/>
            <w:vAlign w:val="center"/>
          </w:tcPr>
          <w:p>
            <w:pPr>
              <w:pStyle w:val="TableContents"/>
              <w:bidi w:val="0"/>
              <w:spacing w:before="0" w:after="283"/>
              <w:jc w:val="left"/>
              <w:rPr/>
            </w:pPr>
            <w:r>
              <w:rPr/>
              <w:t> </w:t>
            </w:r>
          </w:p>
        </w:tc>
      </w:tr>
      <w:tr>
        <w:trPr/>
        <w:tc>
          <w:tcPr>
            <w:tcW w:w="2446"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724" w:name="xdx_98D_eus-gaap--ShareBasedCompensation"/>
            <w:bookmarkEnd w:id="724"/>
          </w:p>
        </w:tc>
        <w:tc>
          <w:tcPr>
            <w:tcW w:w="851" w:type="dxa"/>
            <w:tcBorders/>
            <w:shd w:fill="CCEEFF" w:val="clear"/>
            <w:vAlign w:val="center"/>
          </w:tcPr>
          <w:p>
            <w:pPr>
              <w:pStyle w:val="TableContents"/>
              <w:bidi w:val="0"/>
              <w:spacing w:before="0" w:after="283"/>
              <w:jc w:val="right"/>
              <w:rPr/>
            </w:pPr>
            <w:r>
              <w:rPr/>
              <w:t>609,318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bookmarkStart w:id="725" w:name="xdx_980_eus-gaap--ShareBasedCompensation"/>
            <w:bookmarkEnd w:id="725"/>
          </w:p>
        </w:tc>
        <w:tc>
          <w:tcPr>
            <w:tcW w:w="1041"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bookmarkStart w:id="726" w:name="xdx_982_ecustom--ShareBasedCompensationA"/>
            <w:bookmarkEnd w:id="726"/>
          </w:p>
        </w:tc>
        <w:tc>
          <w:tcPr>
            <w:tcW w:w="1207" w:type="dxa"/>
            <w:tcBorders/>
            <w:shd w:fill="CCEEFF" w:val="clear"/>
            <w:vAlign w:val="center"/>
          </w:tcPr>
          <w:p>
            <w:pPr>
              <w:pStyle w:val="TableContents"/>
              <w:bidi w:val="0"/>
              <w:spacing w:before="0" w:after="283"/>
              <w:jc w:val="right"/>
              <w:rPr/>
            </w:pPr>
            <w:r>
              <w:rPr/>
              <w:t>10.87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727" w:name="xdx_986_eus-gaap--SharebasedCompensation"/>
            <w:bookmarkEnd w:id="727"/>
          </w:p>
        </w:tc>
        <w:tc>
          <w:tcPr>
            <w:tcW w:w="1719" w:type="dxa"/>
            <w:tcBorders/>
            <w:shd w:fill="CCEEFF" w:val="clear"/>
            <w:vAlign w:val="center"/>
          </w:tcPr>
          <w:p>
            <w:pPr>
              <w:pStyle w:val="TableContents"/>
              <w:bidi w:val="0"/>
              <w:spacing w:before="0" w:after="283"/>
              <w:jc w:val="right"/>
              <w:rPr/>
            </w:pPr>
            <w:r>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bookmarkStart w:id="728" w:name="xdx_98A_eus-gaap--ShareBasedCompensation"/>
            <w:bookmarkEnd w:id="728"/>
          </w:p>
        </w:tc>
        <w:tc>
          <w:tcPr>
            <w:tcW w:w="1188" w:type="dxa"/>
            <w:tcBorders/>
            <w:shd w:fill="CCEEFF" w:val="clear"/>
            <w:vAlign w:val="center"/>
          </w:tcPr>
          <w:p>
            <w:pPr>
              <w:pStyle w:val="TableContents"/>
              <w:bidi w:val="0"/>
              <w:spacing w:before="0" w:after="283"/>
              <w:jc w:val="right"/>
              <w:rPr/>
            </w:pPr>
            <w:r>
              <w:rPr/>
              <w:t>1,116,368</w:t>
            </w:r>
          </w:p>
        </w:tc>
        <w:tc>
          <w:tcPr>
            <w:tcW w:w="80" w:type="dxa"/>
            <w:tcBorders/>
            <w:shd w:fill="CCEE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729" w:name="xdx_984_ecustom--ShareBasedCompensationA"/>
            <w:bookmarkEnd w:id="729"/>
          </w:p>
        </w:tc>
        <w:tc>
          <w:tcPr>
            <w:tcW w:w="85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730" w:name="xdx_98C_eus-gaap--ShareBasedCompensation"/>
            <w:bookmarkEnd w:id="730"/>
          </w:p>
        </w:tc>
        <w:tc>
          <w:tcPr>
            <w:tcW w:w="118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446"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pPr>
            <w:r>
              <w:rPr/>
              <w:t>Canceled/Expired</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1" w:name="xdx_988_eus-gaap--ShareBasedCompensation"/>
            <w:bookmarkEnd w:id="731"/>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pPr>
            <w:r>
              <w:rPr/>
              <w:t>(2,250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2" w:name="xdx_98C_eus-gaap--ShareBasedCompensation"/>
            <w:bookmarkEnd w:id="732"/>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3" w:name="xdx_983_ecustom--ShareBasedCompensationA"/>
            <w:bookmarkEnd w:id="733"/>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11.60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4" w:name="xdx_987_eus-gaap--ShareBasedCompensation"/>
            <w:bookmarkEnd w:id="734"/>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446" w:type="dxa"/>
            <w:tcBorders/>
            <w:shd w:fill="CCEEFF" w:val="clear"/>
            <w:vAlign w:val="center"/>
          </w:tcPr>
          <w:p>
            <w:pPr>
              <w:pStyle w:val="TableContents"/>
              <w:bidi w:val="0"/>
              <w:spacing w:before="0" w:after="283"/>
              <w:jc w:val="left"/>
              <w:rPr/>
            </w:pPr>
            <w:r>
              <w:rPr/>
              <w:t>OUTSTANDING, JUNE 30, 2026</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735" w:name="xdx_98D_eus-gaap--ShareBasedCompensation"/>
            <w:bookmarkEnd w:id="735"/>
          </w:p>
        </w:tc>
        <w:tc>
          <w:tcPr>
            <w:tcW w:w="851" w:type="dxa"/>
            <w:tcBorders/>
            <w:shd w:fill="CCEEFF" w:val="clear"/>
            <w:vAlign w:val="center"/>
          </w:tcPr>
          <w:p>
            <w:pPr>
              <w:pStyle w:val="TableContents"/>
              <w:bidi w:val="0"/>
              <w:spacing w:before="0" w:after="283"/>
              <w:jc w:val="right"/>
              <w:rPr/>
            </w:pPr>
            <w:r>
              <w:rPr/>
              <w:t>607,068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bookmarkStart w:id="736" w:name="xdx_98A_eus-gaap--ShareBasedCompensation"/>
            <w:bookmarkEnd w:id="736"/>
          </w:p>
        </w:tc>
        <w:tc>
          <w:tcPr>
            <w:tcW w:w="1041"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bookmarkStart w:id="737" w:name="xdx_98B_ecustom--ShareBasedCompensationA"/>
            <w:bookmarkEnd w:id="737"/>
          </w:p>
        </w:tc>
        <w:tc>
          <w:tcPr>
            <w:tcW w:w="1207" w:type="dxa"/>
            <w:tcBorders/>
            <w:shd w:fill="CCEEFF" w:val="clear"/>
            <w:vAlign w:val="center"/>
          </w:tcPr>
          <w:p>
            <w:pPr>
              <w:pStyle w:val="TableContents"/>
              <w:bidi w:val="0"/>
              <w:spacing w:before="0" w:after="283"/>
              <w:jc w:val="right"/>
              <w:rPr/>
            </w:pPr>
            <w:r>
              <w:rPr/>
              <w:t>10.87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738" w:name="xdx_98A_eus-gaap--SharebasedCompensation"/>
            <w:bookmarkEnd w:id="738"/>
          </w:p>
        </w:tc>
        <w:tc>
          <w:tcPr>
            <w:tcW w:w="1719" w:type="dxa"/>
            <w:tcBorders/>
            <w:shd w:fill="CCEEFF" w:val="clear"/>
            <w:vAlign w:val="center"/>
          </w:tcPr>
          <w:p>
            <w:pPr>
              <w:pStyle w:val="TableContents"/>
              <w:bidi w:val="0"/>
              <w:spacing w:before="0" w:after="283"/>
              <w:jc w:val="right"/>
              <w:rPr/>
            </w:pPr>
            <w:r>
              <w:rPr/>
              <w:t>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bookmarkStart w:id="739" w:name="xdx_98D_eus-gaap--ShareBasedCompensation"/>
            <w:bookmarkEnd w:id="739"/>
          </w:p>
        </w:tc>
        <w:tc>
          <w:tcPr>
            <w:tcW w:w="118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pPr>
            <w:r>
              <w:rPr/>
              <w:t>VESTED AND EXPECTED TO VEST, JUNE 30, 2026</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740" w:name="xdx_988_eus-gaap--ShareBasedCompensation"/>
            <w:bookmarkEnd w:id="740"/>
          </w:p>
        </w:tc>
        <w:tc>
          <w:tcPr>
            <w:tcW w:w="851" w:type="dxa"/>
            <w:tcBorders/>
            <w:shd w:fill="FFFFFF" w:val="clear"/>
            <w:vAlign w:val="center"/>
          </w:tcPr>
          <w:p>
            <w:pPr>
              <w:pStyle w:val="TableContents"/>
              <w:bidi w:val="0"/>
              <w:spacing w:before="0" w:after="283"/>
              <w:jc w:val="right"/>
              <w:rPr/>
            </w:pPr>
            <w:r>
              <w:rPr/>
              <w:t>607,068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bookmarkStart w:id="741" w:name="xdx_98B_eus-gaap--ShareBasedCompensation"/>
            <w:bookmarkEnd w:id="741"/>
          </w:p>
        </w:tc>
        <w:tc>
          <w:tcPr>
            <w:tcW w:w="1041" w:type="dxa"/>
            <w:tcBorders/>
            <w:shd w:fill="FFFFFF" w:val="clear"/>
            <w:vAlign w:val="center"/>
          </w:tcPr>
          <w:p>
            <w:pPr>
              <w:pStyle w:val="TableContents"/>
              <w:bidi w:val="0"/>
              <w:spacing w:before="0" w:after="283"/>
              <w:jc w:val="right"/>
              <w:rPr/>
            </w:pPr>
            <w:r>
              <w:rPr/>
              <w:t>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bookmarkStart w:id="742" w:name="xdx_98C_ecustom--ShareBasedCompensationA"/>
            <w:bookmarkEnd w:id="742"/>
          </w:p>
        </w:tc>
        <w:tc>
          <w:tcPr>
            <w:tcW w:w="1207" w:type="dxa"/>
            <w:tcBorders/>
            <w:shd w:fill="FFFFFF" w:val="clear"/>
            <w:vAlign w:val="center"/>
          </w:tcPr>
          <w:p>
            <w:pPr>
              <w:pStyle w:val="TableContents"/>
              <w:bidi w:val="0"/>
              <w:spacing w:before="0" w:after="283"/>
              <w:jc w:val="right"/>
              <w:rPr/>
            </w:pPr>
            <w:r>
              <w:rPr/>
              <w:t>10.87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743" w:name="xdx_984_eus-gaap--SharebasedCompensation"/>
            <w:bookmarkEnd w:id="743"/>
          </w:p>
        </w:tc>
        <w:tc>
          <w:tcPr>
            <w:tcW w:w="1719" w:type="dxa"/>
            <w:tcBorders/>
            <w:shd w:fill="FFFFFF" w:val="clear"/>
            <w:vAlign w:val="center"/>
          </w:tcPr>
          <w:p>
            <w:pPr>
              <w:pStyle w:val="TableContents"/>
              <w:bidi w:val="0"/>
              <w:spacing w:before="0" w:after="283"/>
              <w:jc w:val="right"/>
              <w:rPr/>
            </w:pPr>
            <w:r>
              <w:rPr/>
              <w:t>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744" w:name="xdx_98F_eus-gaap--ShareBasedCompensation"/>
            <w:bookmarkEnd w:id="744"/>
          </w:p>
        </w:tc>
        <w:tc>
          <w:tcPr>
            <w:tcW w:w="118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446" w:type="dxa"/>
            <w:tcBorders/>
            <w:shd w:fill="CCEEFF" w:val="clear"/>
            <w:vAlign w:val="center"/>
          </w:tcPr>
          <w:p>
            <w:pPr>
              <w:pStyle w:val="TableContents"/>
              <w:bidi w:val="0"/>
              <w:spacing w:before="0" w:after="283"/>
              <w:jc w:val="left"/>
              <w:rPr/>
            </w:pPr>
            <w:r>
              <w:rPr/>
              <w:t>EXERCISABLE, JUNE 30, 2026</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45" w:name="xdx_980_eus-gaap--ShareBasedCompensation"/>
            <w:bookmarkEnd w:id="745"/>
          </w:p>
        </w:tc>
        <w:tc>
          <w:tcPr>
            <w:tcW w:w="851" w:type="dxa"/>
            <w:tcBorders>
              <w:bottom w:val="double" w:sz="6" w:space="0" w:color="000000"/>
            </w:tcBorders>
            <w:shd w:fill="CCEEFF" w:val="clear"/>
            <w:tcMar>
              <w:bottom w:w="28" w:type="dxa"/>
            </w:tcMar>
            <w:vAlign w:val="center"/>
          </w:tcPr>
          <w:p>
            <w:pPr>
              <w:pStyle w:val="TableContents"/>
              <w:bidi w:val="0"/>
              <w:spacing w:before="0" w:after="283"/>
              <w:jc w:val="right"/>
              <w:rPr/>
            </w:pPr>
            <w:r>
              <w:rPr/>
              <w:t>291,453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46" w:name="xdx_987_eus-gaap--ShareBasedCompensation"/>
            <w:bookmarkEnd w:id="746"/>
          </w:p>
        </w:tc>
        <w:tc>
          <w:tcPr>
            <w:tcW w:w="1041" w:type="dxa"/>
            <w:tcBorders>
              <w:bottom w:val="double" w:sz="6" w:space="0" w:color="000000"/>
            </w:tcBorders>
            <w:shd w:fill="CCEEFF" w:val="clear"/>
            <w:tcMar>
              <w:bottom w:w="28" w:type="dxa"/>
            </w:tcM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47" w:name="xdx_989_ecustom--ShareBasedCompensationA"/>
            <w:bookmarkEnd w:id="747"/>
          </w:p>
        </w:tc>
        <w:tc>
          <w:tcPr>
            <w:tcW w:w="1207" w:type="dxa"/>
            <w:tcBorders>
              <w:bottom w:val="double" w:sz="6" w:space="0" w:color="000000"/>
            </w:tcBorders>
            <w:shd w:fill="CCEEFF" w:val="clear"/>
            <w:tcMar>
              <w:bottom w:w="28" w:type="dxa"/>
            </w:tcMar>
            <w:vAlign w:val="center"/>
          </w:tcPr>
          <w:p>
            <w:pPr>
              <w:pStyle w:val="TableContents"/>
              <w:bidi w:val="0"/>
              <w:spacing w:before="0" w:after="283"/>
              <w:jc w:val="right"/>
              <w:rPr/>
            </w:pPr>
            <w:r>
              <w:rPr/>
              <w:t>10.87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48" w:name="xdx_98D_eus-gaap--SharebasedCompensation"/>
            <w:bookmarkEnd w:id="748"/>
          </w:p>
        </w:tc>
        <w:tc>
          <w:tcPr>
            <w:tcW w:w="1719" w:type="dxa"/>
            <w:tcBorders>
              <w:bottom w:val="double" w:sz="6" w:space="0" w:color="000000"/>
            </w:tcBorders>
            <w:shd w:fill="CCEEFF" w:val="clear"/>
            <w:tcMar>
              <w:bottom w:w="28" w:type="dxa"/>
            </w:tcMar>
            <w:vAlign w:val="center"/>
          </w:tcPr>
          <w:p>
            <w:pPr>
              <w:pStyle w:val="TableContents"/>
              <w:bidi w:val="0"/>
              <w:spacing w:before="0" w:after="283"/>
              <w:jc w:val="right"/>
              <w:rPr/>
            </w:pPr>
            <w:r>
              <w:rPr/>
              <w:t>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49" w:name="xdx_98D_eus-gaap--SharebasedCompensation"/>
            <w:bookmarkEnd w:id="749"/>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50" w:name="xdx_8A8_zUMY97S4l6z1"/>
      <w:bookmarkEnd w:id="750"/>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1" w:name="xdx_895_eus-gaap--ScheduleOfNonvestedSha"/>
      <w:bookmarkEnd w:id="751"/>
      <w:r>
        <w:rPr>
          <w:rFonts w:ascii="Times New Roman;Times;Serif" w:hAnsi="Times New Roman;Times;Serif"/>
          <w:b w:val="false"/>
          <w:i w:val="false"/>
          <w:caps w:val="false"/>
          <w:smallCaps w:val="false"/>
          <w:sz w:val="20"/>
        </w:rPr>
        <w:t>The following table summarizes the nonvested share options for the six months ended June 30, 2026 and activity during the six months ending June 30, 2026:</w:t>
      </w:r>
    </w:p>
    <w:p>
      <w:pPr>
        <w:pStyle w:val="TextBody"/>
        <w:bidi w:val="0"/>
        <w:spacing w:before="0" w:after="0"/>
        <w:ind w:left="0" w:right="0" w:hanging="0"/>
        <w:jc w:val="both"/>
        <w:rPr>
          <w:caps w:val="false"/>
          <w:smallCaps w:val="false"/>
        </w:rPr>
      </w:pPr>
      <w:r>
        <w:rPr>
          <w:caps w:val="false"/>
          <w:smallCaps w:val="false"/>
        </w:rPr>
        <w:t> </w:t>
      </w:r>
      <w:bookmarkStart w:id="752" w:name="xdx_8B5_zKoCSnSDfMSg"/>
      <w:bookmarkEnd w:id="752"/>
      <w:r>
        <w:rPr>
          <w:rFonts w:ascii="Times New Roman;Times;Serif" w:hAnsi="Times New Roman;Times;Serif"/>
          <w:b w:val="false"/>
          <w:i w:val="false"/>
          <w:caps w:val="false"/>
          <w:smallCaps w:val="false"/>
          <w:sz w:val="20"/>
        </w:rPr>
        <w:t>SCHEDULE OF NONVESTED SHARE OPTION</w:t>
      </w:r>
    </w:p>
    <w:tbl>
      <w:tblPr>
        <w:tblW w:w="10205" w:type="dxa"/>
        <w:jc w:val="left"/>
        <w:tblInd w:w="0" w:type="dxa"/>
        <w:tblLayout w:type="fixed"/>
        <w:tblCellMar>
          <w:top w:w="0" w:type="dxa"/>
          <w:left w:w="0" w:type="dxa"/>
          <w:bottom w:w="0" w:type="dxa"/>
          <w:right w:w="0" w:type="dxa"/>
        </w:tblCellMar>
      </w:tblPr>
      <w:tblGrid>
        <w:gridCol w:w="2266"/>
        <w:gridCol w:w="60"/>
        <w:gridCol w:w="63"/>
        <w:gridCol w:w="855"/>
        <w:gridCol w:w="95"/>
        <w:gridCol w:w="60"/>
        <w:gridCol w:w="341"/>
        <w:gridCol w:w="1075"/>
        <w:gridCol w:w="60"/>
        <w:gridCol w:w="60"/>
        <w:gridCol w:w="313"/>
        <w:gridCol w:w="1255"/>
        <w:gridCol w:w="60"/>
        <w:gridCol w:w="60"/>
        <w:gridCol w:w="244"/>
        <w:gridCol w:w="1792"/>
        <w:gridCol w:w="60"/>
        <w:gridCol w:w="60"/>
        <w:gridCol w:w="199"/>
        <w:gridCol w:w="1145"/>
        <w:gridCol w:w="82"/>
      </w:tblGrid>
      <w:tr>
        <w:trPr/>
        <w:tc>
          <w:tcPr>
            <w:tcW w:w="22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center"/>
          </w:tcPr>
          <w:p>
            <w:pPr>
              <w:pStyle w:val="TableContents"/>
              <w:bidi w:val="0"/>
              <w:jc w:val="center"/>
              <w:rPr>
                <w:b/>
              </w:rPr>
            </w:pPr>
            <w:r>
              <w:rPr>
                <w:b/>
              </w:rPr>
              <w:t>Number of</w:t>
            </w:r>
          </w:p>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82" w:type="dxa"/>
            <w:tcBorders/>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753" w:name="xdx_986_eus-gaap--SharebasedCompensation"/>
            <w:bookmarkEnd w:id="753"/>
          </w:p>
        </w:tc>
        <w:tc>
          <w:tcPr>
            <w:tcW w:w="855" w:type="dxa"/>
            <w:tcBorders/>
            <w:shd w:fill="CCEEFF" w:val="clear"/>
            <w:vAlign w:val="center"/>
          </w:tcPr>
          <w:p>
            <w:pPr>
              <w:pStyle w:val="TableContents"/>
              <w:bidi w:val="0"/>
              <w:spacing w:before="0" w:after="283"/>
              <w:jc w:val="right"/>
              <w:rPr/>
            </w:pPr>
            <w:r>
              <w:rPr/>
              <w:t>361,327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bookmarkStart w:id="754" w:name="xdx_98E_ecustom--SharebasedCompensationA"/>
            <w:bookmarkEnd w:id="754"/>
          </w:p>
        </w:tc>
        <w:tc>
          <w:tcPr>
            <w:tcW w:w="1075"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bookmarkStart w:id="755" w:name="xdx_984_eus-gaap--SharebasedCompensation"/>
            <w:bookmarkEnd w:id="755"/>
          </w:p>
        </w:tc>
        <w:tc>
          <w:tcPr>
            <w:tcW w:w="1255" w:type="dxa"/>
            <w:tcBorders/>
            <w:shd w:fill="CCEEFF" w:val="clear"/>
            <w:vAlign w:val="center"/>
          </w:tcPr>
          <w:p>
            <w:pPr>
              <w:pStyle w:val="TableContents"/>
              <w:bidi w:val="0"/>
              <w:spacing w:before="0" w:after="283"/>
              <w:jc w:val="right"/>
              <w:rPr/>
            </w:pPr>
            <w:r>
              <w:rPr/>
              <w:t>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bookmarkStart w:id="756" w:name="xdx_989_ecustom--SharebasedCompensationA"/>
            <w:bookmarkEnd w:id="756"/>
          </w:p>
        </w:tc>
        <w:tc>
          <w:tcPr>
            <w:tcW w:w="1792" w:type="dxa"/>
            <w:tcBorders/>
            <w:shd w:fill="CCEEFF" w:val="clear"/>
            <w:vAlign w:val="center"/>
          </w:tcPr>
          <w:p>
            <w:pPr>
              <w:pStyle w:val="TableContents"/>
              <w:bidi w:val="0"/>
              <w:spacing w:before="0" w:after="283"/>
              <w:jc w:val="right"/>
              <w:rPr/>
            </w:pPr>
            <w:r>
              <w:rPr/>
              <w:t>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757" w:name="xdx_98D_ecustom--SharebasedCompensationA"/>
            <w:bookmarkEnd w:id="757"/>
          </w:p>
        </w:tc>
        <w:tc>
          <w:tcPr>
            <w:tcW w:w="1145" w:type="dxa"/>
            <w:tcBorders/>
            <w:shd w:fill="CCEEFF" w:val="clear"/>
            <w:vAlign w:val="center"/>
          </w:tcPr>
          <w:p>
            <w:pPr>
              <w:pStyle w:val="TableContents"/>
              <w:bidi w:val="0"/>
              <w:spacing w:before="0" w:after="283"/>
              <w:jc w:val="right"/>
              <w:rPr/>
            </w:pPr>
            <w:r>
              <w:rPr/>
              <w:t>662,712</w:t>
            </w:r>
          </w:p>
        </w:tc>
        <w:tc>
          <w:tcPr>
            <w:tcW w:w="82"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758" w:name="xdx_98F_eus-gaap--ShareBasedCompensation"/>
            <w:bookmarkEnd w:id="758"/>
          </w:p>
        </w:tc>
        <w:tc>
          <w:tcPr>
            <w:tcW w:w="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bookmarkStart w:id="759" w:name="xdx_986_ecustom--SharebasedCompensationA"/>
            <w:bookmarkEnd w:id="759"/>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bookmarkStart w:id="760" w:name="xdx_983_eus-gaap--ShareBasedCompensation"/>
            <w:bookmarkEnd w:id="760"/>
          </w:p>
        </w:tc>
        <w:tc>
          <w:tcPr>
            <w:tcW w:w="12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761" w:name="xdx_986_eus-gaap--SharebasedCompensation"/>
            <w:bookmarkEnd w:id="761"/>
          </w:p>
        </w:tc>
        <w:tc>
          <w:tcPr>
            <w:tcW w:w="855" w:type="dxa"/>
            <w:tcBorders/>
            <w:shd w:fill="CCEEFF" w:val="clear"/>
            <w:vAlign w:val="center"/>
          </w:tcPr>
          <w:p>
            <w:pPr>
              <w:pStyle w:val="TableContents"/>
              <w:bidi w:val="0"/>
              <w:spacing w:before="0" w:after="283"/>
              <w:jc w:val="right"/>
              <w:rPr/>
            </w:pPr>
            <w:r>
              <w:rPr/>
              <w:t>(44,265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bookmarkStart w:id="762" w:name="xdx_98F_ecustom--SharebasedCompensationA"/>
            <w:bookmarkEnd w:id="762"/>
          </w:p>
        </w:tc>
        <w:tc>
          <w:tcPr>
            <w:tcW w:w="1075"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bookmarkStart w:id="763" w:name="xdx_98A_eus-gaap--SharebasedCompensation"/>
            <w:bookmarkEnd w:id="763"/>
          </w:p>
        </w:tc>
        <w:tc>
          <w:tcPr>
            <w:tcW w:w="1255" w:type="dxa"/>
            <w:tcBorders/>
            <w:shd w:fill="CCEEFF" w:val="clear"/>
            <w:vAlign w:val="center"/>
          </w:tcPr>
          <w:p>
            <w:pPr>
              <w:pStyle w:val="TableContents"/>
              <w:bidi w:val="0"/>
              <w:spacing w:before="0" w:after="283"/>
              <w:jc w:val="right"/>
              <w:rPr/>
            </w:pPr>
            <w:r>
              <w:rPr/>
              <w:t>10.92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bookmarkStart w:id="764" w:name="xdx_98B_ecustom--SharebasedCompensationA"/>
            <w:bookmarkEnd w:id="764"/>
          </w:p>
        </w:tc>
        <w:tc>
          <w:tcPr>
            <w:tcW w:w="1792" w:type="dxa"/>
            <w:tcBorders/>
            <w:shd w:fill="CCEEFF" w:val="clear"/>
            <w:vAlign w:val="center"/>
          </w:tcPr>
          <w:p>
            <w:pPr>
              <w:pStyle w:val="TableContents"/>
              <w:bidi w:val="0"/>
              <w:spacing w:before="0" w:after="283"/>
              <w:jc w:val="right"/>
              <w:rPr/>
            </w:pPr>
            <w:r>
              <w:rPr/>
              <w:t>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765" w:name="xdx_98C_ecustom--SharebasedCompensationA"/>
            <w:bookmarkEnd w:id="765"/>
          </w:p>
        </w:tc>
        <w:tc>
          <w:tcPr>
            <w:tcW w:w="114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Canceled/Expired</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66" w:name="xdx_987_eus-gaap--SharebasedCompensation"/>
            <w:bookmarkEnd w:id="766"/>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(1,446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67" w:name="xdx_984_ecustom--SharebasedCompensationA"/>
            <w:bookmarkEnd w:id="767"/>
          </w:p>
        </w:tc>
        <w:tc>
          <w:tcPr>
            <w:tcW w:w="1075" w:type="dxa"/>
            <w:tcBorders>
              <w:bottom w:val="single" w:sz="8" w:space="0" w:color="000000"/>
            </w:tcBorders>
            <w:shd w:fill="FFFFFF" w:val="clear"/>
            <w:tcMar>
              <w:bottom w:w="28" w:type="dxa"/>
            </w:tcMar>
            <w:vAlign w:val="center"/>
          </w:tcPr>
          <w:p>
            <w:pPr>
              <w:pStyle w:val="TableContents"/>
              <w:bidi w:val="0"/>
              <w:spacing w:before="0" w:after="283"/>
              <w:jc w:val="right"/>
              <w:rPr/>
            </w:pPr>
            <w:r>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68" w:name="xdx_98D_eus-gaap--SharebasedCompensation"/>
            <w:bookmarkEnd w:id="768"/>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11.70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left"/>
              <w:rPr/>
            </w:pPr>
            <w:r>
              <w:rPr/>
              <w:t>OUTSTANDING JUNE 30, 2026</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69" w:name="xdx_98D_eus-gaap--SharebasedCompensation"/>
            <w:bookmarkEnd w:id="769"/>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pPr>
            <w:r>
              <w:rPr/>
              <w:t>315,616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70" w:name="xdx_981_ecustom--SharebasedCompensationA"/>
            <w:bookmarkEnd w:id="770"/>
          </w:p>
        </w:tc>
        <w:tc>
          <w:tcPr>
            <w:tcW w:w="1075" w:type="dxa"/>
            <w:tcBorders>
              <w:bottom w:val="double" w:sz="6" w:space="0" w:color="000000"/>
            </w:tcBorders>
            <w:shd w:fill="CCEEFF" w:val="clear"/>
            <w:tcMar>
              <w:bottom w:w="28" w:type="dxa"/>
            </w:tcM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71" w:name="xdx_98E_eus-gaap--SharebasedCompensation"/>
            <w:bookmarkEnd w:id="771"/>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pPr>
            <w:r>
              <w:rPr/>
              <w:t>10.86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72" w:name="xdx_983_ecustom--SharebasedCompensationA"/>
            <w:bookmarkEnd w:id="772"/>
          </w:p>
        </w:tc>
        <w:tc>
          <w:tcPr>
            <w:tcW w:w="1792" w:type="dxa"/>
            <w:tcBorders>
              <w:bottom w:val="double" w:sz="6" w:space="0" w:color="000000"/>
            </w:tcBorders>
            <w:shd w:fill="CCEEFF" w:val="clear"/>
            <w:tcMar>
              <w:bottom w:w="28" w:type="dxa"/>
            </w:tcMar>
            <w:vAlign w:val="center"/>
          </w:tcPr>
          <w:p>
            <w:pPr>
              <w:pStyle w:val="TableContents"/>
              <w:bidi w:val="0"/>
              <w:spacing w:before="0" w:after="283"/>
              <w:jc w:val="right"/>
              <w:rPr/>
            </w:pPr>
            <w:r>
              <w:rPr/>
              <w:t>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73" w:name="xdx_980_ecustom--SharebasedCompensationA"/>
            <w:bookmarkEnd w:id="773"/>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74" w:name="xdx_8A2_zJ9D1bLEf0Q7"/>
      <w:bookmarkEnd w:id="77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represents the excess, if any, of the Company’s common stock price over the exercise price of in-the-money options as of the applicable reporting date. The stock prices used were $</w:t>
      </w:r>
      <w:bookmarkStart w:id="775" w:name="xdx_903_eus-gaap--ShareBasedCompensation"/>
      <w:bookmarkEnd w:id="775"/>
      <w:r>
        <w:rPr>
          <w:rFonts w:ascii="Times New Roman;Times;Serif" w:hAnsi="Times New Roman;Times;Serif"/>
          <w:b w:val="false"/>
          <w:i w:val="false"/>
          <w:caps w:val="false"/>
          <w:smallCaps w:val="false"/>
          <w:sz w:val="20"/>
        </w:rPr>
        <w:t>2.63 and $</w:t>
      </w:r>
      <w:bookmarkStart w:id="776" w:name="xdx_905_eus-gaap--ShareBasedCompensation"/>
      <w:bookmarkEnd w:id="776"/>
      <w:r>
        <w:rPr>
          <w:rFonts w:ascii="Times New Roman;Times;Serif" w:hAnsi="Times New Roman;Times;Serif"/>
          <w:b w:val="false"/>
          <w:i w:val="false"/>
          <w:caps w:val="false"/>
          <w:smallCaps w:val="false"/>
          <w:sz w:val="20"/>
        </w:rPr>
        <w:t>0.429 as of December 31, 2025 and June 30, 2026, respectively.</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was $</w:t>
      </w:r>
      <w:bookmarkStart w:id="777" w:name="xdx_903_eus-gaap--EmployeeBenefitsAndSha"/>
      <w:bookmarkEnd w:id="777"/>
      <w:r>
        <w:rPr>
          <w:rFonts w:ascii="Times New Roman;Times;Serif" w:hAnsi="Times New Roman;Times;Serif"/>
          <w:b w:val="false"/>
          <w:i w:val="false"/>
          <w:caps w:val="false"/>
          <w:smallCaps w:val="false"/>
          <w:sz w:val="20"/>
        </w:rPr>
        <w:t>3,393,054 unrecognized compensation expense related to nonvested stock options to be recognized through June 30, 2028. Total compensation expense related to stock options during the three and six months ended June 30, 2026 and 2025 was $</w:t>
      </w:r>
      <w:bookmarkStart w:id="778" w:name="xdx_90A_eus-gaap--AllocatedShareBasedCom"/>
      <w:bookmarkEnd w:id="778"/>
      <w:r>
        <w:rPr>
          <w:rFonts w:ascii="Times New Roman;Times;Serif" w:hAnsi="Times New Roman;Times;Serif"/>
          <w:b w:val="false"/>
          <w:i w:val="false"/>
          <w:caps w:val="false"/>
          <w:smallCaps w:val="false"/>
          <w:sz w:val="20"/>
        </w:rPr>
        <w:t>239,268 and $</w:t>
      </w:r>
      <w:bookmarkStart w:id="779" w:name="xdx_908_eus-gaap--AllocatedShareBasedCom"/>
      <w:bookmarkEnd w:id="779"/>
      <w:r>
        <w:rPr>
          <w:rFonts w:ascii="Times New Roman;Times;Serif" w:hAnsi="Times New Roman;Times;Serif"/>
          <w:b w:val="false"/>
          <w:i w:val="false"/>
          <w:caps w:val="false"/>
          <w:smallCaps w:val="false"/>
          <w:sz w:val="20"/>
        </w:rPr>
        <w:t>480,478, and $</w:t>
      </w:r>
      <w:bookmarkStart w:id="780" w:name="xdx_900_eus-gaap--AllocatedShareBasedCom"/>
      <w:bookmarkEnd w:id="780"/>
      <w:r>
        <w:rPr>
          <w:rFonts w:ascii="Times New Roman;Times;Serif" w:hAnsi="Times New Roman;Times;Serif"/>
          <w:b w:val="false"/>
          <w:i w:val="false"/>
          <w:caps w:val="false"/>
          <w:smallCaps w:val="false"/>
          <w:sz w:val="20"/>
        </w:rPr>
        <w:t>244,883 and $</w:t>
      </w:r>
      <w:bookmarkStart w:id="781" w:name="xdx_903_eus-gaap--AllocatedShareBasedCom"/>
      <w:bookmarkEnd w:id="781"/>
      <w:r>
        <w:rPr>
          <w:rFonts w:ascii="Times New Roman;Times;Serif" w:hAnsi="Times New Roman;Times;Serif"/>
          <w:b w:val="false"/>
          <w:i w:val="false"/>
          <w:caps w:val="false"/>
          <w:smallCaps w:val="false"/>
          <w:sz w:val="20"/>
        </w:rPr>
        <w:t>489,766,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82" w:name="xdx_89B_eus-gaap--ScheduleOfNonvestedRes"/>
      <w:bookmarkEnd w:id="782"/>
      <w:r>
        <w:rPr>
          <w:rFonts w:ascii="Times New Roman;Times;Serif" w:hAnsi="Times New Roman;Times;Serif"/>
          <w:b w:val="false"/>
          <w:i w:val="false"/>
          <w:caps w:val="false"/>
          <w:smallCaps w:val="false"/>
          <w:sz w:val="20"/>
        </w:rPr>
        <w:t>The following table summarizes the restricted stock units (“RSUs”) outstanding as of June 30, 2026 and activity during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783" w:name="xdx_8B2_z2gm2RsKj5yl"/>
      <w:bookmarkEnd w:id="783"/>
      <w:r>
        <w:rPr>
          <w:rFonts w:ascii="Times New Roman;Times;Serif" w:hAnsi="Times New Roman;Times;Serif"/>
          <w:b w:val="false"/>
          <w:i w:val="false"/>
          <w:caps w:val="false"/>
          <w:smallCaps w:val="false"/>
          <w:sz w:val="20"/>
        </w:rPr>
        <w:t>SCHEDULE OF RESTRICTED STOCK UNITS OUTSTANDING</w:t>
      </w:r>
    </w:p>
    <w:tbl>
      <w:tblPr>
        <w:tblW w:w="7233" w:type="dxa"/>
        <w:jc w:val="left"/>
        <w:tblInd w:w="0" w:type="dxa"/>
        <w:tblLayout w:type="fixed"/>
        <w:tblCellMar>
          <w:top w:w="0" w:type="dxa"/>
          <w:left w:w="0" w:type="dxa"/>
          <w:bottom w:w="0" w:type="dxa"/>
          <w:right w:w="0" w:type="dxa"/>
        </w:tblCellMar>
      </w:tblPr>
      <w:tblGrid>
        <w:gridCol w:w="4160"/>
        <w:gridCol w:w="60"/>
        <w:gridCol w:w="67"/>
        <w:gridCol w:w="1122"/>
        <w:gridCol w:w="95"/>
        <w:gridCol w:w="60"/>
        <w:gridCol w:w="384"/>
        <w:gridCol w:w="1210"/>
        <w:gridCol w:w="75"/>
      </w:tblGrid>
      <w:tr>
        <w:trPr/>
        <w:tc>
          <w:tcPr>
            <w:tcW w:w="41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Restricted</w:t>
              <w:b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784" w:name="xdx_987_eus-gaap--ShareBasedCompensation"/>
            <w:bookmarkEnd w:id="784"/>
          </w:p>
        </w:tc>
        <w:tc>
          <w:tcPr>
            <w:tcW w:w="1122" w:type="dxa"/>
            <w:tcBorders/>
            <w:shd w:fill="CCEEFF" w:val="clear"/>
            <w:vAlign w:val="center"/>
          </w:tcPr>
          <w:p>
            <w:pPr>
              <w:pStyle w:val="TableContents"/>
              <w:bidi w:val="0"/>
              <w:spacing w:before="0" w:after="283"/>
              <w:jc w:val="right"/>
              <w:rPr/>
            </w:pPr>
            <w:r>
              <w:rPr/>
              <w:t>1,693,202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w:t>
            </w:r>
            <w:bookmarkStart w:id="785" w:name="xdx_98B_ecustom--ShareBasedCompensationA"/>
            <w:bookmarkEnd w:id="785"/>
          </w:p>
        </w:tc>
        <w:tc>
          <w:tcPr>
            <w:tcW w:w="1210" w:type="dxa"/>
            <w:tcBorders/>
            <w:shd w:fill="CCEEFF" w:val="clear"/>
            <w:vAlign w:val="center"/>
          </w:tcPr>
          <w:p>
            <w:pPr>
              <w:pStyle w:val="TableContents"/>
              <w:bidi w:val="0"/>
              <w:spacing w:before="0" w:after="283"/>
              <w:jc w:val="right"/>
              <w:rPr/>
            </w:pPr>
            <w:r>
              <w:rPr/>
              <w:t>3.07</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786" w:name="xdx_982_eus-gaap--ShareBasedCompensation"/>
            <w:bookmarkEnd w:id="786"/>
          </w:p>
        </w:tc>
        <w:tc>
          <w:tcPr>
            <w:tcW w:w="1122" w:type="dxa"/>
            <w:tcBorders/>
            <w:shd w:fill="FFFFFF" w:val="clear"/>
            <w:vAlign w:val="center"/>
          </w:tcPr>
          <w:p>
            <w:pPr>
              <w:pStyle w:val="TableContents"/>
              <w:bidi w:val="0"/>
              <w:spacing w:before="0" w:after="283"/>
              <w:jc w:val="right"/>
              <w:rPr/>
            </w:pPr>
            <w:r>
              <w:rPr/>
              <w:t>3,278,103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bookmarkStart w:id="787" w:name="xdx_984_ecustom--ShareBasedCompensationA"/>
            <w:bookmarkEnd w:id="787"/>
          </w:p>
        </w:tc>
        <w:tc>
          <w:tcPr>
            <w:tcW w:w="1210" w:type="dxa"/>
            <w:tcBorders/>
            <w:shd w:fill="FFFFFF" w:val="clear"/>
            <w:vAlign w:val="center"/>
          </w:tcPr>
          <w:p>
            <w:pPr>
              <w:pStyle w:val="TableContents"/>
              <w:bidi w:val="0"/>
              <w:spacing w:before="0" w:after="283"/>
              <w:jc w:val="right"/>
              <w:rPr/>
            </w:pPr>
            <w:r>
              <w:rPr/>
              <w:t>0.72</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788" w:name="xdx_982_eus-gaap--ShareBasedCompensation"/>
            <w:bookmarkEnd w:id="788"/>
          </w:p>
        </w:tc>
        <w:tc>
          <w:tcPr>
            <w:tcW w:w="1122" w:type="dxa"/>
            <w:tcBorders/>
            <w:shd w:fill="CCEEFF" w:val="clear"/>
            <w:vAlign w:val="center"/>
          </w:tcPr>
          <w:p>
            <w:pPr>
              <w:pStyle w:val="TableContents"/>
              <w:bidi w:val="0"/>
              <w:spacing w:before="0" w:after="283"/>
              <w:jc w:val="right"/>
              <w:rPr/>
            </w:pPr>
            <w:r>
              <w:rPr/>
              <w:t>(102,492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bookmarkStart w:id="789" w:name="xdx_98B_ecustom--ShareBasedCompensationA"/>
            <w:bookmarkEnd w:id="789"/>
          </w:p>
        </w:tc>
        <w:tc>
          <w:tcPr>
            <w:tcW w:w="1210" w:type="dxa"/>
            <w:tcBorders/>
            <w:shd w:fill="CCEEFF" w:val="clear"/>
            <w:vAlign w:val="center"/>
          </w:tcPr>
          <w:p>
            <w:pPr>
              <w:pStyle w:val="TableContents"/>
              <w:bidi w:val="0"/>
              <w:spacing w:before="0" w:after="283"/>
              <w:jc w:val="right"/>
              <w:rPr/>
            </w:pPr>
            <w:r>
              <w:rPr/>
              <w:t>2.63</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both"/>
              <w:rPr/>
            </w:pPr>
            <w:r>
              <w:rPr/>
              <w:t>Canceled/Expired</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90" w:name="xdx_98F_eus-gaap--ShareBasedCompensation"/>
            <w:bookmarkEnd w:id="790"/>
          </w:p>
        </w:tc>
        <w:tc>
          <w:tcPr>
            <w:tcW w:w="1122" w:type="dxa"/>
            <w:tcBorders>
              <w:bottom w:val="single" w:sz="8" w:space="0" w:color="000000"/>
            </w:tcBorders>
            <w:shd w:fill="FFFFFF" w:val="clear"/>
            <w:tcMar>
              <w:bottom w:w="28" w:type="dxa"/>
            </w:tcMar>
            <w:vAlign w:val="center"/>
          </w:tcPr>
          <w:p>
            <w:pPr>
              <w:pStyle w:val="TableContents"/>
              <w:bidi w:val="0"/>
              <w:spacing w:before="0" w:after="283"/>
              <w:jc w:val="right"/>
              <w:rPr/>
            </w:pPr>
            <w:r>
              <w:rPr/>
              <w:t>(138,565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91" w:name="xdx_986_ecustom--ShareBasedCompensationA"/>
            <w:bookmarkEnd w:id="791"/>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3.16</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pPr>
            <w:r>
              <w:rPr/>
              <w:t>OUTSTANDING, JUNE 30, 2026</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92" w:name="xdx_986_eus-gaap--ShareBasedCompensation"/>
            <w:bookmarkEnd w:id="792"/>
          </w:p>
        </w:tc>
        <w:tc>
          <w:tcPr>
            <w:tcW w:w="1122" w:type="dxa"/>
            <w:tcBorders>
              <w:bottom w:val="double" w:sz="6" w:space="0" w:color="000000"/>
            </w:tcBorders>
            <w:shd w:fill="CCEEFF" w:val="clear"/>
            <w:tcMar>
              <w:bottom w:w="28" w:type="dxa"/>
            </w:tcMar>
            <w:vAlign w:val="center"/>
          </w:tcPr>
          <w:p>
            <w:pPr>
              <w:pStyle w:val="TableContents"/>
              <w:bidi w:val="0"/>
              <w:spacing w:before="0" w:after="283"/>
              <w:jc w:val="right"/>
              <w:rPr/>
            </w:pPr>
            <w:r>
              <w:rPr/>
              <w:t>4,730,248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93" w:name="xdx_988_ecustom--ShareBasedCompensationA"/>
            <w:bookmarkEnd w:id="793"/>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1.45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94" w:name="xdx_8A4_zke7CZMBdUrf"/>
      <w:bookmarkEnd w:id="794"/>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w:t>
      </w:r>
      <w:bookmarkStart w:id="795" w:name="xdx_90F_eus-gaap--StockIssuedDuringPerio"/>
      <w:bookmarkEnd w:id="795"/>
      <w:r>
        <w:rPr>
          <w:rFonts w:ascii="Times New Roman;Times;Serif" w:hAnsi="Times New Roman;Times;Serif"/>
          <w:b w:val="false"/>
          <w:i w:val="false"/>
          <w:caps w:val="false"/>
          <w:smallCaps w:val="false"/>
          <w:sz w:val="20"/>
        </w:rPr>
        <w:t xml:space="preserve"> 3,278,103 RSUs of shares were issued under the plan to employees with a total fair value of $</w:t>
      </w:r>
      <w:bookmarkStart w:id="796" w:name="xdx_902_eus-gaap--StockIssuedDuringPerio"/>
      <w:bookmarkEnd w:id="796"/>
      <w:r>
        <w:rPr>
          <w:rFonts w:ascii="Times New Roman;Times;Serif" w:hAnsi="Times New Roman;Times;Serif"/>
          <w:b w:val="false"/>
          <w:i w:val="false"/>
          <w:caps w:val="false"/>
          <w:smallCaps w:val="false"/>
          <w:sz w:val="20"/>
        </w:rPr>
        <w:t xml:space="preserve">2,370,750, based on grant date fair value. Of those shares, </w:t>
      </w:r>
      <w:bookmarkStart w:id="797" w:name="xdx_903_eus-gaap--ShareBasedCompensation"/>
      <w:bookmarkEnd w:id="797"/>
      <w:r>
        <w:rPr>
          <w:rFonts w:ascii="Times New Roman;Times;Serif" w:hAnsi="Times New Roman;Times;Serif"/>
          <w:b w:val="false"/>
          <w:i w:val="false"/>
          <w:caps w:val="false"/>
          <w:smallCaps w:val="false"/>
          <w:sz w:val="20"/>
        </w:rPr>
        <w:t xml:space="preserve">1,835,641 vest and are expensed on a straight line basis over a period of three months to four years. There were </w:t>
      </w:r>
      <w:bookmarkStart w:id="798" w:name="xdx_904_eus-gaap--SharebasedCompensation"/>
      <w:bookmarkEnd w:id="798"/>
      <w:r>
        <w:rPr>
          <w:rFonts w:ascii="Times New Roman;Times;Serif" w:hAnsi="Times New Roman;Times;Serif"/>
          <w:b w:val="false"/>
          <w:i w:val="false"/>
          <w:caps w:val="false"/>
          <w:smallCaps w:val="false"/>
          <w:sz w:val="20"/>
        </w:rPr>
        <w:t xml:space="preserve">102,492 shares vested and </w:t>
      </w:r>
      <w:bookmarkStart w:id="799" w:name="xdx_903_eus-gaap--SharebasedCompensation"/>
      <w:bookmarkEnd w:id="799"/>
      <w:r>
        <w:rPr>
          <w:rFonts w:ascii="Times New Roman;Times;Serif" w:hAnsi="Times New Roman;Times;Serif"/>
          <w:b w:val="false"/>
          <w:i w:val="false"/>
          <w:caps w:val="false"/>
          <w:smallCaps w:val="false"/>
          <w:sz w:val="20"/>
        </w:rPr>
        <w:t>101,886 canceled during the three months ended June 30, 2026. Total compensation expense related to time-based RSUs during the three and six months ended June 30, 2026 and 2025 was $</w:t>
      </w:r>
      <w:bookmarkStart w:id="800" w:name="xdx_90F_eus-gaap--ShareBasedCompensation"/>
      <w:bookmarkEnd w:id="800"/>
      <w:r>
        <w:rPr>
          <w:rFonts w:ascii="Times New Roman;Times;Serif" w:hAnsi="Times New Roman;Times;Serif"/>
          <w:b w:val="false"/>
          <w:i w:val="false"/>
          <w:caps w:val="false"/>
          <w:smallCaps w:val="false"/>
          <w:sz w:val="20"/>
        </w:rPr>
        <w:t>409,357 and $</w:t>
      </w:r>
      <w:bookmarkStart w:id="801" w:name="xdx_90F_eus-gaap--ShareBasedCompensation"/>
      <w:bookmarkEnd w:id="801"/>
      <w:r>
        <w:rPr>
          <w:rFonts w:ascii="Times New Roman;Times;Serif" w:hAnsi="Times New Roman;Times;Serif"/>
          <w:b w:val="false"/>
          <w:i w:val="false"/>
          <w:caps w:val="false"/>
          <w:smallCaps w:val="false"/>
          <w:sz w:val="20"/>
        </w:rPr>
        <w:t>922,539, and $</w:t>
      </w:r>
      <w:bookmarkStart w:id="802" w:name="xdx_906_eus-gaap--ShareBasedCompensation"/>
      <w:bookmarkEnd w:id="802"/>
      <w:r>
        <w:rPr>
          <w:rFonts w:ascii="Times New Roman;Times;Serif" w:hAnsi="Times New Roman;Times;Serif"/>
          <w:b w:val="false"/>
          <w:i w:val="false"/>
          <w:caps w:val="false"/>
          <w:smallCaps w:val="false"/>
          <w:sz w:val="20"/>
        </w:rPr>
        <w:t>0 and $</w:t>
      </w:r>
      <w:bookmarkStart w:id="803" w:name="xdx_90E_eus-gaap--ShareBasedCompensation"/>
      <w:bookmarkEnd w:id="803"/>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remaining </w:t>
      </w:r>
      <w:bookmarkStart w:id="804" w:name="xdx_905_eus-gaap--SharebasedCompensation"/>
      <w:bookmarkEnd w:id="804"/>
      <w:r>
        <w:rPr>
          <w:rFonts w:ascii="Times New Roman;Times;Serif" w:hAnsi="Times New Roman;Times;Serif"/>
          <w:b w:val="false"/>
          <w:i w:val="false"/>
          <w:caps w:val="false"/>
          <w:smallCaps w:val="false"/>
          <w:sz w:val="20"/>
        </w:rPr>
        <w:t xml:space="preserve">1,442,462 shares vest over terms up to </w:t>
      </w:r>
      <w:bookmarkStart w:id="805" w:name="xdx_90B_eus-gaap--SharebasedCompensation"/>
      <w:bookmarkEnd w:id="805"/>
      <w:r>
        <w:rPr>
          <w:rFonts w:ascii="Times New Roman;Times;Serif" w:hAnsi="Times New Roman;Times;Serif"/>
          <w:b w:val="false"/>
          <w:i w:val="false"/>
          <w:caps w:val="false"/>
          <w:smallCaps w:val="false"/>
          <w:sz w:val="20"/>
        </w:rPr>
        <w:t xml:space="preserve">3 years upon the satisfaction of certain operational goals specified in the underlying agreements. Compensation expense for these performance-based restricted stock units is recognized in accordance with ASC 718 over the requisite service period, when achievement of the performance condition is considered probable. The Company reassesses the probability of achieving such performance conditions at each reporting period and adjusts compensation expense accordingly. To the extent applicable, compensation cost is recognized using an accelerated attribution method for awards with graded vesting features. There were </w:t>
      </w:r>
      <w:bookmarkStart w:id="806" w:name="xdx_909_eus-gaap--StockIssuedDuringPerio"/>
      <w:bookmarkEnd w:id="806"/>
      <w:r>
        <w:rPr>
          <w:rFonts w:ascii="Times New Roman;Times;Serif" w:hAnsi="Times New Roman;Times;Serif"/>
          <w:b w:val="false"/>
          <w:i w:val="false"/>
          <w:caps w:val="false"/>
          <w:smallCaps w:val="false"/>
          <w:sz w:val="20"/>
        </w:rPr>
        <w:t>36,679 performance-based restricted stock units canceled during the six months ended June 30, 2026. Total compensation expense related to performance-based RSUs during the three and six months ended June 30, 2026 and 2025 was $</w:t>
      </w:r>
      <w:bookmarkStart w:id="807" w:name="xdx_905_eus-gaap--AllocatedShareBasedCom"/>
      <w:bookmarkEnd w:id="807"/>
      <w:r>
        <w:rPr>
          <w:rFonts w:ascii="Times New Roman;Times;Serif" w:hAnsi="Times New Roman;Times;Serif"/>
          <w:b w:val="false"/>
          <w:i w:val="false"/>
          <w:caps w:val="false"/>
          <w:smallCaps w:val="false"/>
          <w:sz w:val="20"/>
        </w:rPr>
        <w:t>73,164 and $</w:t>
      </w:r>
      <w:bookmarkStart w:id="808" w:name="xdx_908_eus-gaap--AllocatedShareBasedCom"/>
      <w:bookmarkEnd w:id="808"/>
      <w:r>
        <w:rPr>
          <w:rFonts w:ascii="Times New Roman;Times;Serif" w:hAnsi="Times New Roman;Times;Serif"/>
          <w:b w:val="false"/>
          <w:i w:val="false"/>
          <w:caps w:val="false"/>
          <w:smallCaps w:val="false"/>
          <w:sz w:val="20"/>
        </w:rPr>
        <w:t>308,895, and $</w:t>
      </w:r>
      <w:bookmarkStart w:id="809" w:name="xdx_901_eus-gaap--AllocatedShareBasedCom"/>
      <w:bookmarkEnd w:id="809"/>
      <w:r>
        <w:rPr>
          <w:rFonts w:ascii="Times New Roman;Times;Serif" w:hAnsi="Times New Roman;Times;Serif"/>
          <w:b w:val="false"/>
          <w:i w:val="false"/>
          <w:caps w:val="false"/>
          <w:smallCaps w:val="false"/>
          <w:sz w:val="20"/>
        </w:rPr>
        <w:t>0 and $</w:t>
      </w:r>
      <w:bookmarkStart w:id="810" w:name="xdx_90A_eus-gaap--AllocatedShareBasedCom"/>
      <w:bookmarkEnd w:id="810"/>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was $</w:t>
      </w:r>
      <w:bookmarkStart w:id="811" w:name="xdx_902_eus-gaap--EmployeeBenefitsAndSha"/>
      <w:bookmarkEnd w:id="811"/>
      <w:r>
        <w:rPr>
          <w:rFonts w:ascii="Times New Roman;Times;Serif" w:hAnsi="Times New Roman;Times;Serif"/>
          <w:b w:val="false"/>
          <w:i w:val="false"/>
          <w:caps w:val="false"/>
          <w:smallCaps w:val="false"/>
          <w:sz w:val="20"/>
        </w:rPr>
        <w:t>4,686,018 unrecognized compensation expense related to nonvested RSUs to be recognized through June 30,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2" w:name="xdx_808_eus-gaap--CommitmentsAndContinge"/>
      <w:bookmarkEnd w:id="812"/>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16 - </w:t>
      </w:r>
      <w:bookmarkStart w:id="813" w:name="xdx_82E_z9c9i44A2Rm3"/>
      <w:bookmarkEnd w:id="81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loss contingencies in accordance with ASC 450-20, </w:t>
      </w:r>
      <w:r>
        <w:rPr>
          <w:rFonts w:ascii="Times New Roman;Times;Serif" w:hAnsi="Times New Roman;Times;Serif"/>
          <w:b w:val="false"/>
          <w:i/>
          <w:caps w:val="false"/>
          <w:smallCaps w:val="false"/>
          <w:sz w:val="20"/>
        </w:rPr>
        <w:t>Contingencies — Loss Contingencies</w:t>
      </w:r>
      <w:r>
        <w:rPr>
          <w:rFonts w:ascii="Times New Roman;Times;Serif" w:hAnsi="Times New Roman;Times;Serif"/>
          <w:b w:val="false"/>
          <w:i w:val="false"/>
          <w:caps w:val="false"/>
          <w:smallCaps w:val="false"/>
          <w:sz w:val="20"/>
        </w:rPr>
        <w:t>. A liability is accrued when a loss is probable and the amount can be reasonably estimated. When a loss is reasonably possible but not probable, or when a probable loss cannot be reasonably estimated, the Company discloses the nature of the contingency and, where determinable, an estimate of the possible loss or range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various legal proceedings in the ordinary course of its business and may be subject to third-party infringement claims. In the normal course of business, the Company may agree to indemnify third parties with whom it enters into contractual relationships, including customers, lessors, and parties to other transactions with the Company, with respect to certain matters. Legal fees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2023, the Company was named as a defendant in CAUSE NO. 29 D05-2303-PL-002478, originally filed in Hamilton County, Indiana and subsequently moved to Marion County as CAUSE NO. 49 D02-2305-PL-020604. This is an employment action alleging breach of employment agreement; breach of stock purchase agreement; breach of fiduciary duties and non-payment of salary, bonuses, and benefits. Although the settlement demand includes unpaid salary and stock awards of approximately $</w:t>
      </w:r>
      <w:bookmarkStart w:id="814" w:name="xdx_90B_eus-gaap--LiabilityForUnpaidClai"/>
      <w:bookmarkEnd w:id="814"/>
      <w:r>
        <w:rPr>
          <w:rFonts w:ascii="Times New Roman;Times;Serif" w:hAnsi="Times New Roman;Times;Serif"/>
          <w:b w:val="false"/>
          <w:i w:val="false"/>
          <w:caps w:val="false"/>
          <w:smallCaps w:val="false"/>
          <w:sz w:val="20"/>
        </w:rPr>
        <w:t>29 million, the Company does not believe a loss is probable, and the Company is unable to estimate a reasonably possible loss, or range of loss, at this time. No motions are pending, and depositions are underway. No accrual has been recorded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2025, John Doan and Jami Town named the Company as a defendant in Case No. CL25-3626, pending in Virginia State Court. Doan and Town claim the Company is in breach of contract for loans made to AirBox. The loans were extended to AirBox before the Company purchased its assets in 2023. The Company explicitly acquired only the assets of AirBox and therefore does not believe it is liable for any of its previous liabilities. The Plaintiff’s originally alleged damages and fees total $</w:t>
      </w:r>
      <w:bookmarkStart w:id="815" w:name="xdx_908_eus-gaap--LossContingencyDamages"/>
      <w:bookmarkEnd w:id="815"/>
      <w:r>
        <w:rPr>
          <w:rFonts w:ascii="Times New Roman;Times;Serif" w:hAnsi="Times New Roman;Times;Serif"/>
          <w:b w:val="false"/>
          <w:i w:val="false"/>
          <w:caps w:val="false"/>
          <w:smallCaps w:val="false"/>
          <w:sz w:val="20"/>
        </w:rPr>
        <w:t>45,082. They have a current demand of $</w:t>
      </w:r>
      <w:bookmarkStart w:id="816" w:name="xdx_900_eus-gaap--PaymentsForLegalSettle"/>
      <w:bookmarkEnd w:id="816"/>
      <w:r>
        <w:rPr>
          <w:rFonts w:ascii="Times New Roman;Times;Serif" w:hAnsi="Times New Roman;Times;Serif"/>
          <w:b w:val="false"/>
          <w:i w:val="false"/>
          <w:caps w:val="false"/>
          <w:smallCaps w:val="false"/>
          <w:sz w:val="20"/>
        </w:rPr>
        <w:t>175,000 which the Company has declined. The Company has filed for removal from the claim. This case was remanded from Federal Court back to Virginia State Court. Since this matter is still in its initial stages, the Company is unable to predict the outcome at this time. No accrual has been recorded as of June 30, 2026.</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Company was the plaintiff in a lawsuit Case No. 1:2025cv02026 filed in federal court in the Southern District of Indiana for misappropriation of US federal and Indiana trade secrets. The defendants are former consultants, Myron Wright, an individual, and Wright Flyer Consulting Group Inc., a Kentucky corporation. The Company is seeking compensatory and punitive damages, attorney fees and costs as well as permanent injunctive relief against the defendants requiring the immediate cessation of all transactions utilizing the Company’s Trade Secrets and return of materials constituting the Trade Secrets. Taft, Stettinius &amp; Hollister, LLP is representing the Company in the matter. The Company is the plaintiff in this matter, no loss contingency has been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7" w:name="xdx_804_eus-gaap--SegmentReportingDisclo"/>
      <w:bookmarkEnd w:id="817"/>
      <w:r>
        <w:rPr>
          <w:rFonts w:ascii="Times New Roman;Times;Serif" w:hAnsi="Times New Roman;Times;Serif"/>
          <w:b/>
          <w:i w:val="false"/>
          <w:caps w:val="false"/>
          <w:smallCaps w:val="false"/>
          <w:sz w:val="20"/>
        </w:rPr>
        <w:t xml:space="preserve">NOTE 17 - </w:t>
      </w:r>
      <w:bookmarkStart w:id="818" w:name="xdx_82B_zCEYYEKeAu5d"/>
      <w:bookmarkEnd w:id="818"/>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its operating segments in accordance with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based on the information reviewed by the Chief Operating Decision Maker (“CODM”) for purposes of allocating resources and assessing performance. The Company operates as a </w:t>
      </w:r>
      <w:bookmarkStart w:id="819" w:name="xdx_90B_eus-gaap--NumberOfReportableSegm"/>
      <w:bookmarkEnd w:id="819"/>
      <w:r>
        <w:rPr>
          <w:rFonts w:ascii="Times New Roman;Times;Serif" w:hAnsi="Times New Roman;Times;Serif"/>
          <w:b w:val="false"/>
          <w:i w:val="false"/>
          <w:caps w:val="false"/>
          <w:smallCaps w:val="false"/>
          <w:sz w:val="20"/>
        </w:rPr>
        <w:t>1single reportable segment, as the CODM, the Chief Executive Officer (“CEO”), evaluates the business as a whole and does not receive discrete financial information for multiple business units. The CODM assesses the Company’s financial performance based on net loss, as presented in the statements of operations, and uses net loss to evaluate operating results and make resource allocation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there are no significant segment expense categories or other segment items that are regularly provided to the CODM and included in the measure of segment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Entity-Wide Disclosures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Geographic Revenue Information: For the six months ended June 30, 2026 and 2025, </w:t>
            </w:r>
            <w:bookmarkStart w:id="820" w:name="xdx_90B_eus-gaap--ConcentrationRiskPerce"/>
            <w:bookmarkStart w:id="821" w:name="xdx_905_eus-gaap--ConcentrationRiskPerce"/>
            <w:bookmarkEnd w:id="820"/>
            <w:bookmarkEnd w:id="821"/>
            <w:r>
              <w:rPr>
                <w:rFonts w:ascii="Times New Roman;Times;Serif" w:hAnsi="Times New Roman;Times;Serif"/>
                <w:b w:val="false"/>
                <w:i w:val="false"/>
                <w:caps w:val="false"/>
                <w:smallCaps w:val="false"/>
                <w:sz w:val="20"/>
              </w:rPr>
              <w:t xml:space="preserve">100% of the Company’s revenue was generated in the United States.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Major Customers: The Company has one customer that accounted for more than </w:t>
            </w:r>
            <w:bookmarkStart w:id="822" w:name="xdx_90E_eus-gaap--ConcentrationRiskPerce"/>
            <w:bookmarkEnd w:id="822"/>
            <w:r>
              <w:rPr>
                <w:rFonts w:ascii="Times New Roman;Times;Serif" w:hAnsi="Times New Roman;Times;Serif"/>
                <w:b w:val="false"/>
                <w:i w:val="false"/>
                <w:caps w:val="false"/>
                <w:smallCaps w:val="false"/>
                <w:sz w:val="20"/>
              </w:rPr>
              <w:t>90% of total revenue.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 Asset Information: Substantially all of the Company’s assets are located in the United States.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3" w:name="xdx_807_eus-gaap--SubsequentEventsTextBl"/>
      <w:bookmarkEnd w:id="823"/>
      <w:r>
        <w:rPr>
          <w:rFonts w:ascii="Times New Roman;Times;Serif" w:hAnsi="Times New Roman;Times;Serif"/>
          <w:b/>
          <w:i w:val="false"/>
          <w:caps w:val="false"/>
          <w:smallCaps w:val="false"/>
          <w:sz w:val="20"/>
        </w:rPr>
        <w:t xml:space="preserve">NOTE 18 - </w:t>
      </w:r>
      <w:bookmarkStart w:id="824" w:name="xdx_824_zCkIOMb3a5ih"/>
      <w:bookmarkEnd w:id="82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received a notification letter from The Nasdaq Stock Market LLC stating that it was not in compliance with the Market Value of Publicly Held Shares requirement of Nasdaq Listing Rule 5450(b)(2)(C) for a period of 32 consecutive business days from June 3, 2026 to July 20, 2026. The Company has until January 19, 2027 to regain compliance. This matter is described further in “Nasdaq Listing Compliance” in Item 2, Management’s Discussion and Analysis of Financial Condition and Results of Operations, which description is incorporated herein by reference. The notification has no immediate effect on the listing or trading of the Company’s common stock.</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Todd Pepmeier, Chief Financial Officer of the Company, notified the Company of his resignation from his position as Chief Financial Officer, effective August 10, 2026. On July 29, 2026, Laurie Tucker resigned from her position as a director of the Company. Ms. Tucker’s resignation was not the result of any disagreement with the Company on any matter relating to the Company’s operations, policies or practices.</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on August 6, 2026, our VWAP fell below the Floor Price of $</w:t>
      </w:r>
      <w:bookmarkStart w:id="825" w:name="xdx_900_eus-gaap--SharePrice_iI_c2026080"/>
      <w:bookmarkEnd w:id="825"/>
      <w:r>
        <w:rPr>
          <w:rFonts w:ascii="Times New Roman;Times;Serif" w:hAnsi="Times New Roman;Times;Serif"/>
          <w:b w:val="false"/>
          <w:i w:val="false"/>
          <w:caps w:val="false"/>
          <w:smallCaps w:val="false"/>
          <w:sz w:val="20"/>
        </w:rPr>
        <w:t>0.25 per share for at least five Trading Days within a seven consecutive Trading Day period, constituting a Floor Price Trigger under the SPA. As a result of this triggering event, we became obligated to make mandatory monthly cash repayments totaling $</w:t>
      </w:r>
      <w:bookmarkStart w:id="826" w:name="xdx_90C_eus-gaap--RepaymentsOfShortTermD"/>
      <w:bookmarkEnd w:id="826"/>
      <w:r>
        <w:rPr>
          <w:rFonts w:ascii="Times New Roman;Times;Serif" w:hAnsi="Times New Roman;Times;Serif"/>
          <w:b w:val="false"/>
          <w:i w:val="false"/>
          <w:caps w:val="false"/>
          <w:smallCaps w:val="false"/>
          <w:sz w:val="20"/>
        </w:rPr>
        <w:t xml:space="preserve">962,500, plus accrued and unpaid interest, beginning three Trading Days after the trigger date. </w:t>
      </w:r>
      <w:bookmarkStart w:id="827" w:name="xdx_902_eus-gaap--DescriptionOfTradingAc"/>
      <w:bookmarkEnd w:id="827"/>
      <w:r>
        <w:rPr>
          <w:rFonts w:ascii="Times New Roman;Times;Serif" w:hAnsi="Times New Roman;Times;Serif"/>
          <w:b w:val="false"/>
          <w:i w:val="false"/>
          <w:caps w:val="false"/>
          <w:smallCaps w:val="false"/>
          <w:sz w:val="20"/>
        </w:rPr>
        <w:t>These mandatory repayments consist of $550,000 under Pre-paid Purchase Agreement 2 and $412,500 under Pre-paid Purchase Agreement 3. These mandatory repayment obligations will continue until such time as our VWAP exceeds 120% of the Floor Price (i.e., $0.30 per share) for five consecutive Trading Days. There can be no assurance that this cure condition will occur. The Company is currently in discussions with Streeterville regarding potential remediation of the obligations arising from the Floor Price Trigger. There can be no assurance that the Company and Streeterville will reach any agreement with respect thereto.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our Board of Directors appointed Piyush Phadke as our Chief Financial Officer, with his duties and responsibilities as Chief Financial Officer commencing as of August 17, 2026. Mr. Phadke brings more than 20 years of capital markets and investment banking experience, including senior roles at Bank of America, BTIG, and Jefferies. For a more complete description of Mr. Phadke’s appointment, please refer to our Current Report on Form 8-K filed on August 12, 2026, which is incorporated herein by reference.</w:t>
      </w:r>
    </w:p>
    <w:p>
      <w:pPr>
        <w:pStyle w:val="TextBody"/>
        <w:bidi w:val="0"/>
        <w:jc w:val="left"/>
        <w:rPr>
          <w:caps w:val="false"/>
          <w:smallCaps w:val="false"/>
        </w:rPr>
      </w:pPr>
      <w:bookmarkStart w:id="828" w:name="xdx_81A_zXgvcohRvlUe"/>
      <w:bookmarkEnd w:id="828"/>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9" w:name="a_008"/>
      <w:bookmarkEnd w:id="82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is intended as a review of significant factors affecting our financial condition and results of operations for the periods indicated. The discussion should be read in conjunction with our unaudited financial statements and the notes presented herein included in this Form 10-Q and the audited financial statements and the other information set forth in our Annual Report on Form 10-K for the year ended December 31, 2025. Please also see the note entitled “Cautionary Note Regarding Forward-Looking Statements” elsewhere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pioneered the smart mailbox for drone deliveries, evolving into a leader in the Autonomous Last Mile (“ALM”). Today, we are transforming last-mile logistics by enabling secure, seamless exchanges between drones, robots, and people. Our mission is to connect these systems through a universal ALM network of Arrive Points™—smart lockers and mini-cross-docks—powered by an AI-driven ALM platform. This network unlocks exceptional efficiency, accelerating adoption in medical, retail, e-commerce, and beyond, making Arrive AI the intelligent choice for the final inch of automated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patented Arrive Points™ deliver a smart, secure, and seamless solution for automated last-mile delivery. These innovative docks streamline exchanges by eliminating manual intervention and technical barriers, ensuring efficient data validation and synchronization. With robust security, precise tracking, and support for diverse goods—including temperature-controlled options for food and medicine—Arrive Points enhance chain of custody and product integrity. By bridging physical and digital interfaces, they are paving the way for scalable, fully autonomous delivery networks.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have three primary revenue streams: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is currently generating revenue through subscription services for Arrive Points, along with installation, support, and infrastructure agreements with customers. We intend to provide our ALM access points to both businesses and consumers through monthly and annual subscription fees. This turnkey service includes hardware, software, support, maintenance, installation/uninstallation, and financing for long-term deployed assets. Our third-generation Arrive Points (“AP3” units), began revenue operation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Data monetization via models and insights generated by machine learning and artificial intelligence (“ML” and “AI”). Machine learning facilitates our systems’ ability to learn and improve from experience using data patterns, while artificial intelligence encompasses broader capabilities and models to simulate human intelligence and decision-making. We plan to use both technologies distinctly: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Machine learning: Primarily expected to be deployed in our fourth and fifth-generation Arrive Points (“AP4” and “AP5” units) for local IoT (Internet of Things) data processing, edge computing (inferencing) for environment and transactional models, and interactions models for drones and robots.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Artificial intelligence: Used more broadly to analyze and derive insights from our network’s transactional and environmental data through complex AI models, but we will also leverage foundational AI models like ChatGPT or LLaMa for device-based human interactions.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Arrive Point Exchange. Our network of Arrive Points, the supporting software and AI plus ML, collectively create a platform that is intended to 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This platform will provide a broad array of critical functions for the ALM ecosystem including arrival/departure scheduling, space optimization, smart delivery notifications, micro weather conditions, local restrictions, transactional status updates, and automation issues/obstacles. These advanced capabilities will be introduced in our AP5 development and pilot program currently in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differentiate ourselves through a comprehensive, integrated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Universal Compatibility: Our multi-generational Arrive Points (AP3, AP4, AP5) are being developed for universal support of all drone and robotic delivery systems, overcoming a major hurdle for widespread ALM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End-to-End Solution: We will combine advanced hardware with a powerful software platform and AI/ML capabilities, offering a complete ecosystem for automated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Early Market Penetration: We have already secured pilot programs with significant customers, including a regional hospital and a specialty pharmaceutical delivery company, demonstrating early validation and learning opportunities for sustainable economics.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51,859,347 shares outstanding. On a fully diluted basis, including outstanding warrants (exercisable for 28,252 shares), options (exercisable for 607,068 shares), and restricted stock units (4,730,248 shares) our total share count is 57,224,915. Additionally, under the Streeterville Purchase Agreement (the “Purchase Agreement”), approximately 16,090,884 shares may be issuable at a discount to the market price upon conversion of the outstanding principal and interest as of June 30, 2026. The Purchase Agreement also specifies the re-purchase of 2,937,500 outstanding pre-delivery shares at par value upon expiration or termination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potential dilution under different conversion scenarios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Scenario</w:t>
      </w:r>
    </w:p>
    <w:p>
      <w:pPr>
        <w:pStyle w:val="TextBody"/>
        <w:bidi w:val="0"/>
        <w:spacing w:before="0" w:after="0"/>
        <w:ind w:left="0" w:right="0" w:hanging="0"/>
        <w:jc w:val="both"/>
        <w:rPr>
          <w:caps w:val="false"/>
          <w:smallCaps w:val="false"/>
        </w:rPr>
      </w:pPr>
      <w:r>
        <w:rPr>
          <w:caps w:val="false"/>
          <w:smallCaps w:val="false"/>
        </w:rPr>
        <w:t> </w:t>
      </w:r>
    </w:p>
    <w:tbl>
      <w:tblPr>
        <w:tblW w:w="8634" w:type="dxa"/>
        <w:jc w:val="left"/>
        <w:tblInd w:w="0" w:type="dxa"/>
        <w:tblLayout w:type="fixed"/>
        <w:tblCellMar>
          <w:top w:w="0" w:type="dxa"/>
          <w:left w:w="0" w:type="dxa"/>
          <w:bottom w:w="0" w:type="dxa"/>
          <w:right w:w="0" w:type="dxa"/>
        </w:tblCellMar>
      </w:tblPr>
      <w:tblGrid>
        <w:gridCol w:w="4835"/>
        <w:gridCol w:w="60"/>
        <w:gridCol w:w="104"/>
        <w:gridCol w:w="1925"/>
        <w:gridCol w:w="245"/>
        <w:gridCol w:w="60"/>
        <w:gridCol w:w="220"/>
        <w:gridCol w:w="955"/>
        <w:gridCol w:w="23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Outstanding</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Increase</w:t>
            </w:r>
          </w:p>
        </w:tc>
        <w:tc>
          <w:tcPr>
            <w:tcW w:w="23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Current Outstanding (June 30,2026)</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51,859,347</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4835" w:type="dxa"/>
            <w:tcBorders/>
            <w:shd w:fill="FFFFFF" w:val="clear"/>
            <w:vAlign w:val="center"/>
          </w:tcPr>
          <w:p>
            <w:pPr>
              <w:pStyle w:val="TableContents"/>
              <w:bidi w:val="0"/>
              <w:spacing w:before="0" w:after="283"/>
              <w:jc w:val="left"/>
              <w:rPr/>
            </w:pPr>
            <w:r>
              <w:rPr/>
              <w:t>With all options, warrants, and RSUs exercised</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pPr>
            <w:r>
              <w:rPr/>
              <w:t>57,224,915</w:t>
            </w:r>
          </w:p>
        </w:tc>
        <w:tc>
          <w:tcPr>
            <w:tcW w:w="24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10</w:t>
            </w:r>
          </w:p>
        </w:tc>
        <w:tc>
          <w:tcPr>
            <w:tcW w:w="230" w:type="dxa"/>
            <w:tcBorders/>
            <w:shd w:fill="FFFFFF" w:val="clear"/>
            <w:vAlign w:val="center"/>
          </w:tcPr>
          <w:p>
            <w:pPr>
              <w:pStyle w:val="TableContents"/>
              <w:bidi w:val="0"/>
              <w:spacing w:before="0" w:after="283"/>
              <w:jc w:val="left"/>
              <w:rPr/>
            </w:pPr>
            <w:r>
              <w:rPr/>
              <w:t>%</w:t>
            </w:r>
          </w:p>
        </w:tc>
      </w:tr>
      <w:tr>
        <w:trPr/>
        <w:tc>
          <w:tcPr>
            <w:tcW w:w="4835" w:type="dxa"/>
            <w:tcBorders/>
            <w:shd w:fill="CCEEFF" w:val="clear"/>
            <w:vAlign w:val="center"/>
          </w:tcPr>
          <w:p>
            <w:pPr>
              <w:pStyle w:val="TableContents"/>
              <w:bidi w:val="0"/>
              <w:spacing w:before="0" w:after="283"/>
              <w:jc w:val="left"/>
              <w:rPr/>
            </w:pPr>
            <w:r>
              <w:rPr/>
              <w:t>With conversion of Streeterville balance at June 30</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73,315,799</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41</w:t>
            </w:r>
          </w:p>
        </w:tc>
        <w:tc>
          <w:tcPr>
            <w:tcW w:w="230" w:type="dxa"/>
            <w:tcBorders/>
            <w:shd w:fill="CCEEFF" w:val="clear"/>
            <w:vAlign w:val="center"/>
          </w:tcPr>
          <w:p>
            <w:pPr>
              <w:pStyle w:val="TableContents"/>
              <w:bidi w:val="0"/>
              <w:spacing w:before="0" w:after="283"/>
              <w:jc w:val="left"/>
              <w:rPr/>
            </w:pPr>
            <w:r>
              <w:rPr/>
              <w:t>%</w:t>
            </w:r>
          </w:p>
        </w:tc>
      </w:tr>
      <w:tr>
        <w:trPr/>
        <w:tc>
          <w:tcPr>
            <w:tcW w:w="4835" w:type="dxa"/>
            <w:tcBorders/>
            <w:shd w:fill="FFFFFF" w:val="clear"/>
            <w:vAlign w:val="center"/>
          </w:tcPr>
          <w:p>
            <w:pPr>
              <w:pStyle w:val="TableContents"/>
              <w:bidi w:val="0"/>
              <w:spacing w:before="0" w:after="283"/>
              <w:jc w:val="left"/>
              <w:rPr/>
            </w:pPr>
            <w:r>
              <w:rPr/>
              <w:t>With re-purchase of pre-delivery shares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pPr>
            <w:r>
              <w:rPr/>
              <w:t>70,378,299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36</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assumes conversion of outstanding principal and interest as of June 30, 2026, using the conversion price calculated from the minimum ten-day volume-weighted average price on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amounts shown above represent the period-end shares on a fully diluted basis. These potential issuances could materially dilute existing stockholders, particularly if conversion occurs at depressed share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Standstill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we entered into a Standstill Agreement (the “Standstill Agreement”) with Streeterville Capital, LLC, a Utah limited liability company (the “Investor”). The Standstill Agreement was entered into in connection with that certain Securities Purchase Agreement, dated March 21, 2025, by and between us and the Investor (the “Purchase Agreement” and, together with all other documents entered into in connection therewith, the “Transaction Documents”), pursuant to which we previously sold and issued to the Investor a series of Pre-Paid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Standstill Agreement, the Investor has agreed, subject to certain conditions, to refrain from delivering Purchase Notices to us under any outstanding Pre-Paid Purchases for the period beginning on May 14, 2026 and ending on December 31, 2026 (the “Standstill Period”). Notwithstanding the foregoing, the Investor may submit purchase notices during the Standstill Period on any trading day on which our shares of common stock trade at a price that is at least fifteen percent (15%) greater than the Nasdaq Minimum Price (as defined under Nasdaq Rule 5635(d)) for such trading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Standstill Agreement, each outstanding pre-paid purchase remains in full force and effect in accordance with its terms. The Standstill Agreement will terminate upon the occurrence of any material breach of the Standstill Agreement by us or any event of default under any Transaction Document, at which time the Investor shall have the right to submit Purchase Notices in accordance with the applicable outstanding Pre-Paid Purchases. No additional cash or other property consideration was exchanged in connection with the Standstill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Standstill Agreement does not purport to be complete and is qualified in its entirety by reference to the full text of the Standstill Agreement, a copy of which was filed as Exhibit 10.1 to the Company’s Current Report on Form 8-K filed with the Securities and Exchange Commission on May 18, 2026,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2026, the Company entered into an Equity Distribution Agreement (the “Sales Agreement”) with Maxim Group LLC (“Maxim”), to sell shares of its common stock, par value $0.0002 per share (the “Shares”), having an aggregate offering price of up to $14,967,247, from time to time, through an “at the market offering” program under which Maxim, acting as sales agent, will offer and sell the Shares. The Company will pay Maxim a commission rate equal to 2.5% of the gross sales price from each sale of Shares. The Sales Agreement contains customary representations and warranties and conditions to the sale of the Shares.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obligated to sell any of the Shares under the Sales Agreement and may at any time suspend sales thereunder. The Sales Agreement may be terminated by the Company with five days’ notice following six months from the date of the Sales Agreement, or by Maxim with five days’ notice at any time, or earlier under certain circumstances.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issued pursuant to the Company’s shelf registration statement on Form S-3 (File No. 333-296392) filed by the Company with the SEC and declared effective by the SEC on June 11, 2026 (the “Registration Statement”). The Company filed a prospectus supplement (the “Prospectus Supplement”), dated June 12, 2026, to the Registration Statement with the SEC in connection with the offer and sale of the Shares.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Sales Agreement is not complete and is qualified in its entirety by reference to the full text of such agreement, a copy of which is filed as Exhibit 10.1 to the Company’s Current Report on Form 8-K filed with the Securities and Exchange Commission on June 12, 2026, and is incorporated herein by reference.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Departure of Chief Financial Officer and Director</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Todd Pepmeier, Chief Financial Officer of the Company, notified the Company of his resignation from his position as Chief Financial Officer, effective August 10,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Laurie Tucker resigned from her position as a director of the Company. Ms. Tucker’s resignation was not the result of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Floor Price Trigger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our VWAP fell below the Floor Price of $0.25 per share for at least five Trading Days within a seven consecutive Trading Day period, constituting a Floor Price Trigger under the SPA. As a result of this triggering event, we became obligated to make mandatory monthly cash repayments totaling $962,500, plus accrued and unpaid interest, beginning three Trading Days after the trigger date. These mandatory repayments consist of $550,000 under Pre-paid Purchase Agreement 2 and $412,500 under Pre-paid Purchase Agreement 3. These mandatory repayment obligations will continue until such time as our VWAP exceeds 120% of the Floor Price (i.e., $0.30 per share) for five consecutive Trading Days. There can be no assurance that this cure condition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discussions with Streeterville regarding potential remediation of the obligations arising from the Floor Price Trigger. There can be no assurance that the Company and Streeterville will reach any agreement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our Board of Directors appointed Piyush Phadke as our Chief Financial Officer, with his duties and responsibilities as Chief Financial Officer commencing as of August 17, 2026. Mr. Phadke brings more than 20 years of capital markets and investment banking experience, including senior roles at Bank of America, BTIG, and Jefferies. For a more complete description of Mr. Phadke’s appointment, please refer to our Current Report on Form 8-K filed on August 12, 2026,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And Challenges Facing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Dependence on Streeterville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financings with Streeterville Capital involve pre-paid purchase agreements that permit the investor to acquire our common shares at a discount to market price. These arrangements may cause significant shareholder dilution and could exert downward pressure on our stock price. Certain triggers, including sustained declines in our share price, could accelerate cash repayment obligations, which we may not be able to meet.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Listing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received two separate notification letters from The Nasdaq Stock Market LLC (“Nasdaq”) indicating that we were not in compliance with certain continued listing requirements of The Nasdaq Global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notification letter advised that we were not in compliance with Nasdaq Listing Rule 5450(b)(2)(C), which requires a minimum Market Value of Publicly Held Shares (“MVPHS Requirement”) of $15,000,000 for continued listing on The Nasdaq Global Market, as we failed to meet the MVPHS requirement for a period of 30 consecutive business days from February 11, 2026 to March 31, 2026. The second notification letter advised that we were not in compliance with Nasdaq Listing Rule 5450(b)(2)(A), which requires a minimum Market Value of Listed Securities (“MVLS Requirement”) of $50,000,000 for continued listing on The Nasdaq Global Market, as we failed to meet the MVLS requirement for a period of 30 consecutive business days from February 10, 2026 to March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notification letters afforded us 180 calendar days, or until September 28, 2026, to regain compliance. The notification letters were previously described in Item 1A of our Annual Report on Form 10-K for the fiscal year ended December 31, 2025, filed with the SEC on April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deficiencies were outstanding as of March 31, 2026. Subsequent to March 31, 2026, we regained compliance with the MVPHS Requirement. On April 24, 2026, Nasdaq notified us that we had regained compliance with Nasdaq Listing Rule 5450(b)(2)(C), and that this matter is now closed. We disclosed this development in a Current Report on Form 8-K filed with the SEC on April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MVLS deficiency remains outstanding as of the date of this filing. We continue to monitor our MVLS and intend to regain compliance prior to the September 28, 2026 deadline, though there can be no assurance that we will be able to do so. If we do not regain compliance by September 28, 2026, Nasdaq may initiate delisting proceedings, and our common stock could be subject to suspension and delisting from The Nasdaq Global Market. Our common stock continues to trade on Nasdaq under the symbol “ARAI,” and the outstanding MVLS deficiency notice has no immediate effect on the listing or trading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we received an additional deficiency letter from Nasdaq notifying us that, based upon the closing bid price of our common stock for the last 30 consecutive business days, we are not in compliance with the minimum bid price requirement of $1.00 per share for continued listing on The Nasdaq Global Market, as set forth in Nasdaq Listing Rule 5450(a)(1) (the “Minimum Bid Price Requirement”). In accordance with Nasdaq Listing Rule 5810(c)(3)(A), we have 180 calendar days, or until November 30, 2026, to regain compliance. To regain compliance, the closing bid price of our common stock must meet or exceed $1.00 per share for a minimum of ten consecutive business days prior to November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regain compliance by November 30, 2026, we may be eligible for a second 180-day compliance period. However, such eligibility requires that we apply to transfer our listing from The Nasdaq Global Market to The Nasdaq Capital Market and that we meet all applicable initial listing standards for The Nasdaq Capital Market, other than the minimum bid price requirement, at the time of any such application. There can be no assurance that we would meet those standards or that Nasdaq would approve any such transfer. If we do not regain compliance within the first 180-day period and are not eligible for or do not obtain a second compliance period, Nasdaq will provide notice that our common stock will be subject to delisting, and we would be entitled to appeal that determination to a Nasdaq hearings panel.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Bid Price deficiency notice has no immediate effect on the listing or trading of our common stock, which continues to trade on Nasdaq under the symbol “ARAI.” We intend to actively monitor our common stock bid price and evaluate available options to regain compliance, including the potential use of a reverse stock split, though there can be no assurance that we will be able to do so within the allotted compliance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on July 21, 2026, we received a new notification letter from Nasdaq advising that we were again not in compliance with the MVPHS Requirement under Nasdaq Listing Rule 5450(b)(2)(C), as we failed to meet the $15,000,000 minimum Market Value of Publicly Held Shares for 32 consecutive business days from June 3, 2026 to July 20, 2026. This is a renewed deficiency under the same rule for which we previously regained compliance, as described above. We have 180 calendar days, or until January 19, 2027, to regain compliance, which requires the MVPHS to equal or exceed $15,000,000 for a minimum of 10 consecutive business days prior to that date. If we do not regain compliance by that date, we may consider applying to transfer our listing to The Nasdaq Capital Market, subject to meeting that market’s initial listing standards. The notification letter has no immediate effect on the listing or trading of our common stock, which continues to trade on Nasdaq under the symbol “ARAI.”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we therefore have three separate outstanding Nasdaq continued listing deficiencies: the MVLS deficiency (cure deadline September 28, 2026), the Minimum Bid Price deficiency (cure deadline November 30, 2026), and the renewed MVPHS deficiency (cure deadline January 19,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Controlled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ceased to be a “controlled company” within the meaning of the listing rules of The Nasdaq Stock Market LLC on or around April 9, 2026, and is permitted to continue to rely on exemptions from certain Nasdaq corporate governance requirements within a year following such date, including the requirement that a majority of the Board consist of independent directors and the requirement that the compensation and nominating committees be composed entirely of independent directors. The Company currently relies on these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these exemptions, the Company maintains an Audit and Finance Committee composed entirely of independent directors in accordance with applicable Nasdaq and SEC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to date have been derived from a limited number of customers. In the six months ended June 30, 2026, more than 90% of our total revenue came from a single customer. If we are unable to expand our customer base and generate recurring subscription revenue, our results of operations will remain highly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 Chain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sure whether global supply chain shortages will impact our future plans. In order to mitigate supply chain risks, we may need to incur higher costs to secure available inventory and place non-cancelable purchase commitments with our suppliers, which could introduce inventory risk if our forecasts and assumptions prove inaccurate. Higher costs of components would impact our cash runway and delays in the manufacturing of our Arrive Points would push out our revenue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and Regulatory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on continued permission and acceptance by local governments and municipalities of autonomous robot and drone deliveries. Changes in regulations such as restrictions on autonomous vehicle operation or technical requirements such as size and weight restrictions or limitations on autonomy within a certain geographic area could reduce or limit our ability to generate revenues and/or impact our unit economics in those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w:t>
      </w:r>
      <w:r>
        <w:rPr>
          <w:rFonts w:ascii="Times New Roman;Times;Serif" w:hAnsi="Times New Roman;Times;Serif"/>
          <w:b w:val="false"/>
          <w:i w:val="false"/>
          <w:caps w:val="false"/>
          <w:smallCaps w:val="false"/>
          <w:sz w:val="20"/>
        </w:rPr>
        <w:t xml:space="preserve"> Revenue consists of consulting services, installation services and subscription fees. Consulting services, and installation fees are typically project-based and non-recurring in nature. Subscription services are recurring and paid either up-front or monthly for an annual term. We anticipate these revenue streams to continue in future quarters while we develop new revenue models for the autonomous delivery marketplace and AI data insight monetization.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and Administrative Expenses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General and administrative expenses primarily consist of personnel-related costs, legal and professional services, rent, information technology expenses, insurance, general corporate expenses as well as depreciation on property and equipment as well as amortization of right of 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Research and Development Expenses.</w:t>
      </w:r>
      <w:r>
        <w:rPr>
          <w:rFonts w:ascii="Times New Roman;Times;Serif" w:hAnsi="Times New Roman;Times;Serif"/>
          <w:b w:val="false"/>
          <w:i w:val="false"/>
          <w:caps w:val="false"/>
          <w:smallCaps w:val="false"/>
          <w:sz w:val="20"/>
        </w:rPr>
        <w:t xml:space="preserve"> Costs incurred in the research and development of the Company’s products are expensed as incurred. Research and development costs include product design, hardware and software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Sales and Marketing Expenses.</w:t>
      </w:r>
      <w:r>
        <w:rPr>
          <w:rFonts w:ascii="Times New Roman;Times;Serif" w:hAnsi="Times New Roman;Times;Serif"/>
          <w:b w:val="false"/>
          <w:i w:val="false"/>
          <w:caps w:val="false"/>
          <w:smallCaps w:val="false"/>
          <w:sz w:val="20"/>
        </w:rPr>
        <w:t xml:space="preserve"> Sales and marketing expenses include advertising, marketing, trade shows and travel.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Interest Expense. </w:t>
      </w:r>
      <w:r>
        <w:rPr>
          <w:rFonts w:ascii="Times New Roman;Times;Serif" w:hAnsi="Times New Roman;Times;Serif"/>
          <w:b w:val="false"/>
          <w:i w:val="false"/>
          <w:caps w:val="false"/>
          <w:smallCaps w:val="false"/>
          <w:sz w:val="20"/>
        </w:rPr>
        <w:t>Interest expense consists of interest on notes payable, finance and leasing instruments,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Income, Net.</w:t>
      </w:r>
      <w:r>
        <w:rPr>
          <w:rFonts w:ascii="Times New Roman;Times;Serif" w:hAnsi="Times New Roman;Times;Serif"/>
          <w:b w:val="false"/>
          <w:i w:val="false"/>
          <w:caps w:val="false"/>
          <w:smallCaps w:val="false"/>
          <w:sz w:val="20"/>
        </w:rPr>
        <w:t xml:space="preserve"> Other income includes payroll tax refunds earned under the federal research and development (“R&amp;D”) tax credit program, state tax refunds from Indiana EDGE tax credits, funds from grants, and dividend and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Change in Fair Value of Derivative Liabilities. </w:t>
      </w:r>
      <w:r>
        <w:rPr>
          <w:rFonts w:ascii="Times New Roman;Times;Serif" w:hAnsi="Times New Roman;Times;Serif"/>
          <w:b w:val="false"/>
          <w:i w:val="false"/>
          <w:caps w:val="false"/>
          <w:smallCaps w:val="false"/>
          <w:sz w:val="20"/>
        </w:rPr>
        <w:t>Change in fair value of derivative liabilities consists of non-cash gains and losses arising from the remeasurement of bifurcated derivative liabilities associated with the Company’s convertible notes at each reporting date and conversion date using a Monte Carlo simulation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Accretion of Debt Discount. </w:t>
      </w:r>
      <w:r>
        <w:rPr>
          <w:rFonts w:ascii="Times New Roman;Times;Serif" w:hAnsi="Times New Roman;Times;Serif"/>
          <w:b w:val="false"/>
          <w:i w:val="false"/>
          <w:caps w:val="false"/>
          <w:smallCaps w:val="false"/>
          <w:sz w:val="20"/>
        </w:rPr>
        <w:t>Accretion of debt discount consists of the non-cash accretion of the combined discount on the host convertible note instruments, comprising original issue discount, the fair value of each bifurcated derivative at issuance, and allocable debt issuance costs, recognized using the effective interest method over the estimated term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Loss on Conversion of Convertible Notes Payable. </w:t>
      </w:r>
      <w:r>
        <w:rPr>
          <w:rFonts w:ascii="Times New Roman;Times;Serif" w:hAnsi="Times New Roman;Times;Serif"/>
          <w:b w:val="false"/>
          <w:i w:val="false"/>
          <w:caps w:val="false"/>
          <w:smallCaps w:val="false"/>
          <w:sz w:val="20"/>
        </w:rPr>
        <w:t>Loss on conversion of convertible notes payable consists of losses recognized upon the conversion of convertible notes principal into common stock, representing the difference between the net carrying value of the debt retired less consideration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Realized Gain (Loss) on Investments.</w:t>
      </w:r>
      <w:r>
        <w:rPr>
          <w:rFonts w:ascii="Times New Roman;Times;Serif" w:hAnsi="Times New Roman;Times;Serif"/>
          <w:b w:val="false"/>
          <w:i w:val="false"/>
          <w:caps w:val="false"/>
          <w:smallCaps w:val="false"/>
          <w:sz w:val="20"/>
        </w:rPr>
        <w:t xml:space="preserve"> Realized gain (loss) on investments consists of net gains and losses recognized upon the sale or settlement of exchange-traded equity securities and options held as part of the Company’s strategy to generate short-term returns on excess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Unrealized Gain (Loss) on Investment. </w:t>
      </w:r>
      <w:r>
        <w:rPr>
          <w:rFonts w:ascii="Times New Roman;Times;Serif" w:hAnsi="Times New Roman;Times;Serif"/>
          <w:b w:val="false"/>
          <w:i w:val="false"/>
          <w:caps w:val="false"/>
          <w:smallCaps w:val="false"/>
          <w:sz w:val="20"/>
        </w:rPr>
        <w:t>Unrealized gain (loss) on investments consists of net gains and losses on exchange-traded equity securities and options that have not yet been sold or settled as of period end. These are held as part of the Company’s strategy to generate short-term returns on excess cash.</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June 30, 2025</w:t>
      </w:r>
    </w:p>
    <w:p>
      <w:pPr>
        <w:pStyle w:val="TextBody"/>
        <w:bidi w:val="0"/>
        <w:spacing w:before="0" w:after="0"/>
        <w:ind w:left="0" w:right="0" w:hanging="0"/>
        <w:jc w:val="both"/>
        <w:rPr>
          <w:caps w:val="false"/>
          <w:smallCaps w:val="false"/>
        </w:rPr>
      </w:pPr>
      <w:r>
        <w:rPr>
          <w:caps w:val="false"/>
          <w:smallCaps w:val="false"/>
        </w:rPr>
        <w:t> </w:t>
      </w:r>
    </w:p>
    <w:tbl>
      <w:tblPr>
        <w:tblW w:w="8900" w:type="dxa"/>
        <w:jc w:val="left"/>
        <w:tblInd w:w="0" w:type="dxa"/>
        <w:tblLayout w:type="fixed"/>
        <w:tblCellMar>
          <w:top w:w="0" w:type="dxa"/>
          <w:left w:w="0" w:type="dxa"/>
          <w:bottom w:w="0" w:type="dxa"/>
          <w:right w:w="0" w:type="dxa"/>
        </w:tblCellMar>
      </w:tblPr>
      <w:tblGrid>
        <w:gridCol w:w="4595"/>
        <w:gridCol w:w="60"/>
        <w:gridCol w:w="140"/>
        <w:gridCol w:w="1175"/>
        <w:gridCol w:w="95"/>
        <w:gridCol w:w="60"/>
        <w:gridCol w:w="140"/>
        <w:gridCol w:w="1055"/>
        <w:gridCol w:w="95"/>
        <w:gridCol w:w="60"/>
        <w:gridCol w:w="140"/>
        <w:gridCol w:w="1175"/>
        <w:gridCol w:w="110"/>
      </w:tblGrid>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90,725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(76,025</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4,048,851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3,474,059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574,792</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346,541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293,468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53,073</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72,064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49,602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22,462</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4,467,456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3,817,129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650,327</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(153,476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(168,080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14,604</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150,878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107,726</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93,053</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(96,947</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both"/>
              <w:rPr/>
            </w:pPr>
            <w:r>
              <w:rPr/>
              <w:t>Accretion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(128,946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(101,208</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both"/>
              <w:rPr/>
            </w:pPr>
            <w:r>
              <w:rPr/>
              <w:t>Loss 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(9,696,797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(9,696,797</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both"/>
              <w:rPr/>
            </w:pPr>
            <w:r>
              <w:rPr/>
              <w:t>Realized gain (loss)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(123,506</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both"/>
              <w:rPr/>
            </w:pPr>
            <w:r>
              <w:rPr/>
              <w:t>Unrealized gain (loss) on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241,136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241,136</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Loss on disposal of 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(5,974</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Total 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(9,623,632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37,333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(9,660,965</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(14,076,388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(3,689,071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(10,387,317</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b/>
              </w:rPr>
            </w:pPr>
            <w:r>
              <w:rPr>
                <w:b/>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(14,076,388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(3,689,071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(10,387,317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and 2025, we generated revenues of $14,700 and $90,725, respectively, and reported net loss of $14,076,388 and $3,689,071, respectively. During the three months ended June 30, 2026, operating expenses reflect growing investment in the size of our team for product development, engineering and marketing activities. During the three months ended June 30, 2026, other expenses reflect the activities associated with our convertible notes payable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we recognized total revenues of $14,700 for monthly subscriptions to the Arrive Point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we recognized total revenues of $90,725. Of this $89,000 was for design and consulting services, $1,500 for installation fees, and $225 for monthly subscriptions.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$4,048,851 for the three months ended June 30, 2026, an increase of $574,792, as compared to the three months ended June 30, 2025. Primary components of general and administrative expenses were: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Salaries and benefits in total decreased by $144,794 from the prior year. Bonus expense decreased by $1,865,131 from the same period in the prior year due to a large one-time bonus paid in the 2025 period related to the direct listing. Base salaries for the three months ended June 30, 2026 were $1,665,023, an increase of $1,497,896 from the same period in the prior year due to new hiring in product development, engineering, and sales and marketing. As of June 30, 2026, the Company had 50 full-time salaried employees, compared to six as of June 30, 2025. Stock-based compensation for the three months ended June 30, 2026 was $802,289, an increase of $120,720 from the same period in the prior year due to option and stock award plans granted to employees and directors. Benefits and payroll taxes increased $101,721 due to the increase in employees. </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service fees were $842,167 for the three months ended June 30, 2026, an increase of $330,728 from the same period in the prior year due to higher general corporate legal fees of $306,861, offset by a decrease in legal expenses related to patents of $15,335, and lower legal fees related to being a public company of $72,730. Audit, accounting, and related fees increased by $218,290, and other professional fees decreased by $106,338.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expense was $70,687, an increase of $16,193 from the same period in the prior year, due to higher directors and officers insurance premiums.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increased $158,887 from the same period in the prior year, as a result of entering into a new office building that will accommodate the increase in employees and growth and the leasing of delivery robots.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 and subscriptions expense was $110,148, an increase of $75,006 from the same period in the prior year, due to onboarding a new service provider as well as the increase in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increased by $55,247 from the same period in the prior year due to a higher capital expenditures in the last twelve months.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increase of $83,528 from the same period in the prior year is made up of immaterial individual increases.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$346,541 for the three months ended June 30, 2026, an increase of $53,073 as compared to the same period in the prior year. This is primarily due to the increase of engineering projects resulting in an increase in expense of $163,466, offset by lower independent contractor spend of $110,394.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$72,064 for the three months ended June 30, 2026, an increase of $22,462 from the same period in the prior year. The increase is due to increased advertising expenses of $23,204, increase in trade show expense of $398, offset by a decrease in travel and meals and entertainment expense of $1,140.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of $153,476 for the three months ended June 30, 2026 was comprised primarily of stated interest on the convertible note of $133,074, and amortization of debt issuance costs of the convertible notes payable of $14,908. Other miscellaneous interest expense and bank fees were $5,492 during the three months ended June 30, 2026. Interest expense and bank fees for the three months ended June 30, 2025 were $2,212.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of $150,879 for the three months ended June 30, 2026 was primarily recognized from R&amp;D Tax Credits of $94,589 and dividend and interest income of $56,290. Other income of $43,151 for the three months ended June 30, 2025 was recognized from the Indiana EDGE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resulted in a non-cash gain of $93,053 for the three months ended June 30, 2026, a decrease of $96,947 compared to the same period gain of $190,000 in 2025. The embedded conversion feature of each convertible note was bifurcated as a derivative liability at issuance under ASC 815 due to the path-dependent lookback formula used to determine the conversion price. Each derivative is remeasured at fair value using a Monte Carlo simulation model at each reporting and conversion date, with changes recognized in earnings. The gain reflects the decline in the Company’s stock price from each issuance date to June 30, 2026, which reduced the expected value of the noteholder’s conversion optionality.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debt discount resulted in a non-cash charge of $128,946 in 2026, an increase of $101,208 compared to the same period in 2025, representing EIM accretion of the combined discount on the host convertible note instruments, consisting of original issue discount, the fair value of each bifurcated derivative at issuance, and allocable debt issuance costs, over the estimated three-year expected term of the notes.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of convertible notes payable of $9,696,797 for the three months ended June 30, 2026 resulted from the issuance of common stock for the conversion of convertible notes payable, an increase of $9,696,797 compared to the same period in 2025. Under ASC 470-50, each conversion was treated as a debt conversion, and the loss represents the difference between the net carrying value converted and the fair value of common stock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losses on investments were $123,506, and unrealized gains were $241,136 for the three months ended June 30, 2026. During the quarter, the Company engaged in short-term investment activities, primarily options, resulting in a realized gain of $504,112 and unrealized loss of $26,500. The Company’s short-term investments, primarily in marketable securities, contributed a realized loss of $627,618 and an unrealized gain of $267,636 for the quarter. These activities are part of the Company’s strategy to generate short-term returns on excess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fixed assets was $5,974 and was the result of a partially depreciated Arrive Point taken out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June 30, 2025</w:t>
      </w:r>
    </w:p>
    <w:p>
      <w:pPr>
        <w:pStyle w:val="TextBody"/>
        <w:bidi w:val="0"/>
        <w:spacing w:before="0" w:after="0"/>
        <w:ind w:left="0" w:right="0" w:hanging="0"/>
        <w:jc w:val="both"/>
        <w:rPr>
          <w:caps w:val="false"/>
          <w:smallCaps w:val="false"/>
        </w:rPr>
      </w:pPr>
      <w:r>
        <w:rPr>
          <w:caps w:val="false"/>
          <w:smallCaps w:val="false"/>
        </w:rPr>
        <w:t> </w:t>
      </w:r>
    </w:p>
    <w:tbl>
      <w:tblPr>
        <w:tblW w:w="7700" w:type="dxa"/>
        <w:jc w:val="left"/>
        <w:tblInd w:w="0" w:type="dxa"/>
        <w:tblLayout w:type="fixed"/>
        <w:tblCellMar>
          <w:top w:w="0" w:type="dxa"/>
          <w:left w:w="0" w:type="dxa"/>
          <w:bottom w:w="0" w:type="dxa"/>
          <w:right w:w="0" w:type="dxa"/>
        </w:tblCellMar>
      </w:tblPr>
      <w:tblGrid>
        <w:gridCol w:w="3965"/>
        <w:gridCol w:w="60"/>
        <w:gridCol w:w="125"/>
        <w:gridCol w:w="1010"/>
        <w:gridCol w:w="80"/>
        <w:gridCol w:w="60"/>
        <w:gridCol w:w="125"/>
        <w:gridCol w:w="905"/>
        <w:gridCol w:w="80"/>
        <w:gridCol w:w="60"/>
        <w:gridCol w:w="125"/>
        <w:gridCol w:w="1010"/>
        <w:gridCol w:w="95"/>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w:t>
            </w:r>
          </w:p>
        </w:tc>
        <w:tc>
          <w:tcPr>
            <w:tcW w:w="9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b/>
                <w:sz w:val="20"/>
              </w:rPr>
            </w:pPr>
            <w:r>
              <w:rPr>
                <w:b/>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29,625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90,725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(61,100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b/>
                <w:sz w:val="20"/>
              </w:rPr>
            </w:pPr>
            <w:r>
              <w:rPr>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8,258,917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5,369,038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2,889,879</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703,614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384,731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318,883</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sz w:val="20"/>
              </w:rPr>
            </w:pPr>
            <w:r>
              <w:rPr>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183,414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57,263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126,151</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9,145,945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5,811,032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3,334,913</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b/>
                <w:sz w:val="20"/>
              </w:rPr>
            </w:pPr>
            <w:r>
              <w:rPr>
                <w:b/>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sz w:val="20"/>
              </w:rPr>
            </w:pP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(515,346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(169,257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(346,089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965" w:type="dxa"/>
            <w:tcBorders/>
            <w:shd w:fill="FFFFFF" w:val="clear"/>
            <w:vAlign w:val="center"/>
          </w:tcPr>
          <w:p>
            <w:pPr>
              <w:pStyle w:val="TableContents"/>
              <w:bidi w:val="0"/>
              <w:spacing w:before="0" w:after="283"/>
              <w:jc w:val="both"/>
              <w:rPr>
                <w:sz w:val="20"/>
              </w:rPr>
            </w:pPr>
            <w:r>
              <w:rPr>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328,668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60,066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268,602</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sz w:val="20"/>
              </w:rPr>
            </w:pPr>
            <w:r>
              <w:rPr>
                <w:sz w:val="20"/>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1,222,822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190,000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1,032,822</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sz w:val="20"/>
              </w:rPr>
            </w:pPr>
            <w:r>
              <w:rPr>
                <w:sz w:val="20"/>
              </w:rPr>
              <w:t>Accretion of debt discount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(379,915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(27,738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(352,177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65" w:type="dxa"/>
            <w:tcBorders/>
            <w:shd w:fill="CCEEFF" w:val="clear"/>
            <w:vAlign w:val="center"/>
          </w:tcPr>
          <w:p>
            <w:pPr>
              <w:pStyle w:val="TableContents"/>
              <w:bidi w:val="0"/>
              <w:spacing w:before="0" w:after="283"/>
              <w:jc w:val="both"/>
              <w:rPr>
                <w:sz w:val="20"/>
              </w:rPr>
            </w:pPr>
            <w:r>
              <w:rPr>
                <w:sz w:val="20"/>
              </w:rPr>
              <w:t>Loss 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(12,042,410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(12,042,410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965" w:type="dxa"/>
            <w:tcBorders/>
            <w:shd w:fill="FFFFFF" w:val="clear"/>
            <w:vAlign w:val="center"/>
          </w:tcPr>
          <w:p>
            <w:pPr>
              <w:pStyle w:val="TableContents"/>
              <w:bidi w:val="0"/>
              <w:spacing w:before="0" w:after="283"/>
              <w:jc w:val="both"/>
              <w:rPr>
                <w:sz w:val="20"/>
              </w:rPr>
            </w:pPr>
            <w:r>
              <w:rPr>
                <w:sz w:val="20"/>
              </w:rPr>
              <w:t>Realized gain (loss) on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322,818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322,818</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sz w:val="20"/>
              </w:rPr>
            </w:pPr>
            <w:r>
              <w:rPr>
                <w:sz w:val="20"/>
              </w:rPr>
              <w:t>Unrealized gain (loss)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(260,976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(260,976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965" w:type="dxa"/>
            <w:tcBorders/>
            <w:shd w:fill="FFFFFF" w:val="clear"/>
            <w:vAlign w:val="center"/>
          </w:tcPr>
          <w:p>
            <w:pPr>
              <w:pStyle w:val="TableContents"/>
              <w:bidi w:val="0"/>
              <w:spacing w:before="0" w:after="283"/>
              <w:jc w:val="both"/>
              <w:rPr>
                <w:sz w:val="20"/>
              </w:rPr>
            </w:pPr>
            <w:r>
              <w:rPr>
                <w:sz w:val="20"/>
              </w:rPr>
              <w:t>Loss on disposal of fixed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(5,974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(5,974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sz w:val="20"/>
              </w:rPr>
            </w:pPr>
            <w:r>
              <w:rPr>
                <w:sz w:val="20"/>
              </w:rPr>
              <w:t>Total other income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(11,330,313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53,071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(11,383,384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b/>
                <w:sz w:val="20"/>
              </w:rPr>
            </w:pPr>
            <w:r>
              <w:rPr>
                <w:b/>
                <w:sz w:val="20"/>
              </w:rPr>
              <w:t>NET LOSS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(20,446,633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(5,667,236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(14,779,397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b/>
                <w:sz w:val="20"/>
              </w:rPr>
            </w:pPr>
            <w:r>
              <w:rPr>
                <w:b/>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b/>
                <w:sz w:val="20"/>
              </w:rPr>
            </w:pPr>
            <w:r>
              <w:rPr>
                <w:b/>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(20,446,633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(5,667,236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(14,779,397</w:t>
            </w:r>
          </w:p>
        </w:tc>
        <w:tc>
          <w:tcPr>
            <w:tcW w:w="9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we generated revenues of $29,625 and $90,725, respectively, and reported net loss of $20,446,633 and $5,667,236, respectively. During the six months ended June 30, 2026, operating expenses reflect growing investment in the size of our team for product development, engineering and marketing activities. During the six months ended June 30, 2026, other expenses reflect the activities associated with our convertible notes payable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recognized total revenues of $29,625 for monthly subscriptions to the Arrive Point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we recognized total revenues of $90,725. Of this $89,000 was for design and consulting services, $1,500 for installation fees, and $225 for monthly subscriptions.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$8,258,917 for the six months ended June 30, 2026, an increase of $2,889,879, as compared to the six months ended June 30, 2025. Primary components of general and administrative expenses were: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Salaries and benefits in total increased by $1,288,491 from the prior year. Base salaries for the six months ended June 30, 2026 were $3,210,990, an increase of $2,811,804 from the same period in the prior year due to new hiring in product development, engineering and sales and marketing. As of June 30, 2026, the Company had 50 full-time salaried employees, compared to six as of June 30, 2025. Benefits and payroll taxes increased $287,063 due to the increase in employees. Bonus expense decreased by $1,623,731 from the same period in the prior year due to a large one-time bonus paid in the 2025 period related to the direct listing of $1,866,532. Stock-based compensation for the six months ended June 30, 2026 was $1,846,078, a decrease of $186,645 from the same period in the prior year due to option and stock award plans granted to employees, directors, and consultants. </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service fees were $1,531,415 for the six months ended June 30, 2026, an increase of $819,774 from the same period in the prior year due to higher general corporate legal fees of $454,365, offset by a decrease in legal expenses related to patents of $24,515, and a decrease in legal expenses related to being a public company of $512. Audit, accounting, and related fees increased by $466,576, and other professional fees decreased $76,140.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expense was $127,794, an increase of $53,162 from the same period in the prior year, due to higher directors and officers insurance premiums.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increased $319,275 from the same period in the prior year, as a result of entering into a new office building that will accommodate the increase in employees and growth and the leasing of delivery robots.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 and subscriptions expense was $210,099, an increase of $153,772 from the same period in the prior year, due to onboarding a new service provider as well as the increase in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increased by $103,855 from the same period in the prior year due to a higher capital expenditures in the last twelve months.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increase of $155,366 from the same period in the prior year is made up of immaterial individual increases.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$703,614 for the six months ended June 30, 2026, an increase of $318,883 as compared to the same period in the prior year. This is primarily due to an increase in engineering projects resulting in an increase in expense of $359,670, offset by lower independent contractor spend of $40,787.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$183,414 for the six months ended June 30, 2026, an increase of $126,152 from the same period in the prior year. The increase is due to increased advertising expenses of $49,976, travel and meals and entertainment expense increase of $60,401, and trade show expense increase of $15,776.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of $515,346 for the six months ended June 30, 2026 was comprised primarily of the immediate expensing of the debt issuance costs associated with the bifurcated derivative of $92,400, stated interest on the convertible note of $372,940, and amortization of debt issuance costs of the convertible notes payable of $41,527. Other miscellaneous interest expense and bank fees were $8,479 during the six months ended June 30, 2026. Interest expense and bank fees for the six months ended June 30, 2025 was $169,257.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of $328,668 for the six months ended June 30, 2026 was recognized from disgorged short-swing profits from two executive officers of $129,701, R&amp;D Tax Credits of $94,589, and dividend and interest income of $104,378. Other income of $60,066 for the six months ended June 30, 2025 was recognized from the Indiana EDGE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resulted in a non-cash gain of $1,222,822 for the six months ended June 30, 2026, an increase of $1,032,822 compared to the same period gain of $190,000 in 2025. The embedded conversion feature of each convertible note was bifurcated as a derivative liability at issuance under ASC 815 due to the path-dependent lookback formula used to determine the conversion price. Each derivative is remeasured at fair value using a Monte Carlo simulation model at each reporting and conversion date, with changes recognized in earnings. The gain reflects the decline in the Company’s stock price from each issuance date to June 30, 2026, which reduced the expected value of the noteholder’s conversion optionality.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debt discount resulted in a non-cash charge of $379,915 for the six months ended June 30, 2026, an increase of $352,177 compared to the same period in 2025, representing EIM accretion of the combined discount on the host convertible note instruments, consisting of original issue discount, the fair value of each bifurcated derivative at issuance, and allocable debt issuance costs, over the estimated three-year expected term of the notes.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of convertible notes payable of $12,042,410 for the six months ended June 30, 2026 resulted from the issuance of common stock for the conversion of convertible notes payable. This was an increase of $12,042,410 compared to the same period in 2025. Under ASC 470-50, each conversion was treated as a debt conversion, and the loss represents the difference between the net carrying value converted and the fair value of common stock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gains on investments were $322,818, and unrealized losses were $260,976 for the six months ended June 30, 2026. During the six months ended June 30, 2026, the Company engaged in short-term investment activities, primarily options, resulting in a realized gain of $1,081,082 and unrealized losses of $26,500. The Company’s short-term investments, primarily in marketable securities, contributed a realized loss of $758,264 and an unrealized loss of $234,476 for the six months ended June 30, 2026. These activities are part of the Company’s strategy to generate short-term returns on excess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fixed assets was $5,974 and was the result of a partially depreciated Arrive Point taken out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approximately $2,976,535 and short-term investments of approximately $2,160,954.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10 of the financial statements, the Company is party to a convertible note payable financing arrangement with Streeterville (the “Streeterville Facility”), which initially provided a maximum facility of up to $40,000,000 in gross borrowings, subject to the terms and conditions of the agreement. As of June 30, 2026, the remaining undrawn capacity under the facility is $19,000,000. The convertible note payable includes limitations that may restrict additional borrowings, including (i) a limitation on total outstanding indebtedness and (ii) a minimum market capitalization requirement of $100 million and (iii) a minimum book value of $4 million at the time of a draw. Availability under this facility is subject to the Company’s ability to satisfy these conditions, or the investor’s continued practice of extending funds, despite certain conditions not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2026, the Company entered into an Equity Distribution Agreement with Maxim Group LLC providing for an at-the-market offering program under which the Company may sell shares of common stock with an aggregate offering price of up to $14,967,247. Sales under the ATM program are subject to market conditions, the trading price and volume of the Company’s common stock, and the continued effectiveness of the registration statement, and there can be no assurance as to the amount or timing of proceeds,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Financial Statements in Item 1 have been prepared on a going concern basis, which contemplates the realization of assets and the satisfaction of liabilities in the normal course of business. In accordance with ASC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evaluated whether conditions or events, considered in the aggregate, raise substantial doubt about the Company’s ability to continue as a going concern within one year after the date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recurring operating losses and has experienced negative cash flows from operations since inception and expects to continue to do so as it invests in product development, commercialization, and infrastructure. These conditions, considered in the aggregate,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to address its liquidity needs include: (i) utilizing existing cash and cash equivalents of $2,976,535 as of June 30, 2026, (ii) Liquidating $2,160,954 of existing short-term investments, (iii) accessing additional capital under the Company’s shelf registration statement on Form S-3, where the Company may sell shares of common stock with an aggregate offering price of up to $14,967,247, and (iv) potentially drawing additional amounts under the Securities Purchase Agreement with Streeterville, which provides up to an additional $19.0 million in gross borrowings, subject to certain conditions including a limitation on total outstanding indebtedness, a minimum market capitalization of $100 million and a minimum book value of $4 million at the time of each draw. The Company’s ability to access these funds is dependent on satisfying these conditions or obtain a waiver from Streeterville, if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is dependent upon its ability to execute its operating plan and obtain additional financing, whether through additional borrowings under the Securities Purchase Agreement (“SPA”)or other debt or equity financings. There can be no assurance that the Company will be able to access funds under the SPA or obtain additional debt or equity financing. Accordingly, substantial doubt about the Company’s ability to continue as a going concern is not alleviated by management’s plans. The accompanying Financial Statements do not include any adjustment that might result from the Company’s inability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on August 6, 2026, our VWAP fell below the Floor Price of $0.25 per share for at least five Trading Days within a seven consecutive Trading Day period, constituting a Floor Price Trigger under the SPA. As a result of this triggering event, we became obligated to make mandatory monthly cash repayments totaling $962,500, plus accrued and unpaid interest, beginning three Trading Days after the trigger date. These mandatory repayments consist of $550,000 under Pre-paid Purchase Agreement 2 and $412,500 under Pre-paid Purchase Agreement 3. These mandatory repayment obligations will continue until such time as our VWAP exceeds 120% of the Floor Price (i.e., $0.30 per share) for five consecutive Trading Days. There can be no assurance that this cure condition will occur. The Company is currently in discussions with Streeterville regarding potential remediation of the obligations arising from the Floor Price Trigger. There can be no assurance that the Company and Streeterville will reach any agreement with respect thereto.</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13, 2026, the Company’s cash, cash equivalents, and short-term investments are approximately $3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and Liquidity</w:t>
      </w:r>
    </w:p>
    <w:p>
      <w:pPr>
        <w:pStyle w:val="TextBody"/>
        <w:bidi w:val="0"/>
        <w:spacing w:before="0" w:after="0"/>
        <w:ind w:left="0" w:right="0" w:hanging="0"/>
        <w:jc w:val="both"/>
        <w:rPr>
          <w:caps w:val="false"/>
          <w:smallCaps w:val="false"/>
        </w:rPr>
      </w:pPr>
      <w:r>
        <w:rPr>
          <w:caps w:val="false"/>
          <w:smallCaps w:val="false"/>
        </w:rPr>
        <w:t> </w:t>
      </w:r>
    </w:p>
    <w:tbl>
      <w:tblPr>
        <w:tblW w:w="9298" w:type="dxa"/>
        <w:jc w:val="left"/>
        <w:tblInd w:w="0" w:type="dxa"/>
        <w:tblLayout w:type="fixed"/>
        <w:tblCellMar>
          <w:top w:w="0" w:type="dxa"/>
          <w:left w:w="0" w:type="dxa"/>
          <w:bottom w:w="0" w:type="dxa"/>
          <w:right w:w="0" w:type="dxa"/>
        </w:tblCellMar>
      </w:tblPr>
      <w:tblGrid>
        <w:gridCol w:w="4955"/>
        <w:gridCol w:w="60"/>
        <w:gridCol w:w="155"/>
        <w:gridCol w:w="1171"/>
        <w:gridCol w:w="105"/>
        <w:gridCol w:w="66"/>
        <w:gridCol w:w="155"/>
        <w:gridCol w:w="1171"/>
        <w:gridCol w:w="95"/>
        <w:gridCol w:w="60"/>
        <w:gridCol w:w="140"/>
        <w:gridCol w:w="1055"/>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both"/>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both"/>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(6,257,843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(3,799,494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(2,458,349</w:t>
            </w:r>
          </w:p>
        </w:tc>
        <w:tc>
          <w:tcPr>
            <w:tcW w:w="110"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both"/>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(2,479,970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(47,827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(2,432,143</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both"/>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9,610,344</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4,325,499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5,284,845</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both"/>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283"/>
              <w:jc w:val="right"/>
              <w:rPr/>
            </w:pPr>
            <w:r>
              <w:rPr/>
              <w:t>872,531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283"/>
              <w:jc w:val="right"/>
              <w:rPr/>
            </w:pPr>
            <w:r>
              <w:rPr/>
              <w:t>478,178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394,353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$6,257,843 for the six months ended June 30, 2026, compared to $3,799,494 for the same period in 2025. The increase in cash outflows of $2,458,349 was primarily due to our increased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our net loss of $20,446,633 was offset by non-cash items of stock-based compensation expense of $1,846,078, depreciation and amortization expense of $121,553, loss on conversion of convertible notes payable of $12,042,410 the accretion of a discount on the convertible notes payable of $379,915, the accretion of issuance costs on convertible notes payable of $133,927, unrealized loss on investments of $260,976, and other non-cash items of $16,515. These are offset by the change in fair value of derivative liabilities of $1,222,822 and the realized gain on investments of $322,818.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working capital movements in the period resulted in a positive net cash adjustment of $931,278, primarily due to an increase in accrued expenses of $1,408,768 and an increase in accounts payable of $65,618. This positive adjustment was offset by an increase in other assets of $235,624, an increase in prepaid expenses of $272,981, an increase to inventory of $29,378 and an increase in accounts receivable of $5,125.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flow used in operating activities of $3,799,494 was composed of our net loss of $5,667,236 and the change in fair value of derivative liabilities of $190,000, offset by non-cash items of stock-based compensation expense of $2,032,723, depreciation and amortization of $17,118, the accretion of a discount on the convertible notes payable of $27,738, and accretion of issuance costs on convertible notes payable of $165,869. Other working capital movements in the period resulted in a net cash outflow of $185,706, primarily due to an increase in prepaid expenses of $141,431, accounts receivable of $89,075, and a reduction of accrued expenses of $17,302 partially offset by increases in accounts payable of $61,131.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for investing activities was $2,479,970 for the six months ended June 30, 2026. This was due to capital expenditures of $439,688. We also incurred a net cash outflow from sales and purchases of short-term investments of $2,040,282.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for investing activities was $47,827 for the six months ended June 30, 2025. This was due to an increase in capital expenditures for Arrive Point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$9,610,344 for the six months ended June 30, 2026. We received $10,000,000 in proceeds from issuance of convertible notes payable under the Purchase Agreement. These cash inflows were offset by payments made on an outstanding note payable of $4,486, payments for tax withholding for vested restricted stock units of $25,749, and payments of debt issuance costs of $400,000.</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provided by financing activities was $4,325,499, resulting from proceeds from the issuance of convertible note payable of $4,000,000 under the Streeterville Purchase Agreement, net proceeds of $444,360 from other sales of common stock, and $573,896 from exercise of outstanding warrants. These cash inflows were offset by payments made on the note payable of $4,187 and payments for deferred offering costs of $688,570.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for the six months ended June 30, 2026 and 2025 were $439,688 and $47,827, respectively. Our future capital expenditures will depend on many factors, including, but not limited to our growth, our ability to attract and retain customers, market acceptance of our offerings, the time and extent of spending to support our efforts to develop our platform, the expansion of sales and marketing activities, and the timing and extent of spending for initiatives. Further, we may in the future enter into arrangements to acquire or invest in businesses, products, services, and technologies. We may be required to seek additional equity or debt financing. If additional financing is required from outside sources, we may not be able to raise it on terms acceptable to us or at all. If we are unable to raise additional capital when desired,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a clear picture of matters potentially impacting our liquidity position, the table below sets forth a summary of our contractual obligations as of June 30, 2026. Some of the figures included in this table are based on management’s estimates and assumptions about these obligations, including their duration, the possibility of renewal and other factors. Because these estimates and assumptions are necessarily subjective, the obligations we may actually pay in future periods could vary from those reflected in the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1"/>
        <w:gridCol w:w="60"/>
        <w:gridCol w:w="140"/>
        <w:gridCol w:w="980"/>
        <w:gridCol w:w="60"/>
        <w:gridCol w:w="60"/>
        <w:gridCol w:w="199"/>
        <w:gridCol w:w="1400"/>
        <w:gridCol w:w="60"/>
        <w:gridCol w:w="60"/>
        <w:gridCol w:w="140"/>
        <w:gridCol w:w="980"/>
        <w:gridCol w:w="60"/>
        <w:gridCol w:w="60"/>
        <w:gridCol w:w="140"/>
        <w:gridCol w:w="800"/>
        <w:gridCol w:w="60"/>
        <w:gridCol w:w="60"/>
        <w:gridCol w:w="220"/>
        <w:gridCol w:w="1546"/>
        <w:gridCol w:w="79"/>
      </w:tblGrid>
      <w:tr>
        <w:trPr/>
        <w:tc>
          <w:tcPr>
            <w:tcW w:w="304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2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Payments Due by Period</w:t>
            </w:r>
          </w:p>
        </w:tc>
        <w:tc>
          <w:tcPr>
            <w:tcW w:w="79" w:type="dxa"/>
            <w:tcBorders/>
            <w:vAlign w:val="center"/>
          </w:tcPr>
          <w:p>
            <w:pPr>
              <w:pStyle w:val="TableContents"/>
              <w:bidi w:val="0"/>
              <w:spacing w:before="0" w:after="283"/>
              <w:jc w:val="left"/>
              <w:rPr/>
            </w:pPr>
            <w:r>
              <w:rPr/>
              <w:t> </w:t>
            </w:r>
          </w:p>
        </w:tc>
      </w:tr>
      <w:tr>
        <w:trPr/>
        <w:tc>
          <w:tcPr>
            <w:tcW w:w="3041" w:type="dxa"/>
            <w:tcBorders>
              <w:bottom w:val="single" w:sz="8" w:space="0" w:color="000000"/>
            </w:tcBorders>
            <w:tcMar>
              <w:bottom w:w="28" w:type="dxa"/>
            </w:tcMar>
            <w:vAlign w:val="center"/>
          </w:tcPr>
          <w:p>
            <w:pPr>
              <w:pStyle w:val="TableContents"/>
              <w:bidi w:val="0"/>
              <w:spacing w:before="0" w:after="283"/>
              <w:jc w:val="both"/>
              <w:rPr>
                <w:b/>
              </w:rPr>
            </w:pPr>
            <w:r>
              <w:rPr>
                <w:b/>
              </w:rPr>
              <w:t>Contractual Obligations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Less than 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More than 5 years</w:t>
            </w:r>
          </w:p>
        </w:tc>
        <w:tc>
          <w:tcPr>
            <w:tcW w:w="79" w:type="dxa"/>
            <w:tcBorders/>
            <w:vAlign w:val="center"/>
          </w:tcPr>
          <w:p>
            <w:pPr>
              <w:pStyle w:val="TableContents"/>
              <w:bidi w:val="0"/>
              <w:spacing w:before="0" w:after="283"/>
              <w:jc w:val="left"/>
              <w:rPr/>
            </w:pPr>
            <w:r>
              <w:rPr/>
              <w:t> </w:t>
            </w:r>
          </w:p>
        </w:tc>
      </w:tr>
      <w:tr>
        <w:trPr/>
        <w:tc>
          <w:tcPr>
            <w:tcW w:w="304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Convertible notes payable principal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5,303,018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5,303,018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546"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304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Vehicle and equipment note payables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15,088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304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Operating leases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2,333,718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596,178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1,141,158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596,382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304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Interest related to notes payable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378,191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378,191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304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Patent License Agreement </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pPr>
            <w:r>
              <w:rPr/>
              <w:t>1,060,000</w:t>
            </w:r>
          </w:p>
        </w:tc>
        <w:tc>
          <w:tcPr>
            <w:tcW w:w="79" w:type="dxa"/>
            <w:tcBorders/>
            <w:shd w:fill="CCEEFF" w:val="clear"/>
            <w:vAlign w:val="center"/>
          </w:tcPr>
          <w:p>
            <w:pPr>
              <w:pStyle w:val="TableContents"/>
              <w:bidi w:val="0"/>
              <w:spacing w:before="0" w:after="283"/>
              <w:jc w:val="left"/>
              <w:rPr/>
            </w:pPr>
            <w:r>
              <w:rPr/>
              <w:t> </w:t>
            </w:r>
          </w:p>
        </w:tc>
      </w:tr>
      <w:tr>
        <w:trPr/>
        <w:tc>
          <w:tcPr>
            <w:tcW w:w="304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9,721,578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pPr>
            <w:r>
              <w:rPr/>
              <w:t>6,412,474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1,401,410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847,693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6" w:type="dxa"/>
            <w:tcBorders>
              <w:bottom w:val="double" w:sz="6" w:space="0" w:color="000000"/>
            </w:tcBorders>
            <w:shd w:fill="FFFFFF" w:val="clear"/>
            <w:tcMar>
              <w:bottom w:w="28" w:type="dxa"/>
            </w:tcMar>
            <w:vAlign w:val="center"/>
          </w:tcPr>
          <w:p>
            <w:pPr>
              <w:pStyle w:val="TableContents"/>
              <w:bidi w:val="0"/>
              <w:spacing w:before="0" w:after="283"/>
              <w:jc w:val="right"/>
              <w:rPr/>
            </w:pPr>
            <w:r>
              <w:rPr/>
              <w:t>1,060,000</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Convertible notes payable principal represents borrowings under the Company’s security purchase agreement with Streeterville Capital. The note bears interest at 8% per annum with no set maturity date. The amounts presented represent outstanding principal as of June 30, 2026. The note is convertible into shares of common stock at a price determined pursuant to the agreement. Upon conversion, the obligation would be settled in equity rather than cash. As there is no stated maturity for the notes, the payments were presented in the less than 1 year category for this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Vehicle note payable matures in February 2027 and the Equipment note payable matures in June 2030. Both loans are secured by the related asset. The amounts presented represent scheduled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Operating lease obligations represent undiscounted fixed lease payments under the Company’s office lease in accordance with ASC 842. Variable lease payments and non-lease components are excluded.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Interest related to notes payable primarily represents accrued interest at June 30, 2026 and projected contractual interest payments on the convertible note, assuming payment proportionately over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 is party to an exclusive patent license agreement with its Chief Executive Officer, Daniel O’Toole, providing rights to certain patented technology through April 2040. The agreement requires fixed payments of $10,000 per month through the patent’s expiration. As of June 30, 2026, the remaining fixed commitment totals approximately $1,660,000. The agreement also provides for a $25 per unit royalty upon achievement of unit sales revenue milestones in excess of $10,000 a month. No royalties have been incurred to date, and future royalty obligations are not currently estimable due to the Company’s limited operating history and uncertain future sales volumes. The License Agreement constitutes a related-party transaction.</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financial statements in conformity with U.S. GAAP requires management to make estimates and assumptions that affect reported amounts of assets, liabilities, revenues, and expenses, along with the disclosure of contingent assets and liabilities at the date of the financial statements. We consider an accounting estimate to be critical if it requires assumptions about highly uncertain matters and different estimates reasonably could have been used that would have had a material impact on our financial statements. We have identified the following critical accounting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Bifurcated Derivative Liabilities and Carrying Value of the Host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convertible notes issued under the Securities Purchase Agreement with Streeterville Capital, LLC, we are required to bifurcate the embedded conversion feature and account for it as a derivative liability measured at fair value at each reporting date, with changes recognized in earnings. The conversion feature must be bifurcated because it fails the indexed-to-own-stock test under ASC 815-40-15-7. Because this formula does not permit a closed-form solution, we engaged an independent third-party valuation firm to estimate fair value using a Monte Carlo simulation model. This measurement is classified as Level 3 in the fair value hierarchy, as it relies on significant unobservable inputs, including expected equity volatility, an estimated instrument term (the notes have no stated maturity, as they are convertible solely at the discretion of the investor with no fixed repayment date specified in the agreement), and a debt discount rate calibrated to comparable issuers. Equity volatility is the most sensitive input; the conversion feature’s asymmetric payoff structure means higher assumed volatility increases the expected value of the noteholder’s conversion optionality.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bifurcated derivative at issuance also directly determines the initial carrying value of the host debt instrument, which is measured as cash proceeds received, reduced by the original issue discount, allocated debt issuance costs, and that derivative fair value. The resulting discount is accreted to par using the effective interest method over the estimated term of each note, the same expected term assumption used in the Monte Carlo model. A shorter assumed term accelerates interest expense recognition through faster accretion; a longer term decelerates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derivative valuation and host note carrying value share critical assumptions, particularly expected term and equity volatility, changes in those assumptions affect both the fair value of the derivative liabilities and the pattern of interest expense recognized on the host instruments and could have a material effect on our reported net loss in any given period. As of June 30, 2026, the aggregate fair value of the derivative liabilities was $290,000 and the net carrying value of the host instruments was $3,460,834. For the six months ended June 30, 2026, the net change in fair value of the derivative liabilities recognized in earnings was a gain of $1,222,822, and interest expense on the convertible notes consisted of stated interest of $372,940, EIM accretion of discount $379,915, and EIM accretion of debt issuance costs of $41,527.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complete discussion of these estimates, including valuation inputs, sensitivity analysis, and roll-forward schedules, refer to Note 5,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and Note 10, </w:t>
      </w:r>
      <w:r>
        <w:rPr>
          <w:rFonts w:ascii="Times New Roman;Times;Serif" w:hAnsi="Times New Roman;Times;Serif"/>
          <w:b w:val="false"/>
          <w:i/>
          <w:caps w:val="false"/>
          <w:smallCaps w:val="false"/>
          <w:sz w:val="20"/>
        </w:rPr>
        <w:t>Convertible Notes Payable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new accounting standards that could affect the Company, reference the “Recently Issued Accounting Standards Not Yet Adopted” section of Note 2 to the Financial Statements included in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no off-balance sheet arrangements pursuant to Item 303 of Regulation S-K under the Securities Exchange Act of 1934, as amended, that we believe are reasonably likely to have a current or future effect on our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0" w:name="a_009"/>
      <w:bookmarkEnd w:id="83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required to provide the information required by this Item because it is a “smaller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1" w:name="a_010"/>
      <w:bookmarkEnd w:id="83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on Form 10-Q, we carried out an evaluation under the supervision and with the participation of our management, including the Chief Executive Officer and Interim Chief Financial Officer, of the effectiveness of the design and operation of our disclosure controls and procedures as defined in Exchange Act Rules 13a-15(e) and 15d-15(e). Based upon that evaluation, the Chief Executive Officer and Interim Chief Financial Officer concluded that as of June 30, 2026, our disclosure controls and procedures were not effective due to the material weakness in our internal control over financial reporting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maintain sufficient controls to ensure the proper identification, bifurcation and fair value measurement of embedded derivatives in hybrid financial instruments, or to ensure that the effective interest method was applied over the accretion period for host debt instruments containing a discount. As described in our Annual Report on Form 10-K for the fiscal year ended December 31, 2025, filed on April 15, 2026, corrective actions have been implemented to address this control weakness; however, as of June 30, 2026, the material weakness had not yet been fully remediated.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Plan for the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implemented remediation measures to address the material weakness discovered in connection with the preparation of our Annual Report on Form 10-K, filed on April 15, 2026, including enhancing its technical accounting review procedures for complex financial instruments, engaging additional external resources with expertise in derivative accounting under ASC 815, and strengthening its controls around the review and approval of significant accounting estimates and elections. The Company’s Insider Trading Policy has been modified to emphasize the restrictions on any stock transactions within six months of a previous reported transaction. Management may determine to take additional measures to address the material weakness or modify the remediation efforts described above. The material weakness will be considered remediated after the applicable controls have operated for a sufficient period of time and management has concluded that the controls are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the Company filed amended Quarterly Reports on Form 10-Q/A for the periods ended June 30, 2025 and September 30, 2025, reflecting restated financial information related to this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management implemented the corrective actions described above under “Remediation Plan for the Material Weakness.” Other than those remediation measures, no change in our internal control over financial reporting (as defined in Rules 13a-15(f) and 15d-15(f) under the Exchange Act) was identified during the quarter ended June 30, 2026 that has materially affected, or is reasonably likely to materially affect, our internal control over financial reporting.</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32" w:name="a_011"/>
      <w:bookmarkEnd w:id="83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3" w:name="a_012"/>
      <w:bookmarkEnd w:id="83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Arrive AI Inc. (the “Company”) may be subject to various claims, lawsuits and other legal and administrative proceedings arising in the ordinary course of business. Defending such proceedings is costly and may impose a significant burden on management and employees. The results of any current or future litigation cannot be predicted with certainty, and regardless of outcome, litigation can have an adverse impact on us because of defense and settlement costs, diversion of management resources, and other factors. Other than as set forth below and in Note 16,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 to the condensed financial statements included in Part I, Item 1 of this Quarterly Report, which disclosure is incorporated herein by reference, the Company is not presently a party to any litigation the outcome of which, if determined adversely to us, would in our estimation have a material adverse effect on our business, operating results, cash flows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developments in the Company’s previously disclosed legal proceedings during the period ended June 30, 2026, except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Byfield Management, Inc. and Ohrn II, Richard B. v. Dronedek Corporation.</w:t>
      </w:r>
      <w:r>
        <w:rPr>
          <w:rFonts w:ascii="Times New Roman;Times;Serif" w:hAnsi="Times New Roman;Times;Serif"/>
          <w:b w:val="false"/>
          <w:i w:val="false"/>
          <w:caps w:val="false"/>
          <w:smallCaps w:val="false"/>
          <w:sz w:val="20"/>
        </w:rPr>
        <w:t xml:space="preserve"> No material developments occurred during the quarter. Discovery documents have been exchanged and no further motions or trial dates are pending. Plaintiff’s allegations remain approximately $29 million in total damages; the Company continues to believe it is not possible at this time to predict the outcome of this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Doan and Town v. Company (E.D. Va. / remanded, Case No. 760CL25003626-00).</w:t>
      </w:r>
      <w:r>
        <w:rPr>
          <w:rFonts w:ascii="Times New Roman;Times;Serif" w:hAnsi="Times New Roman;Times;Serif"/>
          <w:b w:val="false"/>
          <w:i w:val="false"/>
          <w:caps w:val="false"/>
          <w:smallCaps w:val="false"/>
          <w:sz w:val="20"/>
        </w:rPr>
        <w:t xml:space="preserve"> Since the matter was previously disclosed, the plaintiffs increased their damages demand from $45,082 to $175,000. The matter remains in its initial stages, and the Company is unable to predict the outcome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Company v. Wright / Wright Flyer Consulting Group Inc. (S.D. Ind., Case No. 1:2025cv02026).</w:t>
      </w:r>
      <w:r>
        <w:rPr>
          <w:rFonts w:ascii="Times New Roman;Times;Serif" w:hAnsi="Times New Roman;Times;Serif"/>
          <w:b w:val="false"/>
          <w:i w:val="false"/>
          <w:caps w:val="false"/>
          <w:smallCaps w:val="false"/>
          <w:sz w:val="20"/>
        </w:rPr>
        <w:t xml:space="preserve"> Discovery is underway.</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4" w:name="a_013"/>
      <w:bookmarkEnd w:id="83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under Rule 12b-2 of the Exchange Act, the Company is not required to provide risk factors in this report. For our current risk factors relating to our operations see the section entitled “Risk Factors” contained in our Annual Report on Form 10-K filed on April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risk factor entitled “Triggering Events May Require Substantial Monthly Cash Repayments That Could Materially Impair Our Liquidity” has materialized. As described in Note 4, Going Concern, Note 18, Subsequent Events, and the Liquidity and Capital Resources section of Item 2, Management’s Discussion and Analysis of Financial Condition and Results of Operations, the Company’s VWAP fell below the Floor Price of $0.25 per share, constituting a Floor Price Trigger under the Securities Purchase Agreement with Streeterville Capital, LLC. As a result, the Company is obligated to make mandatory monthly cash repayments totaling $962,500, plus accrued and unpaid interest, until such time as the Company’s VWAP exceeds 120% of the Floor Price (i.e., $0.30 per share) for five consecutive Trading Days. There can be no assurance that this cure condition will occur. The Company is currently in discussions with Streeterville regarding potential remediation of the obligations arising from the Floor Price Trigger. There can be no assurance that the Company and Streeterville will reach any agreement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5" w:name="a_014"/>
      <w:bookmarkEnd w:id="83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6" w:name="a_015"/>
      <w:bookmarkEnd w:id="83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7" w:name="a_016"/>
      <w:bookmarkEnd w:id="83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8" w:name="a_017"/>
      <w:bookmarkEnd w:id="83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9" w:name="a_018"/>
      <w:bookmarkEnd w:id="83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2"/>
        <w:gridCol w:w="60"/>
        <w:gridCol w:w="9313"/>
      </w:tblGrid>
      <w:tr>
        <w:trPr/>
        <w:tc>
          <w:tcPr>
            <w:tcW w:w="83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Standstill Agreement, dated May 14, 2026, by and between Arrive AI Inc. and Streeterville Capital, LLC (incorporated by reference to Exhibit 10.1 to our Current Report on Form 8-K filed on May 18, 2026)</w:t>
              </w:r>
            </w:hyperlink>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Equity Distribution Agreement, dated June 11, 2026, by and between the Company and Maxim Group LLC (incorporated by reference to Exhibit 10.1 to our Current Report on Form 8-K filed on June 12, 2026)</w:t>
              </w:r>
            </w:hyperlink>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Employment Agreement, dated August 10, 2026, by and between Arrive AI Inc. and Piyush Phadke (incorporated by reference to Exhibit 10.1 to our Current Report on Form 8-K filed on August 12, 2026)</w:t>
              </w:r>
            </w:hyperlink>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left"/>
              <w:rPr/>
            </w:pPr>
            <w:hyperlink w:anchor="ex31-1.htm">
              <w:r>
                <w:rPr>
                  <w:rStyle w:val="InternetLink"/>
                  <w:rFonts w:ascii="Times New Roman;Times;Serif" w:hAnsi="Times New Roman;Times;Serif"/>
                  <w:b w:val="false"/>
                  <w:i w:val="false"/>
                  <w:caps w:val="false"/>
                  <w:smallCaps w:val="false"/>
                  <w:sz w:val="20"/>
                </w:rPr>
                <w:t>Section 302 Certification of Chief Executive Officer</w:t>
              </w:r>
            </w:hyperlink>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left"/>
              <w:rPr/>
            </w:pPr>
            <w:hyperlink w:anchor="ex31-2.htm">
              <w:r>
                <w:rPr>
                  <w:rStyle w:val="InternetLink"/>
                  <w:rFonts w:ascii="Times New Roman;Times;Serif" w:hAnsi="Times New Roman;Times;Serif"/>
                  <w:b w:val="false"/>
                  <w:i w:val="false"/>
                  <w:caps w:val="false"/>
                  <w:smallCaps w:val="false"/>
                  <w:sz w:val="20"/>
                </w:rPr>
                <w:t>Section 302 Certification of Chief Financial Officer</w:t>
              </w:r>
            </w:hyperlink>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left"/>
              <w:rPr/>
            </w:pPr>
            <w:hyperlink w:anchor="ex32-1.htm">
              <w:r>
                <w:rPr>
                  <w:rStyle w:val="InternetLink"/>
                  <w:rFonts w:ascii="Times New Roman;Times;Serif" w:hAnsi="Times New Roman;Times;Serif"/>
                  <w:b w:val="false"/>
                  <w:i w:val="false"/>
                  <w:caps w:val="false"/>
                  <w:smallCaps w:val="false"/>
                  <w:sz w:val="20"/>
                </w:rPr>
                <w:t>Section 906 Certifications of Chief Executive Officer</w:t>
              </w:r>
            </w:hyperlink>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left"/>
              <w:rPr/>
            </w:pPr>
            <w:hyperlink w:anchor="ex32-2.htm">
              <w:r>
                <w:rPr>
                  <w:rStyle w:val="InternetLink"/>
                  <w:rFonts w:ascii="Times New Roman;Times;Serif" w:hAnsi="Times New Roman;Times;Serif"/>
                  <w:b w:val="false"/>
                  <w:i w:val="false"/>
                  <w:caps w:val="false"/>
                  <w:smallCaps w:val="false"/>
                  <w:sz w:val="20"/>
                </w:rPr>
                <w:t>Section 906 Certifications of Chief Financial Officer</w:t>
              </w:r>
            </w:hyperlink>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INSTANCE DOCUMENT</w:t>
            </w:r>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SCHEMA DOCUMENT</w:t>
            </w:r>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LINKBASE DOCUMENT</w:t>
            </w:r>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LABELS LINKBASE DOCUMENT</w:t>
            </w:r>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PRESENTATION LINKBASE DOCUMENT</w:t>
            </w:r>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 LINKBASE DOCUMENT</w:t>
            </w:r>
          </w:p>
        </w:tc>
      </w:tr>
      <w:tr>
        <w:trPr/>
        <w:tc>
          <w:tcPr>
            <w:tcW w:w="83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60" w:type="dxa"/>
            <w:tcBorders/>
            <w:vAlign w:val="center"/>
          </w:tcPr>
          <w:p>
            <w:pPr>
              <w:pStyle w:val="TableContents"/>
              <w:bidi w:val="0"/>
              <w:spacing w:before="0" w:after="283"/>
              <w:jc w:val="left"/>
              <w:rPr>
                <w:caps w:val="false"/>
                <w:smallCaps w:val="false"/>
              </w:rPr>
            </w:pPr>
            <w:r>
              <w:rPr>
                <w:caps w:val="false"/>
                <w:smallCaps w:val="false"/>
              </w:rPr>
              <w:t> </w:t>
            </w:r>
          </w:p>
        </w:tc>
        <w:tc>
          <w:tcPr>
            <w:tcW w:w="100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Submitted electronically herewith. Attached as Exhibit 101 are the following materials from Quarterly Report on Form 10-Q for the quarter ended June 30, 2026, formatted in Inline eXtensible Business Reporting Language (“iXBRL”): (i) the Condensed Consolidated Balance Sheets; (ii) the Condensed Consolidated Statements of Operations; (iii) the Condensed Consolidated Statements of Equity; (iv) the Condensed Consolidated Statements of Cash Flows; (v) notes to these Condensed Consolidated Financial Statements; and (vi) the Cover Page to Quarterly Report on our Form 10-Q.</w:t>
            </w:r>
          </w:p>
        </w:tc>
      </w:tr>
    </w:tbl>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1865"/>
        <w:gridCol w:w="501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Registrant and as principal financial officer)</w:t>
            </w:r>
          </w:p>
        </w:tc>
      </w:tr>
    </w:tbl>
    <w:p>
      <w:pPr>
        <w:pStyle w:val="TextBody"/>
        <w:bidi w:val="0"/>
        <w:spacing w:before="0" w:after="0"/>
        <w:ind w:left="0" w:right="0" w:hanging="0"/>
        <w:jc w:val="righ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840" w:name="ex31-1.htm"/>
      <w:bookmarkStart w:id="841" w:name="ksex311"/>
      <w:bookmarkEnd w:id="840"/>
      <w:bookmarkEnd w:id="84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13a-14(a)/RULE 15d-14(a) OF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Daniel S. O’Toole,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Arrive AI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865"/>
        <w:gridCol w:w="242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caps w:val="false"/>
                <w:smallCaps w:val="false"/>
                <w:sz w:val="20"/>
              </w:rPr>
              <w:t>/s/ 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842" w:name="ex31-2.htm"/>
      <w:bookmarkStart w:id="843" w:name="ksex312"/>
      <w:bookmarkEnd w:id="842"/>
      <w:bookmarkEnd w:id="84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13a-14(a)/RULE 15d-14(a) OF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Daniel S. O’Toole,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Arrive AI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865"/>
        <w:gridCol w:w="378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caps w:val="false"/>
                <w:smallCaps w:val="false"/>
                <w:sz w:val="20"/>
              </w:rPr>
              <w:t>/s/ 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844" w:name="ex32-1.htm"/>
      <w:bookmarkStart w:id="845" w:name="ksex321"/>
      <w:bookmarkEnd w:id="844"/>
      <w:bookmarkEnd w:id="84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Arrive AI Inc. (the “Registrant”) on Form 10-Q for the period ending June 30, 2026 as filed with the Securities and Exchange Commission on the date hereof (the “Report”), I, Daniel S. O’Toole, Chief Executive Officer of the Registrant,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Registrant.</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865"/>
        <w:gridCol w:w="242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caps w:val="false"/>
                <w:smallCaps w:val="false"/>
                <w:sz w:val="20"/>
              </w:rPr>
              <w:t>/s/ 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846" w:name="ex32-2.htm"/>
      <w:bookmarkStart w:id="847" w:name="ksex322"/>
      <w:bookmarkEnd w:id="846"/>
      <w:bookmarkEnd w:id="84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Arrive AI Inc. (the “Registrant”) on Form 10-Q for the period ending June 30, 2026 as filed with the Securities and Exchange Commission on the date hereof (the “Report”), I, Daniel S. O’Toole, Interim Chief Financial Officer of the Registrant,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Registrant.</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865"/>
        <w:gridCol w:w="378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caps w:val="false"/>
                <w:smallCaps w:val="false"/>
                <w:sz w:val="20"/>
              </w:rPr>
              <w:t>/s/ 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274/000149315226024178/ex10-1.htm" TargetMode="External"/><Relationship Id="rId3" Type="http://schemas.openxmlformats.org/officeDocument/2006/relationships/hyperlink" Target="https://www.sec.gov/Archives/edgar/data/1818274/000149315226028428/ex10-1.htm" TargetMode="External"/><Relationship Id="rId4" Type="http://schemas.openxmlformats.org/officeDocument/2006/relationships/hyperlink" Target="https://www.sec.gov/Archives/edgar/data/1818274/000149315226037434/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27047</Words>
  <Characters>148871</Characters>
  <CharactersWithSpaces>178671</CharactersWithSpaces>
  <Paragraphs>8134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