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721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July 21,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Arrive AI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2_edei--EntityFileNumber_c20260721"/>
      <w:bookmarkEnd w:id="5"/>
      <w:r>
        <w:rPr>
          <w:rFonts w:ascii="Times New Roman;Times;Serif" w:hAnsi="Times New Roman;Times;Serif"/>
          <w:b/>
          <w:i w:val="false"/>
          <w:caps w:val="false"/>
          <w:smallCaps w:val="false"/>
          <w:sz w:val="20"/>
        </w:rPr>
        <w:t>001-42645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1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3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9100 Fall View Drive</w:t>
      </w:r>
    </w:p>
    <w:p>
      <w:pPr>
        <w:pStyle w:val="TextBody"/>
        <w:bidi w:val="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Fishers, </w:t>
      </w:r>
      <w:bookmarkStart w:id="10" w:name="xdx_904_edei--EntityAddressStateOrProvin"/>
      <w:bookmarkEnd w:id="10"/>
      <w:r>
        <w:rPr>
          <w:rFonts w:ascii="Times New Roman;Times;Serif" w:hAnsi="Times New Roman;Times;Serif"/>
          <w:b/>
          <w:i w:val="false"/>
          <w:caps w:val="false"/>
          <w:smallCaps w:val="false"/>
          <w:sz w:val="20"/>
        </w:rPr>
        <w:t xml:space="preserve">IN </w:t>
      </w:r>
      <w:bookmarkStart w:id="11" w:name="xdx_904_edei--EntityAddressPostalZipCode"/>
      <w:bookmarkEnd w:id="11"/>
      <w:r>
        <w:rPr>
          <w:rFonts w:ascii="Times New Roman;Times;Serif" w:hAnsi="Times New Roman;Times;Serif"/>
          <w:b/>
          <w:i w:val="false"/>
          <w:caps w:val="false"/>
          <w:smallCaps w:val="false"/>
          <w:sz w:val="20"/>
        </w:rPr>
        <w:t>46037</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xdx_90B_edei--CityAreaCode_c20260721__20"/>
      <w:bookmarkEnd w:id="12"/>
      <w:r>
        <w:rPr>
          <w:rFonts w:ascii="Times New Roman;Times;Serif" w:hAnsi="Times New Roman;Times;Serif"/>
          <w:b/>
          <w:i w:val="false"/>
          <w:caps w:val="false"/>
          <w:smallCaps w:val="false"/>
          <w:sz w:val="20"/>
        </w:rPr>
        <w:t xml:space="preserve">(463) </w:t>
      </w:r>
      <w:bookmarkStart w:id="13" w:name="xdx_90A_edei--LocalPhoneNumber_c20260721"/>
      <w:bookmarkEnd w:id="13"/>
      <w:r>
        <w:rPr>
          <w:rFonts w:ascii="Times New Roman;Times;Serif" w:hAnsi="Times New Roman;Times;Serif"/>
          <w:b/>
          <w:i w:val="false"/>
          <w:caps w:val="false"/>
          <w:smallCaps w:val="false"/>
          <w:sz w:val="20"/>
        </w:rPr>
        <w:t>270-0092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7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721"/>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TradingSymbol_c20260721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of Failure to Satisfy a Continued Listing Rule or Standard; Transfer of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Arrive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a notification letter (the “</w:t>
      </w:r>
      <w:r>
        <w:rPr>
          <w:rFonts w:ascii="Times New Roman;Times;Serif" w:hAnsi="Times New Roman;Times;Serif"/>
          <w:b/>
          <w:i w:val="false"/>
          <w:caps w:val="false"/>
          <w:smallCaps w:val="false"/>
          <w:sz w:val="20"/>
        </w:rPr>
        <w:t>Notification Letter</w:t>
      </w:r>
      <w:r>
        <w:rPr>
          <w:rFonts w:ascii="Times New Roman;Times;Serif" w:hAnsi="Times New Roman;Times;Serif"/>
          <w:b w:val="false"/>
          <w:i w:val="false"/>
          <w:caps w:val="false"/>
          <w:smallCaps w:val="false"/>
          <w:sz w:val="20"/>
        </w:rPr>
        <w:t>”) from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that the Company is not in compliance with the minimum Market Value of Publicly Held Shares (the “</w:t>
      </w:r>
      <w:r>
        <w:rPr>
          <w:rFonts w:ascii="Times New Roman;Times;Serif" w:hAnsi="Times New Roman;Times;Serif"/>
          <w:b/>
          <w:i w:val="false"/>
          <w:caps w:val="false"/>
          <w:smallCaps w:val="false"/>
          <w:sz w:val="20"/>
        </w:rPr>
        <w:t>MVPHS</w:t>
      </w:r>
      <w:r>
        <w:rPr>
          <w:rFonts w:ascii="Times New Roman;Times;Serif" w:hAnsi="Times New Roman;Times;Serif"/>
          <w:b w:val="false"/>
          <w:i w:val="false"/>
          <w:caps w:val="false"/>
          <w:smallCaps w:val="false"/>
          <w:sz w:val="20"/>
        </w:rPr>
        <w:t>”) set forth in Nasdaq Listing Rule 5450(b)(2)(C) for continued listing on Nasdaq, which requires a minimum MVPHS of $15,000,000 (the “</w:t>
      </w:r>
      <w:r>
        <w:rPr>
          <w:rFonts w:ascii="Times New Roman;Times;Serif" w:hAnsi="Times New Roman;Times;Serif"/>
          <w:b/>
          <w:i w:val="false"/>
          <w:caps w:val="false"/>
          <w:smallCaps w:val="false"/>
          <w:sz w:val="20"/>
        </w:rPr>
        <w:t>MVPHS Requirement</w:t>
      </w:r>
      <w:r>
        <w:rPr>
          <w:rFonts w:ascii="Times New Roman;Times;Serif" w:hAnsi="Times New Roman;Times;Serif"/>
          <w:b w:val="false"/>
          <w:i w:val="false"/>
          <w:caps w:val="false"/>
          <w:smallCaps w:val="false"/>
          <w:sz w:val="20"/>
        </w:rPr>
        <w:t>”), since the Company failed to meet the MVPHS Requirement for a period of 32 consecutive business days from June 3, 2026 to July 20, 2026. The Notification Letter has no immediate effect on the listing or trading of the common stock, par value $0.0002 per share, of the Company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on Nasdaq and, as of the date hereof, the Common Stock will continue to trade on Nasdaq under the symbol “ARAI.”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Letter provides that pursuant to Nasdaq Listing Rule 5810(c)(3)(D), the Company has 180 calendar days, or until January 19, 2027, to regain compliance with Nasdaq Listing Rule 5450(b)(2)(C). To regain compliance, the minimum MVPHS must be at least $15,000,000 or more for a minimum of 10 consecutive business days prior to January 19, 2027. If the Company does not regain compliance by January 19, 2027, the Company will receive written notification from Nasdaq that its securities are subject to delisting. Alternatively, the Company may consider applying for a transfer to The Nasdaq Capital Market (the “</w:t>
      </w:r>
      <w:r>
        <w:rPr>
          <w:rFonts w:ascii="Times New Roman;Times;Serif" w:hAnsi="Times New Roman;Times;Serif"/>
          <w:b/>
          <w:i w:val="false"/>
          <w:caps w:val="false"/>
          <w:smallCaps w:val="false"/>
          <w:sz w:val="20"/>
        </w:rPr>
        <w:t>Capital Market</w:t>
      </w:r>
      <w:r>
        <w:rPr>
          <w:rFonts w:ascii="Times New Roman;Times;Serif" w:hAnsi="Times New Roman;Times;Serif"/>
          <w:b w:val="false"/>
          <w:i w:val="false"/>
          <w:caps w:val="false"/>
          <w:smallCaps w:val="false"/>
          <w:sz w:val="20"/>
        </w:rPr>
        <w:t>”). In order to transfer, the Company must submit an on-line transfer application, and meet the Capital Market’s continued listing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MVPHS of its Common Stock and will consider implementing available options to regain compliance with the MVPHS Requirement under the Nasdaq Listing Rules.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625"/>
        <w:gridCol w:w="320"/>
        <w:gridCol w:w="1955"/>
      </w:tblGrid>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635</Words>
  <Characters>3414</Characters>
  <CharactersWithSpaces>4049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