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Fitz Michael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ARRIVE AI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FALL 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FISHERS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04/16/2026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Arrive AI Inc.</w:t>
              </w:r>
            </w:hyperlink>
            <w:r>
              <w:rPr/>
              <w:t xml:space="preserve"> [ </w:t>
            </w:r>
            <w:r>
              <w:rPr>
                <w:rFonts w:ascii="Times;serif" w:hAnsi="Times;serif"/>
                <w:color w:val="0000FF"/>
                <w:sz w:val="24"/>
                <w:shd w:fill="FFFFFF" w:val="clear"/>
              </w:rPr>
              <w:t>ARAI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by the reporting person prior to joining the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Pepmeier as Attorney-in-Fact for Michael Todd Fitz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caps w:val="false"/>
          <w:smallCaps w:val="false"/>
        </w:rPr>
      </w:pPr>
      <w:bookmarkStart w:id="2" w:name="ex24.htm"/>
      <w:bookmarkStart w:id="3" w:name="ksex24"/>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BY THESE PRESENTS</w:t>
      </w:r>
      <w:r>
        <w:rPr>
          <w:rFonts w:ascii="Times New Roman;Times;Serif" w:hAnsi="Times New Roman;Times;Serif"/>
          <w:b w:val="false"/>
          <w:i w:val="false"/>
          <w:caps w:val="false"/>
          <w:smallCaps w:val="false"/>
          <w:sz w:val="20"/>
        </w:rPr>
        <w:t>, that the undersigned hereby makes, constitutes and appoints each of John Ritchison and Todd Pepmeier or either of them acting singly, and with full power of substitution and re-substitution, the undersigned’s true and lawful attorney in fact (each of such persons and their substitutes being referred to herein as the “</w:t>
      </w:r>
      <w:r>
        <w:rPr>
          <w:rFonts w:ascii="Times New Roman;Times;Serif" w:hAnsi="Times New Roman;Times;Serif"/>
          <w:b w:val="false"/>
          <w:i w:val="false"/>
          <w:caps w:val="false"/>
          <w:smallCaps w:val="false"/>
          <w:sz w:val="20"/>
          <w:u w:val="single"/>
        </w:rPr>
        <w:t>Attorney-in-Fact</w:t>
      </w:r>
      <w:r>
        <w:rPr>
          <w:rFonts w:ascii="Times New Roman;Times;Serif" w:hAnsi="Times New Roman;Times;Serif"/>
          <w:b w:val="false"/>
          <w:i w:val="false"/>
          <w:caps w:val="false"/>
          <w:smallCaps w:val="false"/>
          <w:sz w:val="20"/>
        </w:rPr>
        <w:t>”), with full power to act for the undersigned and in the undersigned’s name, place and stead, in any and all capacities, 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and submit to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w:t>
      </w:r>
      <w:r>
        <w:rPr>
          <w:rFonts w:ascii="Times New Roman;Times;Serif" w:hAnsi="Times New Roman;Times;Serif"/>
          <w:b w:val="false"/>
          <w:i w:val="false"/>
          <w:caps w:val="false"/>
          <w:smallCaps w:val="false"/>
          <w:sz w:val="20"/>
          <w:u w:val="single"/>
        </w:rPr>
        <w:t>Exchange Ac</w:t>
      </w:r>
      <w:r>
        <w:rPr>
          <w:rFonts w:ascii="Times New Roman;Times;Serif" w:hAnsi="Times New Roman;Times;Serif"/>
          <w:b w:val="false"/>
          <w:i w:val="false"/>
          <w:caps w:val="false"/>
          <w:smallCaps w:val="false"/>
          <w:sz w:val="20"/>
        </w:rPr>
        <w:t>t”) or any rule or regulation of the SEC.</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Prepare, execute and submit to the SEC, Arrive AI,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with respect to the any security of the Company, including Forms 3, 4 and 5, Schedules 13D and 13G, and Forms 144;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Power of Attorney authorizes, but does not require, the Attorney-in-Fact to act in his or her discretion on information provided to such Attorney-in-Fact without independent verification of such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Intentionally left blank.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executed this Power of Attorney as of the _5th_ day of May 2026.</w:t>
      </w:r>
    </w:p>
    <w:p>
      <w:pPr>
        <w:pStyle w:val="TextBody"/>
        <w:bidi w:val="0"/>
        <w:jc w:val="center"/>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775"/>
        <w:gridCol w:w="620"/>
      </w:tblGrid>
      <w:tr>
        <w:trPr/>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Michael Todd Fitz</w:t>
            </w:r>
          </w:p>
        </w:tc>
        <w:tc>
          <w:tcPr>
            <w:tcW w:w="620" w:type="dxa"/>
            <w:tcBorders/>
            <w:vAlign w:val="center"/>
          </w:tcPr>
          <w:p>
            <w:pPr>
              <w:pStyle w:val="TableContents"/>
              <w:bidi w:val="0"/>
              <w:spacing w:before="0" w:after="283"/>
              <w:jc w:val="left"/>
              <w:rPr/>
            </w:pPr>
            <w:r>
              <w:rPr/>
              <w:t>5/5/26</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4867" TargetMode="External"/><Relationship Id="rId3" Type="http://schemas.openxmlformats.org/officeDocument/2006/relationships/hyperlink" Target="http://www.sec.gov/cgi-bin/browse-edgar?action=getcompany&amp;CIK=00018182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1105</Words>
  <Characters>5907</Characters>
  <CharactersWithSpaces>6976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