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Tucker Laurie 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ARRIVE AI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FALL 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FISHERS,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Arrive AI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ARAI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87,413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87,413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87,413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were granted on July 6, 2026, which vest on June 30, 2027. The RSUs have been issued pursuant to the Company's 2023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do not expire, they either vest or are canceled prior to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Todd Pepmeier as Attorney-in-Fact for Laurie Tucker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1264" TargetMode="External"/><Relationship Id="rId5" Type="http://schemas.openxmlformats.org/officeDocument/2006/relationships/hyperlink" Target="http://www.sec.gov/cgi-bin/browse-edgar?action=getcompany&amp;CIK=0001818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3294</Characters>
  <CharactersWithSpaces>3849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