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1013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val="false"/>
          <w:i w:val="false"/>
          <w:caps w:val="false"/>
          <w:smallCaps w:val="false"/>
          <w:sz w:val="20"/>
        </w:rPr>
        <w:t>October 13,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xdx_902_edei--EntityFileNumber_c20261013"/>
      <w:bookmarkEnd w:id="5"/>
      <w:r>
        <w:rPr>
          <w:rFonts w:ascii="Times New Roman;Times;Serif" w:hAnsi="Times New Roman;Times;Serif"/>
          <w:b/>
          <w:i w:val="false"/>
          <w:caps w:val="false"/>
          <w:smallCaps w:val="false"/>
          <w:sz w:val="20"/>
        </w:rPr>
        <w:t>001-42645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p>
      <w:pPr>
        <w:pStyle w:val="TextBody"/>
        <w:bidi w:val="0"/>
        <w:spacing w:before="0" w:after="0"/>
        <w:jc w:val="center"/>
        <w:rPr>
          <w:caps w:val="false"/>
          <w:smallCaps w:val="false"/>
        </w:rPr>
      </w:pPr>
      <w:r>
        <w:rPr>
          <w:caps w:val="false"/>
          <w:smallCaps w:val="false"/>
        </w:rPr>
        <w:t> </w:t>
      </w:r>
    </w:p>
    <w:tbl>
      <w:tblPr>
        <w:tblW w:w="4165" w:type="dxa"/>
        <w:jc w:val="left"/>
        <w:tblInd w:w="0" w:type="dxa"/>
        <w:tblLayout w:type="fixed"/>
        <w:tblCellMar>
          <w:top w:w="0" w:type="dxa"/>
          <w:left w:w="0" w:type="dxa"/>
          <w:bottom w:w="28" w:type="dxa"/>
          <w:right w:w="0" w:type="dxa"/>
        </w:tblCellMar>
      </w:tblPr>
      <w:tblGrid>
        <w:gridCol w:w="2210"/>
        <w:gridCol w:w="60"/>
        <w:gridCol w:w="189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9_edei--EntityIncorporationStateCo"/>
            <w:bookmarkEnd w:id="6"/>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B_edei--EntityTaxIdentificationNum"/>
            <w:bookmarkEnd w:id="7"/>
            <w:r>
              <w:rPr>
                <w:rFonts w:ascii="Times New Roman;Times;Serif" w:hAnsi="Times New Roman;Times;Serif"/>
                <w:b w:val="false"/>
                <w:i w:val="false"/>
                <w:caps w:val="false"/>
                <w:smallCaps w:val="false"/>
                <w:sz w:val="20"/>
              </w:rPr>
              <w:t>85-0935006</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9100 Fall View Drive</w:t>
      </w:r>
    </w:p>
    <w:p>
      <w:pPr>
        <w:pStyle w:val="TextBody"/>
        <w:bidi w:val="0"/>
        <w:spacing w:before="0" w:after="0"/>
        <w:jc w:val="center"/>
        <w:rPr>
          <w:rFonts w:ascii="Times New Roman;Times;Serif" w:hAnsi="Times New Roman;Times;Serif"/>
          <w:b/>
          <w:i w:val="false"/>
          <w:caps w:val="false"/>
          <w:smallCaps w:val="false"/>
          <w:sz w:val="20"/>
        </w:rPr>
      </w:pPr>
      <w:bookmarkStart w:id="9" w:name="xdx_905_edei--EntityAddressCityOrTown_c2"/>
      <w:bookmarkEnd w:id="9"/>
      <w:r>
        <w:rPr>
          <w:rFonts w:ascii="Times New Roman;Times;Serif" w:hAnsi="Times New Roman;Times;Serif"/>
          <w:b/>
          <w:i w:val="false"/>
          <w:caps w:val="false"/>
          <w:smallCaps w:val="false"/>
          <w:sz w:val="20"/>
        </w:rPr>
        <w:t xml:space="preserve">Fishers, </w:t>
      </w:r>
      <w:bookmarkStart w:id="10" w:name="xdx_906_edei--EntityAddressStateOrProvin"/>
      <w:bookmarkEnd w:id="10"/>
      <w:r>
        <w:rPr>
          <w:rFonts w:ascii="Times New Roman;Times;Serif" w:hAnsi="Times New Roman;Times;Serif"/>
          <w:b/>
          <w:i w:val="false"/>
          <w:caps w:val="false"/>
          <w:smallCaps w:val="false"/>
          <w:sz w:val="20"/>
        </w:rPr>
        <w:t xml:space="preserve">IN </w:t>
      </w:r>
      <w:bookmarkStart w:id="11" w:name="xdx_90F_edei--EntityAddressPostalZipCode"/>
      <w:bookmarkEnd w:id="11"/>
      <w:r>
        <w:rPr>
          <w:rFonts w:ascii="Times New Roman;Times;Serif" w:hAnsi="Times New Roman;Times;Serif"/>
          <w:b/>
          <w:i w:val="false"/>
          <w:caps w:val="false"/>
          <w:smallCaps w:val="false"/>
          <w:sz w:val="20"/>
        </w:rPr>
        <w:t>46037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with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xdx_904_edei--CityAreaCode_c20261013__20"/>
      <w:bookmarkEnd w:id="12"/>
      <w:r>
        <w:rPr>
          <w:rFonts w:ascii="Times New Roman;Times;Serif" w:hAnsi="Times New Roman;Times;Serif"/>
          <w:b/>
          <w:i w:val="false"/>
          <w:caps w:val="false"/>
          <w:smallCaps w:val="false"/>
          <w:sz w:val="20"/>
        </w:rPr>
        <w:t xml:space="preserve">(463) </w:t>
      </w:r>
      <w:bookmarkStart w:id="13" w:name="xdx_907_edei--LocalPhoneNumber_c20261013"/>
      <w:bookmarkEnd w:id="13"/>
      <w:r>
        <w:rPr>
          <w:rFonts w:ascii="Times New Roman;Times;Serif" w:hAnsi="Times New Roman;Times;Serif"/>
          <w:b/>
          <w:i w:val="false"/>
          <w:caps w:val="false"/>
          <w:smallCaps w:val="false"/>
          <w:sz w:val="20"/>
        </w:rPr>
        <w:t>270-0092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F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6_edei--SolicitingMaterial_c202610"/>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F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4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6735" w:type="dxa"/>
        <w:jc w:val="left"/>
        <w:tblInd w:w="0" w:type="dxa"/>
        <w:tblLayout w:type="fixed"/>
        <w:tblCellMar>
          <w:top w:w="0" w:type="dxa"/>
          <w:left w:w="0" w:type="dxa"/>
          <w:bottom w:w="28" w:type="dxa"/>
          <w:right w:w="0" w:type="dxa"/>
        </w:tblCellMar>
      </w:tblPr>
      <w:tblGrid>
        <w:gridCol w:w="1490"/>
        <w:gridCol w:w="60"/>
        <w:gridCol w:w="1535"/>
        <w:gridCol w:w="60"/>
        <w:gridCol w:w="3590"/>
      </w:tblGrid>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2_edei--Security12bTitle_c20261013"/>
            <w:bookmarkEnd w:id="18"/>
            <w:r>
              <w:rPr>
                <w:rFonts w:ascii="Times New Roman;Times;Serif" w:hAnsi="Times New Roman;Times;Serif"/>
                <w:b w:val="false"/>
                <w:i w:val="false"/>
                <w:caps w:val="false"/>
                <w:smallCaps w:val="false"/>
                <w:sz w:val="20"/>
              </w:rPr>
              <w:t>Common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TradingSymbol_c20261013__2"/>
            <w:bookmarkEnd w:id="19"/>
            <w:r>
              <w:rPr>
                <w:rFonts w:ascii="Times New Roman;Times;Serif" w:hAnsi="Times New Roman;Times;Serif"/>
                <w:b w:val="false"/>
                <w:i w:val="false"/>
                <w:caps w:val="false"/>
                <w:smallCaps w:val="false"/>
                <w:sz w:val="20"/>
              </w:rPr>
              <w:t>ARAI</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D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4.01. Changes in Registrant’s Certifying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Resignation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2026, Stephano Slack LLC (“Stephano Slack”) resigned as the independent registered public accounting firm of Arrive AI Inc. (the “Company”), effective October 13, 2026. The separation was amicable, and the Company and Stephano Slack intend to cooperate in facilitating an orderly transition to the Company’s successor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(the “Committee”) of the Board of Directors of the Company acknowledged Stephano Slack’s resignation and approved the change in the Company’s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report of Stephano Slack on the Company’s financial statements as of and for the fiscal year ended December 31, 2025 did not contain an adverse opinion or a disclaimer of opinion and was not qualified or modified as to uncertainty, audit scope or accounting principles, except that Stephano Slack’s reports for the fiscal year ended December 31, 2025 included an explanatory paragraph regarding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December 31, 2025 and the subsequent interim period through October 13,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disagreements, as defined in Item 304(a)(1)(iv) of Regulation S-K, between the Company and Stephano Slack on any matter of accounting principles or practices, financial statement disclosure, or auditing scope or procedure that, if not resolved to the satisfaction of Stephano Slack, would have caused Stephano Slack to make reference to the subject matter of the disagreement in connection with its report on the Company’s financial statements;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the following reportable events, as that term is defined in Item 304(a)(1)(v) of Regulation S-K: as disclosed in Item 9A of the Company’s Annual Report on Form 10-K for the fiscal year ended December 31, 2025 and in the Company’s Quarterly Reports on Form 10-Q for the quarters ended March 31, 2026 and June 30, 2026, the Company identified a material weakness in its internal control over financial reporting relating to the Company’s failure to maintain sufficient controls to ensure the proper identification, bifurcation and fair value measurement of embedded derivatives in hybrid financial instruments, or to ensure that the effective interest method was applied over the accretion period for host debt instruments containing a discount. As a result of this material weakness, on April 15, 2026, the Company filed amended Quarterly Reports on Form 10-Q/A for the quarters ended June 30, 2025 and September 30, 2025 to restate the financial statements included therein. As of June 30, 2026, the material weakness had not been fully remediated. The Committee discussed the subject matter of this reportable event with Stephano Slack, and the Company has authorized Stephano Slack to respond fully to the inquiries of M&amp;K CPAS, PLLC (“M&amp;K”) concerning the subject matter of this reportable event.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provided Stephano Slack with a copy of the disclosures contained in this Current Report on Form 8-K and requested that Stephano Slack furnish the Company with a letter addressed to the Securities and Exchange Commission stating whether it agrees with the statements made herein. A copy of Stephano Slack’s letter, dated October 16, 2026, is filed as Exhibit 16.1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2026, the Committee approved, and the Company engaged, M&amp;K as the Company’s independent registered public accounting firm, effective as of such date, to review the Company’s interim financial statements for the quarter ending September 30, 2026 and to audit the Company’s financial statements for the fiscal year ending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two most recent fiscal years and the subsequent interim period through the date of M&amp;K’s engagement, neither the Company nor anyone acting on its behalf consulted with M&amp;K regarding: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of accounting principles to a specified transaction, either completed or proposed, or the type of audit opinion that might be rendered on the Company’s financial statements, and neither a written report nor oral advice was provided to the Company that M&amp;K concluded was an important factor considered by the Company in reaching a decision as to any accounting, auditing or financial reporting issue;</w:t>
            </w:r>
          </w:p>
        </w:tc>
      </w:tr>
    </w:tbl>
    <w:p>
      <w:pPr>
        <w:pStyle w:val="TextBody"/>
        <w:bidi w:val="0"/>
        <w:spacing w:before="0" w:after="0"/>
        <w:ind w:left="0" w:right="0" w:hanging="0"/>
        <w:jc w:val="both"/>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275"/>
        <w:gridCol w:w="8390"/>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 that was the subject of a disagreement, as defined in Item 304(a)(1)(iv) of Regulation S-K; or</w:t>
            </w:r>
          </w:p>
        </w:tc>
      </w:tr>
    </w:tbl>
    <w:p>
      <w:pPr>
        <w:pStyle w:val="TextBody"/>
        <w:bidi w:val="0"/>
        <w:spacing w:before="0" w:after="0"/>
        <w:ind w:left="0" w:right="0" w:hanging="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335"/>
        <w:gridCol w:w="5810"/>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5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reportable event, as defined in Item 304(a)(1)(v) of Regulation 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center"/>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both"/>
              <w:rPr/>
            </w:pPr>
            <w:hyperlink w:anchor="ex16-1.htm">
              <w:r>
                <w:rPr>
                  <w:rStyle w:val="InternetLink"/>
                  <w:rFonts w:ascii="Times New Roman;Times;Serif" w:hAnsi="Times New Roman;Times;Serif"/>
                  <w:b w:val="false"/>
                  <w:i w:val="false"/>
                  <w:caps w:val="false"/>
                  <w:smallCaps w:val="false"/>
                  <w:sz w:val="20"/>
                </w:rPr>
                <w:t>Letter from Stephano Slack LLC to the Securities and Exchange Commission</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200" w:type="dxa"/>
        <w:jc w:val="left"/>
        <w:tblInd w:w="0" w:type="dxa"/>
        <w:tblLayout w:type="fixed"/>
        <w:tblCellMar>
          <w:top w:w="0" w:type="dxa"/>
          <w:left w:w="0" w:type="dxa"/>
          <w:bottom w:w="0" w:type="dxa"/>
          <w:right w:w="0" w:type="dxa"/>
        </w:tblCellMar>
      </w:tblPr>
      <w:tblGrid>
        <w:gridCol w:w="1925"/>
        <w:gridCol w:w="320"/>
        <w:gridCol w:w="1955"/>
      </w:tblGrid>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16,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O’Toole</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O’Toole</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3" w:name="ex16-1.htm"/>
      <w:bookmarkStart w:id="24" w:name="ksex16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607435" cy="3473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07435" cy="34734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Arrive AI,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001-42645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read the statements made by Arrive AI, Inc. (the “Company”) under Item 4.01 of its Form 8-K dated October 16, 2026, to be filed with the Securities and Exchange Commission, regarding our resignation as the Company’s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 with the statements made in Item 4.01 insofar as they relate to our Firm.</w:t>
      </w:r>
    </w:p>
    <w:p>
      <w:pPr>
        <w:pStyle w:val="TextBody"/>
        <w:bidi w:val="0"/>
        <w:spacing w:before="0" w:after="0"/>
        <w:ind w:left="0" w:right="0" w:hanging="0"/>
        <w:jc w:val="both"/>
        <w:rPr>
          <w:caps w:val="false"/>
          <w:smallCaps w:val="false"/>
        </w:rPr>
      </w:pPr>
      <w:r>
        <w:rPr>
          <w:caps w:val="false"/>
          <w:smallCaps w:val="false"/>
        </w:rPr>
        <w:t> </w:t>
      </w:r>
    </w:p>
    <w:tbl>
      <w:tblPr>
        <w:tblW w:w="4571" w:type="dxa"/>
        <w:jc w:val="left"/>
        <w:tblInd w:w="0" w:type="dxa"/>
        <w:tblLayout w:type="fixed"/>
        <w:tblCellMar>
          <w:top w:w="0" w:type="dxa"/>
          <w:left w:w="0" w:type="dxa"/>
          <w:bottom w:w="0" w:type="dxa"/>
          <w:right w:w="0" w:type="dxa"/>
        </w:tblCellMar>
      </w:tblPr>
      <w:tblGrid>
        <w:gridCol w:w="75"/>
        <w:gridCol w:w="4496"/>
      </w:tblGrid>
      <w:tr>
        <w:trPr/>
        <w:tc>
          <w:tcPr>
            <w:tcW w:w="75" w:type="dxa"/>
            <w:tcBorders/>
            <w:vAlign w:val="center"/>
          </w:tcPr>
          <w:p>
            <w:pPr>
              <w:pStyle w:val="TableContents"/>
              <w:bidi w:val="0"/>
              <w:spacing w:before="0" w:after="283"/>
              <w:jc w:val="left"/>
              <w:rPr/>
            </w:pPr>
            <w:r>
              <w:rPr/>
              <w:t> </w:t>
            </w:r>
          </w:p>
        </w:tc>
        <w:tc>
          <w:tcPr>
            <w:tcW w:w="44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449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96" w:type="dxa"/>
            <w:tcBorders>
              <w:bottom w:val="single" w:sz="8" w:space="0" w:color="000000"/>
            </w:tcBorders>
            <w:tcMar>
              <w:bottom w:w="28" w:type="dxa"/>
            </w:tcMar>
            <w:vAlign w:val="center"/>
          </w:tcPr>
          <w:p>
            <w:pPr>
              <w:pStyle w:val="TableContents"/>
              <w:bidi w:val="0"/>
              <w:spacing w:before="0" w:after="283"/>
              <w:jc w:val="left"/>
              <w:rPr/>
            </w:pPr>
            <w:r>
              <w:rPr/>
              <w:drawing>
                <wp:inline distT="0" distB="0" distL="0" distR="0">
                  <wp:extent cx="2807335" cy="6311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07335" cy="631190"/>
                          </a:xfrm>
                          <a:prstGeom prst="rect">
                            <a:avLst/>
                          </a:prstGeom>
                        </pic:spPr>
                      </pic:pic>
                    </a:graphicData>
                  </a:graphic>
                </wp:inline>
              </w:drawing>
            </w:r>
            <w:r>
              <w:rPr/>
              <w:t> </w:t>
            </w:r>
          </w:p>
        </w:tc>
      </w:tr>
      <w:tr>
        <w:trPr/>
        <w:tc>
          <w:tcPr>
            <w:tcW w:w="75" w:type="dxa"/>
            <w:tcBorders/>
            <w:vAlign w:val="center"/>
          </w:tcPr>
          <w:p>
            <w:pPr>
              <w:pStyle w:val="TableContents"/>
              <w:bidi w:val="0"/>
              <w:spacing w:before="0" w:after="283"/>
              <w:jc w:val="left"/>
              <w:rPr/>
            </w:pPr>
            <w:r>
              <w:rPr/>
              <w:t> </w:t>
            </w:r>
          </w:p>
        </w:tc>
        <w:tc>
          <w:tcPr>
            <w:tcW w:w="44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Stephano Slack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648710" cy="3930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48710" cy="39306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1188</Words>
  <Characters>6484</Characters>
  <CharactersWithSpaces>7671</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