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207010</wp:posOffset>
            </wp:positionH>
            <wp:positionV relativeFrom="page">
              <wp:posOffset>290830</wp:posOffset>
            </wp:positionV>
            <wp:extent cx="71348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41910"/>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341630</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8" w:lineRule="exact"/>
        <w:rPr>
          <w:sz w:val="24"/>
          <w:szCs w:val="24"/>
          <w:color w:val="auto"/>
        </w:rPr>
      </w:pPr>
    </w:p>
    <w:p>
      <w:pPr>
        <w:ind w:left="640" w:right="1620" w:hanging="396"/>
        <w:spacing w:after="0" w:line="492" w:lineRule="auto"/>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March 31,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15" w:lineRule="exact"/>
        <w:rPr>
          <w:sz w:val="24"/>
          <w:szCs w:val="24"/>
          <w:color w:val="auto"/>
        </w:rPr>
      </w:pPr>
    </w:p>
    <w:p>
      <w:pPr>
        <w:ind w:left="640" w:right="1600" w:hanging="396"/>
        <w:spacing w:after="0" w:line="491" w:lineRule="auto"/>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 to 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001-42645</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Arrive AI Inc.</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5" w:lineRule="exact"/>
        <w:rPr>
          <w:sz w:val="24"/>
          <w:szCs w:val="24"/>
          <w:color w:val="auto"/>
        </w:rPr>
      </w:pPr>
    </w:p>
    <w:tbl>
      <w:tblPr>
        <w:tblLayout w:type="fixed"/>
        <w:tblInd w:w="1320" w:type="dxa"/>
        <w:tblCellMar>
          <w:top w:w="0" w:type="dxa"/>
          <w:left w:w="0" w:type="dxa"/>
          <w:bottom w:w="0" w:type="dxa"/>
          <w:right w:w="0" w:type="dxa"/>
        </w:tblCellMar>
      </w:tblPr>
      <w:tr>
        <w:trPr>
          <w:trHeight w:val="214"/>
        </w:trPr>
        <w:tc>
          <w:tcPr>
            <w:tcW w:w="6340" w:type="dxa"/>
            <w:vAlign w:val="bottom"/>
          </w:tcPr>
          <w:p>
            <w:pPr>
              <w:jc w:val="center"/>
              <w:ind w:right="337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85-0935006</w:t>
            </w:r>
          </w:p>
        </w:tc>
      </w:tr>
      <w:tr>
        <w:trPr>
          <w:trHeight w:val="212"/>
        </w:trPr>
        <w:tc>
          <w:tcPr>
            <w:tcW w:w="6340" w:type="dxa"/>
            <w:vAlign w:val="bottom"/>
          </w:tcPr>
          <w:p>
            <w:pPr>
              <w:jc w:val="center"/>
              <w:ind w:right="3352"/>
              <w:spacing w:after="0"/>
              <w:rPr>
                <w:sz w:val="20"/>
                <w:szCs w:val="20"/>
                <w:color w:val="auto"/>
              </w:rPr>
            </w:pPr>
            <w:r>
              <w:rPr>
                <w:rFonts w:ascii="Times New Roman" w:cs="Times New Roman" w:eastAsia="Times New Roman" w:hAnsi="Times New Roman"/>
                <w:sz w:val="18"/>
                <w:szCs w:val="18"/>
                <w:color w:val="auto"/>
                <w:w w:val="98"/>
              </w:rPr>
              <w:t>(State or other jurisdiction</w:t>
            </w:r>
          </w:p>
        </w:tc>
        <w:tc>
          <w:tcPr>
            <w:tcW w:w="148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1"/>
        </w:trPr>
        <w:tc>
          <w:tcPr>
            <w:tcW w:w="6340" w:type="dxa"/>
            <w:vAlign w:val="bottom"/>
          </w:tcPr>
          <w:p>
            <w:pPr>
              <w:jc w:val="center"/>
              <w:ind w:right="3372"/>
              <w:spacing w:after="0"/>
              <w:rPr>
                <w:sz w:val="20"/>
                <w:szCs w:val="20"/>
                <w:color w:val="auto"/>
              </w:rPr>
            </w:pPr>
            <w:r>
              <w:rPr>
                <w:rFonts w:ascii="Times New Roman" w:cs="Times New Roman" w:eastAsia="Times New Roman" w:hAnsi="Times New Roman"/>
                <w:sz w:val="18"/>
                <w:szCs w:val="18"/>
                <w:color w:val="auto"/>
                <w:w w:val="98"/>
              </w:rPr>
              <w:t>of incorporation or organization)</w:t>
            </w:r>
          </w:p>
        </w:tc>
        <w:tc>
          <w:tcPr>
            <w:tcW w:w="148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6"/>
              </w:rPr>
              <w:t>Identification No.)</w:t>
            </w:r>
          </w:p>
        </w:tc>
      </w:tr>
      <w:tr>
        <w:trPr>
          <w:trHeight w:val="405"/>
        </w:trPr>
        <w:tc>
          <w:tcPr>
            <w:tcW w:w="6340" w:type="dxa"/>
            <w:vAlign w:val="bottom"/>
          </w:tcPr>
          <w:p>
            <w:pPr>
              <w:jc w:val="center"/>
              <w:ind w:right="3372"/>
              <w:spacing w:after="0"/>
              <w:rPr>
                <w:sz w:val="20"/>
                <w:szCs w:val="20"/>
                <w:color w:val="auto"/>
              </w:rPr>
            </w:pPr>
            <w:r>
              <w:rPr>
                <w:rFonts w:ascii="Times New Roman" w:cs="Times New Roman" w:eastAsia="Times New Roman" w:hAnsi="Times New Roman"/>
                <w:sz w:val="18"/>
                <w:szCs w:val="18"/>
                <w:b w:val="1"/>
                <w:bCs w:val="1"/>
                <w:color w:val="auto"/>
                <w:w w:val="97"/>
              </w:rPr>
              <w:t>12175 Visionary Way Fishers, Indiana</w:t>
            </w:r>
          </w:p>
        </w:tc>
        <w:tc>
          <w:tcPr>
            <w:tcW w:w="148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46038</w:t>
            </w:r>
          </w:p>
        </w:tc>
      </w:tr>
      <w:tr>
        <w:trPr>
          <w:trHeight w:val="231"/>
        </w:trPr>
        <w:tc>
          <w:tcPr>
            <w:tcW w:w="6340" w:type="dxa"/>
            <w:vAlign w:val="bottom"/>
          </w:tcPr>
          <w:p>
            <w:pPr>
              <w:jc w:val="center"/>
              <w:ind w:right="337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148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7"/>
              </w:rPr>
              <w:t>(Zip code)</w:t>
            </w:r>
          </w:p>
        </w:tc>
      </w:tr>
      <w:tr>
        <w:trPr>
          <w:trHeight w:val="405"/>
        </w:trPr>
        <w:tc>
          <w:tcPr>
            <w:tcW w:w="6340" w:type="dxa"/>
            <w:vAlign w:val="bottom"/>
          </w:tcPr>
          <w:p>
            <w:pPr>
              <w:jc w:val="right"/>
              <w:ind w:right="1392"/>
              <w:spacing w:after="0"/>
              <w:rPr>
                <w:sz w:val="20"/>
                <w:szCs w:val="20"/>
                <w:color w:val="auto"/>
              </w:rPr>
            </w:pPr>
            <w:r>
              <w:rPr>
                <w:rFonts w:ascii="Times New Roman" w:cs="Times New Roman" w:eastAsia="Times New Roman" w:hAnsi="Times New Roman"/>
                <w:sz w:val="18"/>
                <w:szCs w:val="18"/>
                <w:b w:val="1"/>
                <w:bCs w:val="1"/>
                <w:color w:val="auto"/>
              </w:rPr>
              <w:t>(463) 270-0092</w:t>
            </w:r>
          </w:p>
        </w:tc>
        <w:tc>
          <w:tcPr>
            <w:tcW w:w="1480" w:type="dxa"/>
            <w:vAlign w:val="bottom"/>
          </w:tcPr>
          <w:p>
            <w:pPr>
              <w:spacing w:after="0"/>
              <w:rPr>
                <w:sz w:val="24"/>
                <w:szCs w:val="24"/>
                <w:color w:val="auto"/>
              </w:rPr>
            </w:pPr>
          </w:p>
        </w:tc>
      </w:tr>
      <w:tr>
        <w:trPr>
          <w:trHeight w:val="231"/>
        </w:trPr>
        <w:tc>
          <w:tcPr>
            <w:tcW w:w="6340" w:type="dxa"/>
            <w:vAlign w:val="bottom"/>
          </w:tcPr>
          <w:p>
            <w:pPr>
              <w:jc w:val="center"/>
              <w:ind w:left="2192"/>
              <w:spacing w:after="0"/>
              <w:rPr>
                <w:sz w:val="20"/>
                <w:szCs w:val="20"/>
                <w:color w:val="auto"/>
              </w:rPr>
            </w:pPr>
            <w:r>
              <w:rPr>
                <w:rFonts w:ascii="Times New Roman" w:cs="Times New Roman" w:eastAsia="Times New Roman" w:hAnsi="Times New Roman"/>
                <w:sz w:val="18"/>
                <w:szCs w:val="18"/>
                <w:color w:val="auto"/>
                <w:w w:val="97"/>
              </w:rPr>
              <w:t>(Registrant’s telephone number, including area code)</w:t>
            </w:r>
          </w:p>
        </w:tc>
        <w:tc>
          <w:tcPr>
            <w:tcW w:w="1480" w:type="dxa"/>
            <w:vAlign w:val="bottom"/>
          </w:tcPr>
          <w:p>
            <w:pPr>
              <w:spacing w:after="0"/>
              <w:rPr>
                <w:sz w:val="20"/>
                <w:szCs w:val="20"/>
                <w:color w:val="auto"/>
              </w:rPr>
            </w:pPr>
          </w:p>
        </w:tc>
      </w:tr>
    </w:tbl>
    <w:p>
      <w:pPr>
        <w:spacing w:after="0" w:line="193" w:lineRule="exact"/>
        <w:rPr>
          <w:sz w:val="24"/>
          <w:szCs w:val="24"/>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at least the past 90 days.</w:t>
      </w:r>
    </w:p>
    <w:p>
      <w:pPr>
        <w:spacing w:after="0" w:line="139" w:lineRule="exact"/>
        <w:rPr>
          <w:sz w:val="24"/>
          <w:szCs w:val="24"/>
          <w:color w:val="auto"/>
        </w:rPr>
      </w:pPr>
    </w:p>
    <w:p>
      <w:pPr>
        <w:ind w:left="320"/>
        <w:spacing w:after="0" w:line="207" w:lineRule="exact"/>
        <w:tabs>
          <w:tab w:leader="none" w:pos="880" w:val="left"/>
          <w:tab w:leader="none" w:pos="8420" w:val="left"/>
          <w:tab w:leader="none" w:pos="8860" w:val="left"/>
        </w:tabs>
        <w:rPr>
          <w:sz w:val="20"/>
          <w:szCs w:val="20"/>
          <w:color w:val="auto"/>
        </w:rPr>
      </w:pPr>
      <w:r>
        <w:rPr>
          <w:rFonts w:ascii="Times New Roman" w:cs="Times New Roman" w:eastAsia="Times New Roman" w:hAnsi="Times New Roman"/>
          <w:sz w:val="18"/>
          <w:szCs w:val="18"/>
          <w:b w:val="1"/>
          <w:bCs w:val="1"/>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No</w:t>
      </w:r>
      <w:r>
        <w:rPr>
          <w:sz w:val="20"/>
          <w:szCs w:val="20"/>
          <w:color w:val="auto"/>
        </w:rPr>
        <w:tab/>
      </w:r>
      <w:r>
        <w:rPr>
          <w:rFonts w:ascii="MS PGothic" w:cs="MS PGothic" w:eastAsia="MS PGothic" w:hAnsi="MS PGothic"/>
          <w:sz w:val="14"/>
          <w:szCs w:val="14"/>
          <w:color w:val="auto"/>
        </w:rPr>
        <w:t>☐</w:t>
      </w:r>
    </w:p>
    <w:p>
      <w:pPr>
        <w:spacing w:after="0" w:line="256" w:lineRule="exact"/>
        <w:rPr>
          <w:sz w:val="24"/>
          <w:szCs w:val="24"/>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39" w:lineRule="exact"/>
        <w:rPr>
          <w:sz w:val="24"/>
          <w:szCs w:val="24"/>
          <w:color w:val="auto"/>
        </w:rPr>
      </w:pPr>
    </w:p>
    <w:p>
      <w:pPr>
        <w:ind w:left="320"/>
        <w:spacing w:after="0" w:line="207" w:lineRule="exact"/>
        <w:tabs>
          <w:tab w:leader="none" w:pos="880" w:val="left"/>
          <w:tab w:leader="none" w:pos="8420" w:val="left"/>
          <w:tab w:leader="none" w:pos="8860" w:val="left"/>
        </w:tabs>
        <w:rPr>
          <w:sz w:val="20"/>
          <w:szCs w:val="20"/>
          <w:color w:val="auto"/>
        </w:rPr>
      </w:pPr>
      <w:r>
        <w:rPr>
          <w:rFonts w:ascii="Times New Roman" w:cs="Times New Roman" w:eastAsia="Times New Roman" w:hAnsi="Times New Roman"/>
          <w:sz w:val="18"/>
          <w:szCs w:val="18"/>
          <w:b w:val="1"/>
          <w:bCs w:val="1"/>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No</w:t>
      </w:r>
      <w:r>
        <w:rPr>
          <w:sz w:val="20"/>
          <w:szCs w:val="20"/>
          <w:color w:val="auto"/>
        </w:rPr>
        <w:tab/>
      </w:r>
      <w:r>
        <w:rPr>
          <w:rFonts w:ascii="MS PGothic" w:cs="MS PGothic" w:eastAsia="MS PGothic" w:hAnsi="MS PGothic"/>
          <w:sz w:val="14"/>
          <w:szCs w:val="14"/>
          <w:color w:val="auto"/>
        </w:rPr>
        <w:t>☐</w:t>
      </w:r>
    </w:p>
    <w:p>
      <w:pPr>
        <w:spacing w:after="0" w:line="256" w:lineRule="exact"/>
        <w:rPr>
          <w:sz w:val="24"/>
          <w:szCs w:val="24"/>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28" w:right="339" w:bottom="1440" w:gutter="0" w:footer="0" w:header="0"/>
        </w:sectPr>
      </w:pPr>
    </w:p>
    <w:p>
      <w:pPr>
        <w:spacing w:after="0" w:line="176" w:lineRule="exact"/>
        <w:rPr>
          <w:sz w:val="24"/>
          <w:szCs w:val="24"/>
          <w:color w:val="auto"/>
        </w:rPr>
      </w:pPr>
    </w:p>
    <w:p>
      <w:pPr>
        <w:ind w:right="240"/>
        <w:spacing w:after="0" w:line="306" w:lineRule="auto"/>
        <w:rPr>
          <w:sz w:val="20"/>
          <w:szCs w:val="20"/>
          <w:color w:val="auto"/>
        </w:rPr>
      </w:pPr>
      <w:r>
        <w:rPr>
          <w:rFonts w:ascii="Times New Roman" w:cs="Times New Roman" w:eastAsia="Times New Roman" w:hAnsi="Times New Roman"/>
          <w:sz w:val="17"/>
          <w:szCs w:val="17"/>
          <w:b w:val="1"/>
          <w:bCs w:val="1"/>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114"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Accelerated filer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Non-accelerated filer</w:t>
      </w:r>
    </w:p>
    <w:p>
      <w:pPr>
        <w:spacing w:after="0" w:line="5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525" w:lineRule="exact"/>
        <w:rPr>
          <w:sz w:val="24"/>
          <w:szCs w:val="24"/>
          <w:color w:val="auto"/>
        </w:rPr>
      </w:pPr>
    </w:p>
    <w:p>
      <w:pPr>
        <w:sectPr>
          <w:pgSz w:w="11900" w:h="16838" w:orient="portrait"/>
          <w:cols w:equalWidth="0" w:num="5">
            <w:col w:w="2420" w:space="720"/>
            <w:col w:w="160" w:space="200"/>
            <w:col w:w="3420" w:space="720"/>
            <w:col w:w="2520" w:space="720"/>
            <w:col w:w="360"/>
          </w:cols>
          <w:pgMar w:left="320" w:top="728" w:right="339" w:bottom="1440" w:gutter="0" w:footer="0" w:header="0"/>
          <w:type w:val="continuous"/>
        </w:sectPr>
      </w:pPr>
    </w:p>
    <w:p>
      <w:pPr>
        <w:ind w:firstLine="31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67"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78" w:lineRule="exact"/>
        <w:rPr>
          <w:sz w:val="24"/>
          <w:szCs w:val="24"/>
          <w:color w:val="auto"/>
        </w:rPr>
      </w:pPr>
    </w:p>
    <w:p>
      <w:pPr>
        <w:ind w:left="320"/>
        <w:spacing w:after="0" w:line="207" w:lineRule="exact"/>
        <w:tabs>
          <w:tab w:leader="none" w:pos="880" w:val="left"/>
          <w:tab w:leader="none" w:pos="8420" w:val="left"/>
          <w:tab w:leader="none" w:pos="8860" w:val="left"/>
        </w:tabs>
        <w:rPr>
          <w:sz w:val="20"/>
          <w:szCs w:val="20"/>
          <w:color w:val="auto"/>
        </w:rPr>
      </w:pPr>
      <w:r>
        <w:rPr>
          <w:rFonts w:ascii="Times New Roman" w:cs="Times New Roman" w:eastAsia="Times New Roman" w:hAnsi="Times New Roman"/>
          <w:sz w:val="18"/>
          <w:szCs w:val="18"/>
          <w:b w:val="1"/>
          <w:bCs w:val="1"/>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No</w:t>
      </w:r>
      <w:r>
        <w:rPr>
          <w:sz w:val="20"/>
          <w:szCs w:val="20"/>
          <w:color w:val="auto"/>
        </w:rPr>
        <w:tab/>
      </w:r>
      <w:r>
        <w:rPr>
          <w:rFonts w:ascii="MS PGothic" w:cs="MS PGothic" w:eastAsia="MS PGothic" w:hAnsi="MS PGothic"/>
          <w:sz w:val="14"/>
          <w:szCs w:val="14"/>
          <w:color w:val="auto"/>
        </w:rPr>
        <w:t>☒</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Name of each exchange on which registered</w:t>
            </w:r>
          </w:p>
        </w:tc>
      </w:tr>
      <w:tr>
        <w:trPr>
          <w:trHeight w:val="225"/>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par value $0.0002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ARAI</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Global Market</w:t>
            </w:r>
          </w:p>
        </w:tc>
      </w:tr>
    </w:tbl>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par value $0.0002 per share, outstanding as of June 5, 2025, was 32,989,570.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7134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494665</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Page(s)</w:t>
            </w:r>
          </w:p>
        </w:tc>
      </w:tr>
      <w:tr>
        <w:trPr>
          <w:trHeight w:val="205"/>
        </w:trPr>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2"/>
        </w:trPr>
        <w:tc>
          <w:tcPr>
            <w:tcW w:w="2840" w:type="dxa"/>
            <w:vAlign w:val="bottom"/>
            <w:tcBorders>
              <w:bottom w:val="single" w:sz="8" w:color="0000EE"/>
            </w:tcBorders>
            <w:gridSpan w:val="10"/>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0000EE"/>
                <w:w w:val="96"/>
              </w:rPr>
              <w:t>PART I. FINANCIAL INFORMATION</w:t>
            </w:r>
          </w:p>
        </w:tc>
        <w:tc>
          <w:tcPr>
            <w:tcW w:w="7760" w:type="dxa"/>
            <w:vAlign w:val="bottom"/>
            <w:tcBorders>
              <w:bottom w:val="single" w:sz="8" w:color="CCEEFF"/>
            </w:tcBorders>
            <w:gridSpan w:val="6"/>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88"/>
              </w:rPr>
              <w:t>3</w:t>
            </w:r>
          </w:p>
        </w:tc>
      </w:tr>
      <w:tr>
        <w:trPr>
          <w:trHeight w:val="182"/>
        </w:trPr>
        <w:tc>
          <w:tcPr>
            <w:tcW w:w="10600" w:type="dxa"/>
            <w:vAlign w:val="bottom"/>
            <w:gridSpan w:val="16"/>
          </w:tcPr>
          <w:p>
            <w:pPr>
              <w:spacing w:after="0" w:line="172"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6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88"/>
              </w:rPr>
              <w:t>3</w:t>
            </w:r>
          </w:p>
        </w:tc>
      </w:tr>
      <w:tr>
        <w:trPr>
          <w:trHeight w:val="202"/>
        </w:trPr>
        <w:tc>
          <w:tcPr>
            <w:tcW w:w="180" w:type="dxa"/>
            <w:vAlign w:val="bottom"/>
            <w:tcBorders>
              <w:top w:val="single" w:sz="8" w:color="0000EE"/>
              <w:bottom w:val="single" w:sz="8" w:color="CCEEFF"/>
            </w:tcBorders>
            <w:shd w:val="clear" w:color="auto" w:fill="CCEEFF"/>
          </w:tcPr>
          <w:p>
            <w:pPr>
              <w:spacing w:after="0"/>
              <w:rPr>
                <w:sz w:val="17"/>
                <w:szCs w:val="17"/>
                <w:color w:val="auto"/>
              </w:rPr>
            </w:pPr>
          </w:p>
        </w:tc>
        <w:tc>
          <w:tcPr>
            <w:tcW w:w="1080" w:type="dxa"/>
            <w:vAlign w:val="bottom"/>
            <w:tcBorders>
              <w:top w:val="single" w:sz="8" w:color="0000EE"/>
              <w:bottom w:val="single" w:sz="8" w:color="0000EE"/>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w w:val="96"/>
              </w:rPr>
              <w:t>Balance Sheets</w:t>
            </w:r>
          </w:p>
        </w:tc>
        <w:tc>
          <w:tcPr>
            <w:tcW w:w="1620" w:type="dxa"/>
            <w:vAlign w:val="bottom"/>
            <w:tcBorders>
              <w:top w:val="single" w:sz="8" w:color="0000EE"/>
              <w:bottom w:val="single" w:sz="8" w:color="CCEEFF"/>
            </w:tcBorders>
            <w:gridSpan w:val="8"/>
            <w:shd w:val="clear" w:color="auto" w:fill="CCEEFF"/>
          </w:tcPr>
          <w:p>
            <w:pPr>
              <w:spacing w:after="0"/>
              <w:rPr>
                <w:sz w:val="17"/>
                <w:szCs w:val="17"/>
                <w:color w:val="auto"/>
              </w:rPr>
            </w:pPr>
          </w:p>
        </w:tc>
        <w:tc>
          <w:tcPr>
            <w:tcW w:w="772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3</w:t>
            </w:r>
          </w:p>
        </w:tc>
      </w:tr>
      <w:tr>
        <w:trPr>
          <w:trHeight w:val="172"/>
        </w:trPr>
        <w:tc>
          <w:tcPr>
            <w:tcW w:w="180" w:type="dxa"/>
            <w:vAlign w:val="bottom"/>
          </w:tcPr>
          <w:p>
            <w:pPr>
              <w:spacing w:after="0"/>
              <w:rPr>
                <w:sz w:val="14"/>
                <w:szCs w:val="14"/>
                <w:color w:val="auto"/>
              </w:rPr>
            </w:pPr>
          </w:p>
        </w:tc>
        <w:tc>
          <w:tcPr>
            <w:tcW w:w="10420" w:type="dxa"/>
            <w:vAlign w:val="bottom"/>
            <w:gridSpan w:val="15"/>
          </w:tcPr>
          <w:p>
            <w:pPr>
              <w:spacing w:after="0" w:line="172" w:lineRule="exact"/>
              <w:rPr>
                <w:sz w:val="20"/>
                <w:szCs w:val="20"/>
                <w:color w:val="auto"/>
              </w:rPr>
            </w:pPr>
            <w:r>
              <w:rPr>
                <w:rFonts w:ascii="Times New Roman" w:cs="Times New Roman" w:eastAsia="Times New Roman" w:hAnsi="Times New Roman"/>
                <w:sz w:val="18"/>
                <w:szCs w:val="18"/>
                <w:color w:val="0000EE"/>
              </w:rPr>
              <w:t>Statements of Operations</w:t>
            </w:r>
          </w:p>
        </w:tc>
        <w:tc>
          <w:tcPr>
            <w:tcW w:w="6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88"/>
              </w:rPr>
              <w:t>4</w:t>
            </w:r>
          </w:p>
        </w:tc>
      </w:tr>
      <w:tr>
        <w:trPr>
          <w:trHeight w:val="30"/>
        </w:trPr>
        <w:tc>
          <w:tcPr>
            <w:tcW w:w="18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2"/>
        </w:trPr>
        <w:tc>
          <w:tcPr>
            <w:tcW w:w="18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tcBorders>
            <w:gridSpan w:val="1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w w:val="97"/>
              </w:rPr>
              <w:t>Statements of Changes in Stockholders’ Equity (Deficit)</w:t>
            </w:r>
          </w:p>
        </w:tc>
        <w:tc>
          <w:tcPr>
            <w:tcW w:w="642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5</w:t>
            </w:r>
          </w:p>
        </w:tc>
      </w:tr>
      <w:tr>
        <w:trPr>
          <w:trHeight w:val="172"/>
        </w:trPr>
        <w:tc>
          <w:tcPr>
            <w:tcW w:w="180" w:type="dxa"/>
            <w:vAlign w:val="bottom"/>
          </w:tcPr>
          <w:p>
            <w:pPr>
              <w:spacing w:after="0"/>
              <w:rPr>
                <w:sz w:val="14"/>
                <w:szCs w:val="14"/>
                <w:color w:val="auto"/>
              </w:rPr>
            </w:pPr>
          </w:p>
        </w:tc>
        <w:tc>
          <w:tcPr>
            <w:tcW w:w="10420" w:type="dxa"/>
            <w:vAlign w:val="bottom"/>
            <w:gridSpan w:val="15"/>
          </w:tcPr>
          <w:p>
            <w:pPr>
              <w:spacing w:after="0" w:line="172" w:lineRule="exact"/>
              <w:rPr>
                <w:sz w:val="20"/>
                <w:szCs w:val="20"/>
                <w:color w:val="auto"/>
              </w:rPr>
            </w:pPr>
            <w:r>
              <w:rPr>
                <w:rFonts w:ascii="Times New Roman" w:cs="Times New Roman" w:eastAsia="Times New Roman" w:hAnsi="Times New Roman"/>
                <w:sz w:val="18"/>
                <w:szCs w:val="18"/>
                <w:color w:val="0000EE"/>
              </w:rPr>
              <w:t>Statements of Cash Flows</w:t>
            </w:r>
          </w:p>
        </w:tc>
        <w:tc>
          <w:tcPr>
            <w:tcW w:w="6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88"/>
              </w:rPr>
              <w:t>6</w:t>
            </w:r>
          </w:p>
        </w:tc>
      </w:tr>
      <w:tr>
        <w:trPr>
          <w:trHeight w:val="30"/>
        </w:trPr>
        <w:tc>
          <w:tcPr>
            <w:tcW w:w="18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left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2"/>
        </w:trPr>
        <w:tc>
          <w:tcPr>
            <w:tcW w:w="180" w:type="dxa"/>
            <w:vAlign w:val="bottom"/>
            <w:shd w:val="clear" w:color="auto" w:fill="CCEEFF"/>
          </w:tcPr>
          <w:p>
            <w:pPr>
              <w:spacing w:after="0"/>
              <w:rPr>
                <w:sz w:val="15"/>
                <w:szCs w:val="15"/>
                <w:color w:val="auto"/>
              </w:rPr>
            </w:pPr>
          </w:p>
        </w:tc>
        <w:tc>
          <w:tcPr>
            <w:tcW w:w="10420" w:type="dxa"/>
            <w:vAlign w:val="bottom"/>
            <w:gridSpan w:val="15"/>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Condensed Notes to Unaudited Financial Statements</w:t>
            </w:r>
          </w:p>
        </w:tc>
        <w:tc>
          <w:tcPr>
            <w:tcW w:w="6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6"/>
              </w:rPr>
              <w:t>7-22</w:t>
            </w:r>
          </w:p>
        </w:tc>
      </w:tr>
      <w:tr>
        <w:trPr>
          <w:trHeight w:val="40"/>
        </w:trPr>
        <w:tc>
          <w:tcPr>
            <w:tcW w:w="180" w:type="dxa"/>
            <w:vAlign w:val="bottom"/>
            <w:shd w:val="clear" w:color="auto" w:fill="CCEEFF"/>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020" w:type="dxa"/>
            <w:vAlign w:val="bottom"/>
            <w:shd w:val="clear" w:color="auto" w:fill="0000EE"/>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36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r>
      <w:tr>
        <w:trPr>
          <w:trHeight w:val="182"/>
        </w:trPr>
        <w:tc>
          <w:tcPr>
            <w:tcW w:w="6960" w:type="dxa"/>
            <w:vAlign w:val="bottom"/>
            <w:tcBorders>
              <w:bottom w:val="single" w:sz="8" w:color="0000EE"/>
            </w:tcBorders>
            <w:gridSpan w:val="15"/>
          </w:tcPr>
          <w:p>
            <w:pPr>
              <w:spacing w:after="0" w:line="172" w:lineRule="exact"/>
              <w:rPr>
                <w:sz w:val="20"/>
                <w:szCs w:val="20"/>
                <w:color w:val="auto"/>
              </w:rPr>
            </w:pPr>
            <w:r>
              <w:rPr>
                <w:rFonts w:ascii="Times New Roman" w:cs="Times New Roman" w:eastAsia="Times New Roman" w:hAnsi="Times New Roman"/>
                <w:sz w:val="18"/>
                <w:szCs w:val="18"/>
                <w:color w:val="0000EE"/>
                <w:w w:val="97"/>
              </w:rPr>
              <w:t>Item 2. Management’s Discussion and Analysis of Financial Conditions and Results of Operations</w:t>
            </w:r>
          </w:p>
        </w:tc>
        <w:tc>
          <w:tcPr>
            <w:tcW w:w="3640" w:type="dxa"/>
            <w:vAlign w:val="bottom"/>
          </w:tcPr>
          <w:p>
            <w:pPr>
              <w:spacing w:after="0"/>
              <w:rPr>
                <w:sz w:val="15"/>
                <w:szCs w:val="15"/>
                <w:color w:val="auto"/>
              </w:rPr>
            </w:pPr>
          </w:p>
        </w:tc>
        <w:tc>
          <w:tcPr>
            <w:tcW w:w="6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23</w:t>
            </w:r>
          </w:p>
        </w:tc>
      </w:tr>
      <w:tr>
        <w:trPr>
          <w:trHeight w:val="202"/>
        </w:trPr>
        <w:tc>
          <w:tcPr>
            <w:tcW w:w="10600" w:type="dxa"/>
            <w:vAlign w:val="bottom"/>
            <w:gridSpan w:val="1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6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26</w:t>
            </w:r>
          </w:p>
        </w:tc>
      </w:tr>
      <w:tr>
        <w:trPr>
          <w:trHeight w:val="172"/>
        </w:trPr>
        <w:tc>
          <w:tcPr>
            <w:tcW w:w="4820" w:type="dxa"/>
            <w:vAlign w:val="bottom"/>
            <w:tcBorders>
              <w:top w:val="single" w:sz="8" w:color="0000EE"/>
            </w:tcBorders>
            <w:gridSpan w:val="14"/>
          </w:tcPr>
          <w:p>
            <w:pPr>
              <w:spacing w:after="0" w:line="172"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5780" w:type="dxa"/>
            <w:vAlign w:val="bottom"/>
            <w:tcBorders>
              <w:top w:val="single" w:sz="8" w:color="CCEEFF"/>
            </w:tcBorders>
            <w:gridSpan w:val="2"/>
          </w:tcPr>
          <w:p>
            <w:pPr>
              <w:spacing w:after="0"/>
              <w:rPr>
                <w:sz w:val="14"/>
                <w:szCs w:val="14"/>
                <w:color w:val="auto"/>
              </w:rPr>
            </w:pPr>
          </w:p>
        </w:tc>
        <w:tc>
          <w:tcPr>
            <w:tcW w:w="640" w:type="dxa"/>
            <w:vAlign w:val="bottom"/>
            <w:tcBorders>
              <w:top w:val="single" w:sz="8" w:color="CCEEFF"/>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26</w:t>
            </w:r>
          </w:p>
        </w:tc>
      </w:tr>
      <w:tr>
        <w:trPr>
          <w:trHeight w:val="30"/>
        </w:trPr>
        <w:tc>
          <w:tcPr>
            <w:tcW w:w="18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2"/>
        </w:trPr>
        <w:tc>
          <w:tcPr>
            <w:tcW w:w="10600" w:type="dxa"/>
            <w:vAlign w:val="bottom"/>
            <w:gridSpan w:val="1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PART II. OTHER INFORMATION</w:t>
            </w:r>
          </w:p>
        </w:tc>
        <w:tc>
          <w:tcPr>
            <w:tcW w:w="6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27</w:t>
            </w:r>
          </w:p>
        </w:tc>
      </w:tr>
      <w:tr>
        <w:trPr>
          <w:trHeight w:val="182"/>
        </w:trPr>
        <w:tc>
          <w:tcPr>
            <w:tcW w:w="1860" w:type="dxa"/>
            <w:vAlign w:val="bottom"/>
            <w:tcBorders>
              <w:top w:val="single" w:sz="8" w:color="0000EE"/>
              <w:bottom w:val="single" w:sz="8" w:color="0000EE"/>
            </w:tcBorders>
            <w:gridSpan w:val="6"/>
          </w:tcPr>
          <w:p>
            <w:pPr>
              <w:spacing w:after="0" w:line="172" w:lineRule="exact"/>
              <w:rPr>
                <w:sz w:val="20"/>
                <w:szCs w:val="20"/>
                <w:color w:val="auto"/>
              </w:rPr>
            </w:pPr>
            <w:r>
              <w:rPr>
                <w:rFonts w:ascii="Times New Roman" w:cs="Times New Roman" w:eastAsia="Times New Roman" w:hAnsi="Times New Roman"/>
                <w:sz w:val="18"/>
                <w:szCs w:val="18"/>
                <w:color w:val="0000EE"/>
                <w:w w:val="97"/>
              </w:rPr>
              <w:t>Item 1. Legal Proceedings</w:t>
            </w:r>
          </w:p>
        </w:tc>
        <w:tc>
          <w:tcPr>
            <w:tcW w:w="660" w:type="dxa"/>
            <w:vAlign w:val="bottom"/>
            <w:tcBorders>
              <w:top w:val="single" w:sz="8" w:color="0000EE"/>
            </w:tcBorders>
            <w:gridSpan w:val="3"/>
          </w:tcPr>
          <w:p>
            <w:pPr>
              <w:spacing w:after="0"/>
              <w:rPr>
                <w:sz w:val="15"/>
                <w:szCs w:val="15"/>
                <w:color w:val="auto"/>
              </w:rPr>
            </w:pPr>
          </w:p>
        </w:tc>
        <w:tc>
          <w:tcPr>
            <w:tcW w:w="808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27</w:t>
            </w:r>
          </w:p>
        </w:tc>
      </w:tr>
      <w:tr>
        <w:trPr>
          <w:trHeight w:val="182"/>
        </w:trPr>
        <w:tc>
          <w:tcPr>
            <w:tcW w:w="10600" w:type="dxa"/>
            <w:vAlign w:val="bottom"/>
            <w:gridSpan w:val="1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Item 1A. Risk Factors</w:t>
            </w:r>
          </w:p>
        </w:tc>
        <w:tc>
          <w:tcPr>
            <w:tcW w:w="6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28</w:t>
            </w:r>
          </w:p>
        </w:tc>
      </w:tr>
      <w:tr>
        <w:trPr>
          <w:trHeight w:val="40"/>
        </w:trPr>
        <w:tc>
          <w:tcPr>
            <w:tcW w:w="180" w:type="dxa"/>
            <w:vAlign w:val="bottom"/>
            <w:shd w:val="clear" w:color="auto" w:fill="0000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36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r>
      <w:tr>
        <w:trPr>
          <w:trHeight w:val="182"/>
        </w:trPr>
        <w:tc>
          <w:tcPr>
            <w:tcW w:w="4820" w:type="dxa"/>
            <w:vAlign w:val="bottom"/>
            <w:tcBorders>
              <w:bottom w:val="single" w:sz="8" w:color="0000EE"/>
            </w:tcBorders>
            <w:gridSpan w:val="14"/>
          </w:tcPr>
          <w:p>
            <w:pPr>
              <w:spacing w:after="0" w:line="172" w:lineRule="exact"/>
              <w:rPr>
                <w:sz w:val="20"/>
                <w:szCs w:val="20"/>
                <w:color w:val="auto"/>
              </w:rPr>
            </w:pPr>
            <w:r>
              <w:rPr>
                <w:rFonts w:ascii="Times New Roman" w:cs="Times New Roman" w:eastAsia="Times New Roman" w:hAnsi="Times New Roman"/>
                <w:sz w:val="18"/>
                <w:szCs w:val="18"/>
                <w:color w:val="0000EE"/>
                <w:w w:val="97"/>
              </w:rPr>
              <w:t>Item 2. Unregistered Sales of Equity Securities and Use of Proceeds</w:t>
            </w:r>
          </w:p>
        </w:tc>
        <w:tc>
          <w:tcPr>
            <w:tcW w:w="5780" w:type="dxa"/>
            <w:vAlign w:val="bottom"/>
            <w:gridSpan w:val="2"/>
          </w:tcPr>
          <w:p>
            <w:pPr>
              <w:spacing w:after="0"/>
              <w:rPr>
                <w:sz w:val="15"/>
                <w:szCs w:val="15"/>
                <w:color w:val="auto"/>
              </w:rPr>
            </w:pPr>
          </w:p>
        </w:tc>
        <w:tc>
          <w:tcPr>
            <w:tcW w:w="6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28</w:t>
            </w:r>
          </w:p>
        </w:tc>
      </w:tr>
      <w:tr>
        <w:trPr>
          <w:trHeight w:val="202"/>
        </w:trPr>
        <w:tc>
          <w:tcPr>
            <w:tcW w:w="2840" w:type="dxa"/>
            <w:vAlign w:val="bottom"/>
            <w:tcBorders>
              <w:bottom w:val="single" w:sz="8" w:color="0000EE"/>
            </w:tcBorders>
            <w:gridSpan w:val="1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w w:val="97"/>
              </w:rPr>
              <w:t>Item 3. Defaults Upon Senior Securities</w:t>
            </w:r>
          </w:p>
        </w:tc>
        <w:tc>
          <w:tcPr>
            <w:tcW w:w="776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28</w:t>
            </w:r>
          </w:p>
        </w:tc>
      </w:tr>
      <w:tr>
        <w:trPr>
          <w:trHeight w:val="182"/>
        </w:trPr>
        <w:tc>
          <w:tcPr>
            <w:tcW w:w="10600" w:type="dxa"/>
            <w:vAlign w:val="bottom"/>
            <w:gridSpan w:val="16"/>
          </w:tcPr>
          <w:p>
            <w:pPr>
              <w:spacing w:after="0" w:line="172"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6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28</w:t>
            </w:r>
          </w:p>
        </w:tc>
      </w:tr>
      <w:tr>
        <w:trPr>
          <w:trHeight w:val="202"/>
        </w:trPr>
        <w:tc>
          <w:tcPr>
            <w:tcW w:w="2280" w:type="dxa"/>
            <w:vAlign w:val="bottom"/>
            <w:tcBorders>
              <w:top w:val="single" w:sz="8" w:color="0000EE"/>
            </w:tcBorders>
            <w:gridSpan w:val="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Item 5. Other Information</w:t>
            </w:r>
          </w:p>
        </w:tc>
        <w:tc>
          <w:tcPr>
            <w:tcW w:w="8320" w:type="dxa"/>
            <w:vAlign w:val="bottom"/>
            <w:gridSpan w:val="8"/>
            <w:shd w:val="clear" w:color="auto" w:fill="CCEEFF"/>
          </w:tcPr>
          <w:p>
            <w:pPr>
              <w:spacing w:after="0"/>
              <w:rPr>
                <w:sz w:val="17"/>
                <w:szCs w:val="17"/>
                <w:color w:val="auto"/>
              </w:rPr>
            </w:pPr>
          </w:p>
        </w:tc>
        <w:tc>
          <w:tcPr>
            <w:tcW w:w="6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29</w:t>
            </w:r>
          </w:p>
        </w:tc>
      </w:tr>
      <w:tr>
        <w:trPr>
          <w:trHeight w:val="172"/>
        </w:trPr>
        <w:tc>
          <w:tcPr>
            <w:tcW w:w="1140" w:type="dxa"/>
            <w:vAlign w:val="bottom"/>
            <w:tcBorders>
              <w:top w:val="single" w:sz="8" w:color="0000EE"/>
              <w:bottom w:val="single" w:sz="8" w:color="0000EE"/>
            </w:tcBorders>
            <w:gridSpan w:val="2"/>
          </w:tcPr>
          <w:p>
            <w:pPr>
              <w:spacing w:after="0" w:line="172" w:lineRule="exact"/>
              <w:rPr>
                <w:sz w:val="20"/>
                <w:szCs w:val="20"/>
                <w:color w:val="auto"/>
              </w:rPr>
            </w:pPr>
            <w:r>
              <w:rPr>
                <w:rFonts w:ascii="Times New Roman" w:cs="Times New Roman" w:eastAsia="Times New Roman" w:hAnsi="Times New Roman"/>
                <w:sz w:val="18"/>
                <w:szCs w:val="18"/>
                <w:color w:val="0000EE"/>
                <w:w w:val="96"/>
              </w:rPr>
              <w:t>Item 6. Exhibits</w:t>
            </w:r>
          </w:p>
        </w:tc>
        <w:tc>
          <w:tcPr>
            <w:tcW w:w="700" w:type="dxa"/>
            <w:vAlign w:val="bottom"/>
            <w:tcBorders>
              <w:top w:val="single" w:sz="8" w:color="0000EE"/>
            </w:tcBorders>
            <w:gridSpan w:val="3"/>
          </w:tcPr>
          <w:p>
            <w:pPr>
              <w:spacing w:after="0"/>
              <w:rPr>
                <w:sz w:val="14"/>
                <w:szCs w:val="14"/>
                <w:color w:val="auto"/>
              </w:rPr>
            </w:pPr>
          </w:p>
        </w:tc>
        <w:tc>
          <w:tcPr>
            <w:tcW w:w="8760" w:type="dxa"/>
            <w:vAlign w:val="bottom"/>
            <w:tcBorders>
              <w:top w:val="single" w:sz="8" w:color="CCEEFF"/>
            </w:tcBorders>
            <w:gridSpan w:val="11"/>
          </w:tcPr>
          <w:p>
            <w:pPr>
              <w:spacing w:after="0"/>
              <w:rPr>
                <w:sz w:val="14"/>
                <w:szCs w:val="14"/>
                <w:color w:val="auto"/>
              </w:rPr>
            </w:pPr>
          </w:p>
        </w:tc>
        <w:tc>
          <w:tcPr>
            <w:tcW w:w="640" w:type="dxa"/>
            <w:vAlign w:val="bottom"/>
            <w:tcBorders>
              <w:top w:val="single" w:sz="8" w:color="CCEEFF"/>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29</w:t>
            </w:r>
          </w:p>
        </w:tc>
      </w:tr>
      <w:tr>
        <w:trPr>
          <w:trHeight w:val="451"/>
        </w:trPr>
        <w:tc>
          <w:tcPr>
            <w:tcW w:w="6960" w:type="dxa"/>
            <w:vAlign w:val="bottom"/>
            <w:tcBorders>
              <w:bottom w:val="single" w:sz="8" w:color="auto"/>
            </w:tcBorders>
            <w:gridSpan w:val="15"/>
          </w:tcPr>
          <w:p>
            <w:pPr>
              <w:ind w:left="5480"/>
              <w:spacing w:after="0"/>
              <w:rPr>
                <w:sz w:val="20"/>
                <w:szCs w:val="20"/>
                <w:color w:val="auto"/>
              </w:rPr>
            </w:pPr>
            <w:r>
              <w:rPr>
                <w:rFonts w:ascii="Times New Roman" w:cs="Times New Roman" w:eastAsia="Times New Roman" w:hAnsi="Times New Roman"/>
                <w:sz w:val="18"/>
                <w:szCs w:val="18"/>
                <w:color w:val="auto"/>
              </w:rPr>
              <w:t>- 2 -</w:t>
            </w:r>
          </w:p>
        </w:tc>
        <w:tc>
          <w:tcPr>
            <w:tcW w:w="3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 AI INC. (FORMERLY ARRIVE TECHNOLOGY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BALANCE SHEETS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2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r>
      <w:tr>
        <w:trPr>
          <w:trHeight w:val="205"/>
        </w:trPr>
        <w:tc>
          <w:tcPr>
            <w:tcW w:w="74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center"/>
              <w:ind w:right="72"/>
              <w:spacing w:after="0" w:line="205" w:lineRule="exact"/>
              <w:rPr>
                <w:sz w:val="20"/>
                <w:szCs w:val="20"/>
                <w:color w:val="auto"/>
              </w:rPr>
            </w:pPr>
            <w:r>
              <w:rPr>
                <w:rFonts w:ascii="Times New Roman" w:cs="Times New Roman" w:eastAsia="Times New Roman" w:hAnsi="Times New Roman"/>
                <w:sz w:val="18"/>
                <w:szCs w:val="18"/>
                <w:b w:val="1"/>
                <w:bCs w:val="1"/>
                <w:color w:val="auto"/>
                <w:w w:val="98"/>
              </w:rPr>
              <w:t>(Unaudited)</w:t>
            </w: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742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295,368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129,318</w:t>
            </w:r>
          </w:p>
        </w:tc>
        <w:tc>
          <w:tcPr>
            <w:tcW w:w="100" w:type="dxa"/>
            <w:vAlign w:val="bottom"/>
          </w:tcPr>
          <w:p>
            <w:pPr>
              <w:spacing w:after="0"/>
              <w:rPr>
                <w:sz w:val="18"/>
                <w:szCs w:val="18"/>
                <w:color w:val="auto"/>
              </w:rPr>
            </w:pPr>
          </w:p>
        </w:tc>
      </w:tr>
      <w:tr>
        <w:trPr>
          <w:trHeight w:val="212"/>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48,786</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55,867</w:t>
            </w:r>
          </w:p>
        </w:tc>
      </w:tr>
      <w:tr>
        <w:trPr>
          <w:trHeight w:val="212"/>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80" w:type="dxa"/>
            <w:vAlign w:val="bottom"/>
          </w:tcPr>
          <w:p>
            <w:pPr>
              <w:spacing w:after="0"/>
              <w:rPr>
                <w:sz w:val="18"/>
                <w:szCs w:val="18"/>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7,355,767</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427,898</w:t>
            </w:r>
          </w:p>
        </w:tc>
        <w:tc>
          <w:tcPr>
            <w:tcW w:w="100" w:type="dxa"/>
            <w:vAlign w:val="bottom"/>
          </w:tcPr>
          <w:p>
            <w:pPr>
              <w:spacing w:after="0"/>
              <w:rPr>
                <w:sz w:val="18"/>
                <w:szCs w:val="18"/>
                <w:color w:val="auto"/>
              </w:rPr>
            </w:pPr>
          </w:p>
        </w:tc>
      </w:tr>
      <w:tr>
        <w:trPr>
          <w:trHeight w:val="225"/>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2,767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shd w:val="clear" w:color="auto" w:fill="CCEEFF"/>
          </w:tcPr>
          <w:p>
            <w:pPr>
              <w:spacing w:after="0"/>
              <w:rPr>
                <w:sz w:val="19"/>
                <w:szCs w:val="19"/>
                <w:color w:val="auto"/>
              </w:rPr>
            </w:pPr>
          </w:p>
        </w:tc>
      </w:tr>
      <w:tr>
        <w:trPr>
          <w:trHeight w:val="205"/>
        </w:trPr>
        <w:tc>
          <w:tcPr>
            <w:tcW w:w="74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7,702,688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617,262</w:t>
            </w:r>
          </w:p>
        </w:tc>
        <w:tc>
          <w:tcPr>
            <w:tcW w:w="100" w:type="dxa"/>
            <w:vAlign w:val="bottom"/>
            <w:shd w:val="clear" w:color="auto" w:fill="CCEEFF"/>
          </w:tcPr>
          <w:p>
            <w:pPr>
              <w:spacing w:after="0"/>
              <w:rPr>
                <w:sz w:val="19"/>
                <w:szCs w:val="19"/>
                <w:color w:val="auto"/>
              </w:rPr>
            </w:pPr>
          </w:p>
        </w:tc>
      </w:tr>
      <w:tr>
        <w:trPr>
          <w:trHeight w:val="205"/>
        </w:trPr>
        <w:tc>
          <w:tcPr>
            <w:tcW w:w="74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91,168</w:t>
            </w:r>
          </w:p>
        </w:tc>
        <w:tc>
          <w:tcPr>
            <w:tcW w:w="1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95,425</w:t>
            </w:r>
          </w:p>
        </w:tc>
      </w:tr>
      <w:tr>
        <w:trPr>
          <w:trHeight w:val="212"/>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Patents, net</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273,299</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273,601</w:t>
            </w:r>
          </w:p>
        </w:tc>
        <w:tc>
          <w:tcPr>
            <w:tcW w:w="100" w:type="dxa"/>
            <w:vAlign w:val="bottom"/>
            <w:shd w:val="clear" w:color="auto" w:fill="CCEEFF"/>
          </w:tcPr>
          <w:p>
            <w:pPr>
              <w:spacing w:after="0"/>
              <w:rPr>
                <w:sz w:val="18"/>
                <w:szCs w:val="18"/>
                <w:color w:val="auto"/>
              </w:rPr>
            </w:pPr>
          </w:p>
        </w:tc>
      </w:tr>
      <w:tr>
        <w:trPr>
          <w:trHeight w:val="225"/>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 deposit</w:t>
            </w:r>
          </w:p>
        </w:tc>
        <w:tc>
          <w:tcPr>
            <w:tcW w:w="180" w:type="dxa"/>
            <w:vAlign w:val="bottom"/>
          </w:tcPr>
          <w:p>
            <w:pPr>
              <w:spacing w:after="0"/>
              <w:rPr>
                <w:sz w:val="19"/>
                <w:szCs w:val="19"/>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9"/>
                <w:szCs w:val="19"/>
                <w:color w:val="auto"/>
              </w:rPr>
            </w:pPr>
          </w:p>
        </w:tc>
      </w:tr>
      <w:tr>
        <w:trPr>
          <w:trHeight w:val="205"/>
        </w:trPr>
        <w:tc>
          <w:tcPr>
            <w:tcW w:w="7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5"/>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assets</w:t>
            </w:r>
          </w:p>
        </w:tc>
        <w:tc>
          <w:tcPr>
            <w:tcW w:w="180" w:type="dxa"/>
            <w:vAlign w:val="bottom"/>
          </w:tcPr>
          <w:p>
            <w:pPr>
              <w:spacing w:after="0"/>
              <w:rPr>
                <w:sz w:val="19"/>
                <w:szCs w:val="19"/>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365,967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370,526</w:t>
            </w:r>
          </w:p>
        </w:tc>
        <w:tc>
          <w:tcPr>
            <w:tcW w:w="100" w:type="dxa"/>
            <w:vAlign w:val="bottom"/>
          </w:tcPr>
          <w:p>
            <w:pPr>
              <w:spacing w:after="0"/>
              <w:rPr>
                <w:sz w:val="19"/>
                <w:szCs w:val="19"/>
                <w:color w:val="auto"/>
              </w:rPr>
            </w:pPr>
          </w:p>
        </w:tc>
      </w:tr>
      <w:tr>
        <w:trPr>
          <w:trHeight w:val="205"/>
        </w:trPr>
        <w:tc>
          <w:tcPr>
            <w:tcW w:w="7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78"/>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8,068,655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987,788</w:t>
            </w:r>
          </w:p>
        </w:tc>
        <w:tc>
          <w:tcPr>
            <w:tcW w:w="100" w:type="dxa"/>
            <w:vAlign w:val="bottom"/>
          </w:tcPr>
          <w:p>
            <w:pPr>
              <w:spacing w:after="0"/>
              <w:rPr>
                <w:sz w:val="24"/>
                <w:szCs w:val="24"/>
                <w:color w:val="auto"/>
              </w:rPr>
            </w:pPr>
          </w:p>
        </w:tc>
      </w:tr>
      <w:tr>
        <w:trPr>
          <w:trHeight w:val="192"/>
        </w:trPr>
        <w:tc>
          <w:tcPr>
            <w:tcW w:w="74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2"/>
        </w:trPr>
        <w:tc>
          <w:tcPr>
            <w:tcW w:w="742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1,802,427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1,868,689</w:t>
            </w:r>
          </w:p>
        </w:tc>
        <w:tc>
          <w:tcPr>
            <w:tcW w:w="100" w:type="dxa"/>
            <w:vAlign w:val="bottom"/>
            <w:shd w:val="clear" w:color="auto" w:fill="CCEEFF"/>
          </w:tcPr>
          <w:p>
            <w:pPr>
              <w:spacing w:after="0"/>
              <w:rPr>
                <w:sz w:val="18"/>
                <w:szCs w:val="18"/>
                <w:color w:val="auto"/>
              </w:rPr>
            </w:pPr>
          </w:p>
        </w:tc>
      </w:tr>
      <w:tr>
        <w:trPr>
          <w:trHeight w:val="212"/>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8"/>
                <w:szCs w:val="18"/>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213,024</w:t>
            </w:r>
          </w:p>
        </w:tc>
        <w:tc>
          <w:tcPr>
            <w:tcW w:w="1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79,556</w:t>
            </w:r>
          </w:p>
        </w:tc>
      </w:tr>
      <w:tr>
        <w:trPr>
          <w:trHeight w:val="212"/>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card payable</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3,795</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00" w:type="dxa"/>
            <w:vAlign w:val="bottom"/>
            <w:shd w:val="clear" w:color="auto" w:fill="CCEEFF"/>
          </w:tcPr>
          <w:p>
            <w:pPr>
              <w:spacing w:after="0"/>
              <w:rPr>
                <w:sz w:val="18"/>
                <w:szCs w:val="18"/>
                <w:color w:val="auto"/>
              </w:rPr>
            </w:pPr>
          </w:p>
        </w:tc>
      </w:tr>
      <w:tr>
        <w:trPr>
          <w:trHeight w:val="225"/>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note payable</w:t>
            </w:r>
          </w:p>
        </w:tc>
        <w:tc>
          <w:tcPr>
            <w:tcW w:w="180" w:type="dxa"/>
            <w:vAlign w:val="bottom"/>
          </w:tcPr>
          <w:p>
            <w:pPr>
              <w:spacing w:after="0"/>
              <w:rPr>
                <w:sz w:val="19"/>
                <w:szCs w:val="19"/>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8,674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8,524</w:t>
            </w:r>
          </w:p>
        </w:tc>
        <w:tc>
          <w:tcPr>
            <w:tcW w:w="100" w:type="dxa"/>
            <w:vAlign w:val="bottom"/>
          </w:tcPr>
          <w:p>
            <w:pPr>
              <w:spacing w:after="0"/>
              <w:rPr>
                <w:sz w:val="19"/>
                <w:szCs w:val="19"/>
                <w:color w:val="auto"/>
              </w:rPr>
            </w:pPr>
          </w:p>
        </w:tc>
      </w:tr>
      <w:tr>
        <w:trPr>
          <w:trHeight w:val="205"/>
        </w:trPr>
        <w:tc>
          <w:tcPr>
            <w:tcW w:w="7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2,027,920</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1,960,405</w:t>
            </w:r>
          </w:p>
        </w:tc>
        <w:tc>
          <w:tcPr>
            <w:tcW w:w="100" w:type="dxa"/>
            <w:vAlign w:val="bottom"/>
          </w:tcPr>
          <w:p>
            <w:pPr>
              <w:spacing w:after="0"/>
              <w:rPr>
                <w:sz w:val="18"/>
                <w:szCs w:val="18"/>
                <w:color w:val="auto"/>
              </w:rPr>
            </w:pPr>
          </w:p>
        </w:tc>
      </w:tr>
      <w:tr>
        <w:trPr>
          <w:trHeight w:val="212"/>
        </w:trPr>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payable, net of current portion</w:t>
            </w:r>
          </w:p>
        </w:tc>
        <w:tc>
          <w:tcPr>
            <w:tcW w:w="1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8,333</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10,558</w:t>
            </w:r>
          </w:p>
        </w:tc>
      </w:tr>
      <w:tr>
        <w:trPr>
          <w:trHeight w:val="205"/>
        </w:trPr>
        <w:tc>
          <w:tcPr>
            <w:tcW w:w="74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2,036,253</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1,970,963</w:t>
            </w:r>
          </w:p>
        </w:tc>
        <w:tc>
          <w:tcPr>
            <w:tcW w:w="100" w:type="dxa"/>
            <w:vAlign w:val="bottom"/>
            <w:shd w:val="clear" w:color="auto" w:fill="CCEEFF"/>
          </w:tcPr>
          <w:p>
            <w:pPr>
              <w:spacing w:after="0"/>
              <w:rPr>
                <w:sz w:val="18"/>
                <w:szCs w:val="18"/>
                <w:color w:val="auto"/>
              </w:rPr>
            </w:pPr>
          </w:p>
        </w:tc>
      </w:tr>
      <w:tr>
        <w:trPr>
          <w:trHeight w:val="212"/>
        </w:trPr>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11)</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74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Common stock, $0.0002 par value, 200,000,000 shares authorized, 29,835,038 shares and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29,120,905 issued and outstanding at March 31, 2025, and December 31, 2024, respectively</w:t>
            </w:r>
          </w:p>
        </w:tc>
        <w:tc>
          <w:tcPr>
            <w:tcW w:w="180" w:type="dxa"/>
            <w:vAlign w:val="bottom"/>
          </w:tcPr>
          <w:p>
            <w:pPr>
              <w:spacing w:after="0"/>
              <w:rPr>
                <w:sz w:val="20"/>
                <w:szCs w:val="20"/>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6,465</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100" w:type="dxa"/>
            <w:vAlign w:val="bottom"/>
          </w:tcPr>
          <w:p>
            <w:pPr>
              <w:spacing w:after="0"/>
              <w:rPr>
                <w:sz w:val="20"/>
                <w:szCs w:val="20"/>
                <w:color w:val="auto"/>
              </w:rPr>
            </w:pPr>
          </w:p>
        </w:tc>
      </w:tr>
      <w:tr>
        <w:trPr>
          <w:trHeight w:val="212"/>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2,500,000 at cost</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r>
      <w:tr>
        <w:trPr>
          <w:trHeight w:val="212"/>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 net of offering costs</w:t>
            </w:r>
          </w:p>
        </w:tc>
        <w:tc>
          <w:tcPr>
            <w:tcW w:w="180" w:type="dxa"/>
            <w:vAlign w:val="bottom"/>
          </w:tcPr>
          <w:p>
            <w:pPr>
              <w:spacing w:after="0"/>
              <w:rPr>
                <w:sz w:val="18"/>
                <w:szCs w:val="18"/>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23,937,941</w:t>
            </w:r>
          </w:p>
        </w:tc>
        <w:tc>
          <w:tcPr>
            <w:tcW w:w="1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14,984,561</w:t>
            </w:r>
          </w:p>
        </w:tc>
      </w:tr>
      <w:tr>
        <w:trPr>
          <w:trHeight w:val="212"/>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receivable</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(12,784)</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(53,003)</w:t>
            </w:r>
          </w:p>
        </w:tc>
      </w:tr>
      <w:tr>
        <w:trPr>
          <w:trHeight w:val="225"/>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(17,898,720)</w:t>
            </w:r>
          </w:p>
        </w:tc>
        <w:tc>
          <w:tcPr>
            <w:tcW w:w="1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(15,920,555)</w:t>
            </w:r>
          </w:p>
        </w:tc>
      </w:tr>
      <w:tr>
        <w:trPr>
          <w:trHeight w:val="205"/>
        </w:trPr>
        <w:tc>
          <w:tcPr>
            <w:tcW w:w="7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5"/>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80" w:type="dxa"/>
            <w:vAlign w:val="bottom"/>
          </w:tcPr>
          <w:p>
            <w:pPr>
              <w:spacing w:after="0"/>
              <w:rPr>
                <w:sz w:val="19"/>
                <w:szCs w:val="19"/>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6,032,402</w:t>
            </w:r>
          </w:p>
        </w:tc>
        <w:tc>
          <w:tcPr>
            <w:tcW w:w="1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(983,175)</w:t>
            </w:r>
          </w:p>
        </w:tc>
      </w:tr>
      <w:tr>
        <w:trPr>
          <w:trHeight w:val="205"/>
        </w:trPr>
        <w:tc>
          <w:tcPr>
            <w:tcW w:w="7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9"/>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8,068,655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987,788</w:t>
            </w:r>
          </w:p>
        </w:tc>
        <w:tc>
          <w:tcPr>
            <w:tcW w:w="100" w:type="dxa"/>
            <w:vAlign w:val="bottom"/>
          </w:tcPr>
          <w:p>
            <w:pPr>
              <w:spacing w:after="0"/>
              <w:rPr>
                <w:sz w:val="20"/>
                <w:szCs w:val="20"/>
                <w:color w:val="auto"/>
              </w:rPr>
            </w:pPr>
          </w:p>
        </w:tc>
      </w:tr>
      <w:tr>
        <w:trPr>
          <w:trHeight w:val="20"/>
        </w:trPr>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See accompanying condensed notes to unaudited financial statements.</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3"/>
        </w:trPr>
        <w:tc>
          <w:tcPr>
            <w:tcW w:w="9320" w:type="dxa"/>
            <w:vAlign w:val="bottom"/>
            <w:gridSpan w:val="4"/>
          </w:tcPr>
          <w:p>
            <w:pPr>
              <w:jc w:val="center"/>
              <w:ind w:left="1832"/>
              <w:spacing w:after="0"/>
              <w:rPr>
                <w:sz w:val="20"/>
                <w:szCs w:val="20"/>
                <w:color w:val="auto"/>
              </w:rPr>
            </w:pPr>
            <w:r>
              <w:rPr>
                <w:rFonts w:ascii="Times New Roman" w:cs="Times New Roman" w:eastAsia="Times New Roman" w:hAnsi="Times New Roman"/>
                <w:sz w:val="18"/>
                <w:szCs w:val="18"/>
                <w:b w:val="1"/>
                <w:bCs w:val="1"/>
                <w:color w:val="auto"/>
                <w:w w:val="97"/>
              </w:rPr>
              <w:t>ARRIVE AI INC. (FORMERLY ARRIVE TECHNOLOGY INC.)</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7420" w:type="dxa"/>
            <w:vAlign w:val="bottom"/>
          </w:tcPr>
          <w:p>
            <w:pPr>
              <w:jc w:val="center"/>
              <w:ind w:left="3752"/>
              <w:spacing w:after="0"/>
              <w:rPr>
                <w:sz w:val="20"/>
                <w:szCs w:val="20"/>
                <w:color w:val="auto"/>
              </w:rPr>
            </w:pPr>
            <w:r>
              <w:rPr>
                <w:rFonts w:ascii="Times New Roman" w:cs="Times New Roman" w:eastAsia="Times New Roman" w:hAnsi="Times New Roman"/>
                <w:sz w:val="18"/>
                <w:szCs w:val="18"/>
                <w:color w:val="auto"/>
                <w:w w:val="95"/>
              </w:rPr>
              <w:t>STATEMENTS OF OPERATIONS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7420" w:type="dxa"/>
            <w:vAlign w:val="bottom"/>
          </w:tcPr>
          <w:p>
            <w:pPr>
              <w:jc w:val="center"/>
              <w:ind w:left="3752"/>
              <w:spacing w:after="0"/>
              <w:rPr>
                <w:sz w:val="20"/>
                <w:szCs w:val="20"/>
                <w:color w:val="auto"/>
              </w:rPr>
            </w:pPr>
            <w:r>
              <w:rPr>
                <w:rFonts w:ascii="Times New Roman" w:cs="Times New Roman" w:eastAsia="Times New Roman" w:hAnsi="Times New Roman"/>
                <w:sz w:val="18"/>
                <w:szCs w:val="18"/>
                <w:color w:val="auto"/>
                <w:w w:val="98"/>
              </w:rPr>
              <w:t>(Unaudited)</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7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Three Months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74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Ended March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8"/>
        </w:trPr>
        <w:tc>
          <w:tcPr>
            <w:tcW w:w="74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5"/>
        </w:trPr>
        <w:tc>
          <w:tcPr>
            <w:tcW w:w="7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7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wages - office</w:t>
            </w:r>
          </w:p>
        </w:tc>
        <w:tc>
          <w:tcPr>
            <w:tcW w:w="3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1,583,937</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498,401</w:t>
            </w:r>
          </w:p>
        </w:tc>
      </w:tr>
      <w:tr>
        <w:trPr>
          <w:trHeight w:val="212"/>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200,201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174,916</w:t>
            </w:r>
          </w:p>
        </w:tc>
      </w:tr>
      <w:tr>
        <w:trPr>
          <w:trHeight w:val="212"/>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91,263</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88,401</w:t>
            </w:r>
          </w:p>
        </w:tc>
      </w:tr>
      <w:tr>
        <w:trPr>
          <w:trHeight w:val="212"/>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Licensing fee</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r>
      <w:tr>
        <w:trPr>
          <w:trHeight w:val="212"/>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 supplies and software</w:t>
            </w:r>
          </w:p>
        </w:tc>
        <w:tc>
          <w:tcPr>
            <w:tcW w:w="3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22,154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26,741</w:t>
            </w:r>
          </w:p>
        </w:tc>
      </w:tr>
      <w:tr>
        <w:trPr>
          <w:trHeight w:val="212"/>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20,137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19,027</w:t>
            </w:r>
          </w:p>
        </w:tc>
      </w:tr>
      <w:tr>
        <w:trPr>
          <w:trHeight w:val="212"/>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Rent</w:t>
            </w:r>
          </w:p>
        </w:tc>
        <w:tc>
          <w:tcPr>
            <w:tcW w:w="3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17,550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13,150</w:t>
            </w:r>
          </w:p>
        </w:tc>
      </w:tr>
      <w:tr>
        <w:trPr>
          <w:trHeight w:val="212"/>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and licenses</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9,651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23,193</w:t>
            </w:r>
          </w:p>
        </w:tc>
      </w:tr>
      <w:tr>
        <w:trPr>
          <w:trHeight w:val="212"/>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7,089</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7,096</w:t>
            </w:r>
          </w:p>
        </w:tc>
      </w:tr>
      <w:tr>
        <w:trPr>
          <w:trHeight w:val="212"/>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Travel</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4,857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8,572</w:t>
            </w:r>
          </w:p>
        </w:tc>
      </w:tr>
      <w:tr>
        <w:trPr>
          <w:trHeight w:val="212"/>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Shipping and freight</w:t>
            </w:r>
          </w:p>
        </w:tc>
        <w:tc>
          <w:tcPr>
            <w:tcW w:w="3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2,386</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5,253</w:t>
            </w:r>
          </w:p>
        </w:tc>
      </w:tr>
      <w:tr>
        <w:trPr>
          <w:trHeight w:val="212"/>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Meals and entertainment</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10,327</w:t>
            </w:r>
          </w:p>
        </w:tc>
      </w:tr>
      <w:tr>
        <w:trPr>
          <w:trHeight w:val="212"/>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Utilities</w:t>
            </w:r>
          </w:p>
        </w:tc>
        <w:tc>
          <w:tcPr>
            <w:tcW w:w="3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w:t>
            </w:r>
          </w:p>
        </w:tc>
      </w:tr>
      <w:tr>
        <w:trPr>
          <w:trHeight w:val="212"/>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7,558</w:t>
            </w:r>
          </w:p>
        </w:tc>
      </w:tr>
      <w:tr>
        <w:trPr>
          <w:trHeight w:val="212"/>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3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r>
      <w:tr>
        <w:trPr>
          <w:trHeight w:val="212"/>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r>
      <w:tr>
        <w:trPr>
          <w:trHeight w:val="212"/>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3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1,476</w:t>
            </w:r>
          </w:p>
        </w:tc>
      </w:tr>
      <w:tr>
        <w:trPr>
          <w:trHeight w:val="225"/>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Repairs and maintenance</w:t>
            </w: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05"/>
        </w:trPr>
        <w:tc>
          <w:tcPr>
            <w:tcW w:w="74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1,994,227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916,249</w:t>
            </w:r>
          </w:p>
        </w:tc>
      </w:tr>
      <w:tr>
        <w:trPr>
          <w:trHeight w:val="212"/>
        </w:trPr>
        <w:tc>
          <w:tcPr>
            <w:tcW w:w="7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16,915</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Miscellaneous expense</w:t>
            </w: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(504)</w:t>
            </w:r>
          </w:p>
        </w:tc>
      </w:tr>
      <w:tr>
        <w:trPr>
          <w:trHeight w:val="205"/>
        </w:trPr>
        <w:tc>
          <w:tcPr>
            <w:tcW w:w="74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 (expenses)</w:t>
            </w: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16,062</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(504)</w:t>
            </w:r>
          </w:p>
        </w:tc>
      </w:tr>
      <w:tr>
        <w:trPr>
          <w:trHeight w:val="205"/>
        </w:trPr>
        <w:tc>
          <w:tcPr>
            <w:tcW w:w="74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TAXES</w:t>
            </w: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(1,978,165)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(916,753)</w:t>
            </w:r>
          </w:p>
        </w:tc>
      </w:tr>
      <w:tr>
        <w:trPr>
          <w:trHeight w:val="205"/>
        </w:trPr>
        <w:tc>
          <w:tcPr>
            <w:tcW w:w="74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74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(1,978,165)</w:t>
            </w:r>
          </w:p>
        </w:tc>
        <w:tc>
          <w:tcPr>
            <w:tcW w:w="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(916,753)</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2"/>
        </w:trPr>
        <w:tc>
          <w:tcPr>
            <w:tcW w:w="7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(0.07)</w:t>
            </w:r>
          </w:p>
        </w:tc>
        <w:tc>
          <w:tcPr>
            <w:tcW w:w="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r>
      <w:tr>
        <w:trPr>
          <w:trHeight w:val="212"/>
        </w:trPr>
        <w:tc>
          <w:tcPr>
            <w:tcW w:w="7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29,721,248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28,919,986</w:t>
            </w: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See accompanying condensed notes to unaudited financial statements.</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8"/>
          <w:szCs w:val="18"/>
          <w:b w:val="1"/>
          <w:bCs w:val="1"/>
          <w:color w:val="auto"/>
        </w:rPr>
        <w:t>BALANCE, JANUARY 1, 2024</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Issuance of common stock</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Stock-based compensation</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w:t>
      </w:r>
    </w:p>
    <w:p>
      <w:pPr>
        <w:spacing w:after="0" w:line="242"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8"/>
          <w:szCs w:val="18"/>
          <w:b w:val="1"/>
          <w:bCs w:val="1"/>
          <w:color w:val="auto"/>
        </w:rPr>
        <w:t>BALANCE, MARCH 31, 2024</w:t>
      </w:r>
    </w:p>
    <w:p>
      <w:pPr>
        <w:spacing w:after="0" w:line="20" w:lineRule="exact"/>
        <w:rPr>
          <w:sz w:val="20"/>
          <w:szCs w:val="20"/>
          <w:color w:val="auto"/>
        </w:rPr>
      </w:pPr>
      <w:r>
        <w:rPr>
          <w:sz w:val="20"/>
          <w:szCs w:val="20"/>
          <w:color w:val="auto"/>
        </w:rPr>
        <w:br w:type="column"/>
      </w:r>
    </w:p>
    <w:p>
      <w:pPr>
        <w:jc w:val="center"/>
        <w:ind w:right="2440"/>
        <w:spacing w:after="0"/>
        <w:rPr>
          <w:sz w:val="20"/>
          <w:szCs w:val="20"/>
          <w:color w:val="auto"/>
        </w:rPr>
      </w:pPr>
      <w:r>
        <w:rPr>
          <w:rFonts w:ascii="Times New Roman" w:cs="Times New Roman" w:eastAsia="Times New Roman" w:hAnsi="Times New Roman"/>
          <w:sz w:val="18"/>
          <w:szCs w:val="18"/>
          <w:b w:val="1"/>
          <w:bCs w:val="1"/>
          <w:color w:val="auto"/>
        </w:rPr>
        <w:t>ARRIVE AI INC. (FORMERLY ARRIVE TECHNOLOGY INC.)</w:t>
      </w:r>
    </w:p>
    <w:p>
      <w:pPr>
        <w:spacing w:after="0" w:line="219" w:lineRule="exact"/>
        <w:rPr>
          <w:sz w:val="20"/>
          <w:szCs w:val="20"/>
          <w:color w:val="auto"/>
        </w:rPr>
      </w:pPr>
    </w:p>
    <w:p>
      <w:pPr>
        <w:jc w:val="center"/>
        <w:ind w:right="2440"/>
        <w:spacing w:after="0"/>
        <w:rPr>
          <w:sz w:val="20"/>
          <w:szCs w:val="20"/>
          <w:color w:val="auto"/>
        </w:rPr>
      </w:pPr>
      <w:r>
        <w:rPr>
          <w:rFonts w:ascii="Times New Roman" w:cs="Times New Roman" w:eastAsia="Times New Roman" w:hAnsi="Times New Roman"/>
          <w:sz w:val="18"/>
          <w:szCs w:val="18"/>
          <w:color w:val="auto"/>
        </w:rPr>
        <w:t>STATEMENTS OF CHANGES IN STOCKHOLDERS’ EQUITY (DEFICIT)</w:t>
      </w:r>
    </w:p>
    <w:p>
      <w:pPr>
        <w:spacing w:after="0" w:line="21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For the Three Months Ended March 31, 2025 and 2024 (Unaudited)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Paid-In</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2"/>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Capital,</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Net of</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Subscription</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25"/>
        </w:trPr>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Pr>
          <w:p>
            <w:pPr>
              <w:spacing w:after="0"/>
              <w:rPr>
                <w:sz w:val="19"/>
                <w:szCs w:val="19"/>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0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9"/>
                <w:szCs w:val="19"/>
                <w:color w:val="auto"/>
              </w:rPr>
            </w:pPr>
          </w:p>
        </w:tc>
        <w:tc>
          <w:tcPr>
            <w:tcW w:w="9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Equity</w:t>
            </w:r>
          </w:p>
        </w:tc>
      </w:tr>
      <w:tr>
        <w:trPr>
          <w:trHeight w:val="232"/>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60" w:type="dxa"/>
            <w:vAlign w:val="bottom"/>
          </w:tcPr>
          <w:p>
            <w:pPr>
              <w:spacing w:after="0"/>
              <w:rPr>
                <w:sz w:val="20"/>
                <w:szCs w:val="20"/>
                <w:color w:val="auto"/>
              </w:rPr>
            </w:pPr>
          </w:p>
        </w:tc>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 xml:space="preserve">Stock </w:t>
            </w: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Costs ($)</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Deficit ($)</w:t>
            </w:r>
          </w:p>
        </w:tc>
        <w:tc>
          <w:tcPr>
            <w:tcW w:w="260" w:type="dxa"/>
            <w:vAlign w:val="bottom"/>
          </w:tcPr>
          <w:p>
            <w:pPr>
              <w:spacing w:after="0"/>
              <w:rPr>
                <w:sz w:val="20"/>
                <w:szCs w:val="20"/>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(Deficit) ($)</w:t>
            </w:r>
          </w:p>
        </w:tc>
        <w:tc>
          <w:tcPr>
            <w:tcW w:w="60" w:type="dxa"/>
            <w:vAlign w:val="bottom"/>
            <w:gridSpan w:val="2"/>
          </w:tcPr>
          <w:p>
            <w:pPr>
              <w:spacing w:after="0"/>
              <w:rPr>
                <w:sz w:val="20"/>
                <w:szCs w:val="20"/>
                <w:color w:val="auto"/>
              </w:rPr>
            </w:pPr>
          </w:p>
        </w:tc>
      </w:tr>
      <w:tr>
        <w:trPr>
          <w:trHeight w:val="630"/>
        </w:trPr>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28,844,643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6,269</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2,500,000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$10,924,624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(25,505)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(11,382,654)</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3"/>
          </w:tcPr>
          <w:p>
            <w:pPr>
              <w:jc w:val="center"/>
              <w:ind w:left="132"/>
              <w:spacing w:after="0"/>
              <w:rPr>
                <w:sz w:val="20"/>
                <w:szCs w:val="20"/>
                <w:color w:val="auto"/>
              </w:rPr>
            </w:pPr>
            <w:r>
              <w:rPr>
                <w:rFonts w:ascii="Times New Roman" w:cs="Times New Roman" w:eastAsia="Times New Roman" w:hAnsi="Times New Roman"/>
                <w:sz w:val="18"/>
                <w:szCs w:val="18"/>
                <w:color w:val="auto"/>
                <w:w w:val="96"/>
              </w:rPr>
              <w:t>(477,766)</w:t>
            </w:r>
          </w:p>
        </w:tc>
      </w:tr>
      <w:tr>
        <w:trPr>
          <w:trHeight w:val="424"/>
        </w:trPr>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75,343</w:t>
            </w:r>
          </w:p>
        </w:tc>
        <w:tc>
          <w:tcPr>
            <w:tcW w:w="10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824,603</w:t>
            </w:r>
          </w:p>
        </w:tc>
        <w:tc>
          <w:tcPr>
            <w:tcW w:w="2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(50,260)</w:t>
            </w:r>
          </w:p>
        </w:tc>
        <w:tc>
          <w:tcPr>
            <w:tcW w:w="12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6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5"/>
              </w:rPr>
              <w:t>774,358</w:t>
            </w:r>
          </w:p>
        </w:tc>
        <w:tc>
          <w:tcPr>
            <w:tcW w:w="40" w:type="dxa"/>
            <w:vAlign w:val="bottom"/>
          </w:tcPr>
          <w:p>
            <w:pPr>
              <w:spacing w:after="0"/>
              <w:rPr>
                <w:sz w:val="24"/>
                <w:szCs w:val="24"/>
                <w:color w:val="auto"/>
              </w:rPr>
            </w:pPr>
          </w:p>
        </w:tc>
      </w:tr>
      <w:tr>
        <w:trPr>
          <w:trHeight w:val="424"/>
        </w:trPr>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246,612</w:t>
            </w:r>
          </w:p>
        </w:tc>
        <w:tc>
          <w:tcPr>
            <w:tcW w:w="22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6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5"/>
              </w:rPr>
              <w:t>246,612</w:t>
            </w:r>
          </w:p>
        </w:tc>
        <w:tc>
          <w:tcPr>
            <w:tcW w:w="40" w:type="dxa"/>
            <w:vAlign w:val="bottom"/>
          </w:tcPr>
          <w:p>
            <w:pPr>
              <w:spacing w:after="0"/>
              <w:rPr>
                <w:sz w:val="24"/>
                <w:szCs w:val="24"/>
                <w:color w:val="auto"/>
              </w:rPr>
            </w:pPr>
          </w:p>
        </w:tc>
      </w:tr>
      <w:tr>
        <w:trPr>
          <w:trHeight w:val="43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(916,753)</w:t>
            </w:r>
          </w:p>
        </w:tc>
        <w:tc>
          <w:tcPr>
            <w:tcW w:w="180" w:type="dxa"/>
            <w:vAlign w:val="bottom"/>
          </w:tcPr>
          <w:p>
            <w:pPr>
              <w:spacing w:after="0"/>
              <w:rPr>
                <w:sz w:val="24"/>
                <w:szCs w:val="24"/>
                <w:color w:val="auto"/>
              </w:rPr>
            </w:pPr>
          </w:p>
        </w:tc>
        <w:tc>
          <w:tcPr>
            <w:tcW w:w="900" w:type="dxa"/>
            <w:vAlign w:val="bottom"/>
            <w:gridSpan w:val="3"/>
          </w:tcPr>
          <w:p>
            <w:pPr>
              <w:jc w:val="center"/>
              <w:ind w:left="132"/>
              <w:spacing w:after="0"/>
              <w:rPr>
                <w:sz w:val="20"/>
                <w:szCs w:val="20"/>
                <w:color w:val="auto"/>
              </w:rPr>
            </w:pPr>
            <w:r>
              <w:rPr>
                <w:rFonts w:ascii="Times New Roman" w:cs="Times New Roman" w:eastAsia="Times New Roman" w:hAnsi="Times New Roman"/>
                <w:sz w:val="18"/>
                <w:szCs w:val="18"/>
                <w:color w:val="auto"/>
                <w:w w:val="96"/>
              </w:rPr>
              <w:t>(916,753)</w:t>
            </w:r>
          </w:p>
        </w:tc>
      </w:tr>
      <w:tr>
        <w:trPr>
          <w:trHeight w:val="20"/>
        </w:trPr>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56"/>
        </w:trPr>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28,919,986</w:t>
            </w:r>
          </w:p>
        </w:tc>
        <w:tc>
          <w:tcPr>
            <w:tcW w:w="2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6,284</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2,500,000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$ 11,995,839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(75,765)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(12,299,407)</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3"/>
          </w:tcPr>
          <w:p>
            <w:pPr>
              <w:jc w:val="center"/>
              <w:ind w:left="132"/>
              <w:spacing w:after="0"/>
              <w:rPr>
                <w:sz w:val="20"/>
                <w:szCs w:val="20"/>
                <w:color w:val="auto"/>
              </w:rPr>
            </w:pPr>
            <w:r>
              <w:rPr>
                <w:rFonts w:ascii="Times New Roman" w:cs="Times New Roman" w:eastAsia="Times New Roman" w:hAnsi="Times New Roman"/>
                <w:sz w:val="18"/>
                <w:szCs w:val="18"/>
                <w:color w:val="auto"/>
                <w:w w:val="96"/>
              </w:rPr>
              <w:t>(373,549)</w:t>
            </w:r>
          </w:p>
        </w:tc>
      </w:tr>
      <w:tr>
        <w:trPr>
          <w:trHeight w:val="20"/>
        </w:trPr>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-1544955</wp:posOffset>
            </wp:positionH>
            <wp:positionV relativeFrom="paragraph">
              <wp:posOffset>-1539240</wp:posOffset>
            </wp:positionV>
            <wp:extent cx="7134860" cy="269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-1544955</wp:posOffset>
            </wp:positionH>
            <wp:positionV relativeFrom="paragraph">
              <wp:posOffset>-1135380</wp:posOffset>
            </wp:positionV>
            <wp:extent cx="7134860" cy="134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-1544955</wp:posOffset>
            </wp:positionH>
            <wp:positionV relativeFrom="paragraph">
              <wp:posOffset>-866140</wp:posOffset>
            </wp:positionV>
            <wp:extent cx="7134860" cy="134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-1544955</wp:posOffset>
            </wp:positionH>
            <wp:positionV relativeFrom="paragraph">
              <wp:posOffset>-596900</wp:posOffset>
            </wp:positionV>
            <wp:extent cx="7134860" cy="142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-1544955</wp:posOffset>
            </wp:positionH>
            <wp:positionV relativeFrom="paragraph">
              <wp:posOffset>-310515</wp:posOffset>
            </wp:positionV>
            <wp:extent cx="7134860" cy="294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29464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2080" w:space="360"/>
            <w:col w:w="8800"/>
          </w:cols>
          <w:pgMar w:left="320" w:top="702"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1,</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2"/>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29,120,905</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6,322</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2,500,000</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$14,984,561</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(53,003)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(15,920,555)</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(983,175)</w:t>
            </w:r>
          </w:p>
        </w:tc>
      </w:tr>
      <w:tr>
        <w:trPr>
          <w:trHeight w:val="212"/>
        </w:trPr>
        <w:tc>
          <w:tcPr>
            <w:tcW w:w="2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244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warrants for cash, net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96,346</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677,390</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40,219</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717,628</w:t>
            </w:r>
          </w:p>
        </w:tc>
      </w:tr>
      <w:tr>
        <w:trPr>
          <w:trHeight w:val="212"/>
        </w:trPr>
        <w:tc>
          <w:tcPr>
            <w:tcW w:w="2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244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deferred offering costs</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532,913</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6,927,762</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6,927,869</w:t>
            </w:r>
          </w:p>
        </w:tc>
        <w:tc>
          <w:tcPr>
            <w:tcW w:w="100" w:type="dxa"/>
            <w:vAlign w:val="bottom"/>
            <w:shd w:val="clear" w:color="auto" w:fill="CCEEFF"/>
          </w:tcPr>
          <w:p>
            <w:pPr>
              <w:spacing w:after="0"/>
              <w:rPr>
                <w:sz w:val="20"/>
                <w:szCs w:val="20"/>
                <w:color w:val="auto"/>
              </w:rPr>
            </w:pPr>
          </w:p>
        </w:tc>
      </w:tr>
      <w:tr>
        <w:trPr>
          <w:trHeight w:val="212"/>
        </w:trPr>
        <w:tc>
          <w:tcPr>
            <w:tcW w:w="2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84,874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1,348,228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1,348,245</w:t>
            </w:r>
          </w:p>
        </w:tc>
        <w:tc>
          <w:tcPr>
            <w:tcW w:w="100" w:type="dxa"/>
            <w:vAlign w:val="bottom"/>
            <w:shd w:val="clear" w:color="auto" w:fill="CCEEFF"/>
          </w:tcPr>
          <w:p>
            <w:pPr>
              <w:spacing w:after="0"/>
              <w:rPr>
                <w:sz w:val="18"/>
                <w:szCs w:val="18"/>
                <w:color w:val="auto"/>
              </w:rPr>
            </w:pPr>
          </w:p>
        </w:tc>
      </w:tr>
      <w:tr>
        <w:trPr>
          <w:trHeight w:val="212"/>
        </w:trPr>
        <w:tc>
          <w:tcPr>
            <w:tcW w:w="2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(1,978,165)</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(1,978,165)</w:t>
            </w:r>
          </w:p>
        </w:tc>
      </w:tr>
      <w:tr>
        <w:trPr>
          <w:trHeight w:val="205"/>
        </w:trPr>
        <w:tc>
          <w:tcPr>
            <w:tcW w:w="24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24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BALANCE, MARCH 31,</w:t>
            </w: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9"/>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29,835,038</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6,465</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2,500,000</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23,937,941</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(17,898,720)</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6,032,402</w:t>
            </w:r>
          </w:p>
        </w:tc>
        <w:tc>
          <w:tcPr>
            <w:tcW w:w="100" w:type="dxa"/>
            <w:vAlign w:val="bottom"/>
            <w:shd w:val="clear" w:color="auto" w:fill="CCEEFF"/>
          </w:tcPr>
          <w:p>
            <w:pPr>
              <w:spacing w:after="0"/>
              <w:rPr>
                <w:sz w:val="22"/>
                <w:szCs w:val="22"/>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See accompanying condensed notes to unaudited financial statements.</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3"/>
        </w:trPr>
        <w:tc>
          <w:tcPr>
            <w:tcW w:w="9320" w:type="dxa"/>
            <w:vAlign w:val="bottom"/>
            <w:gridSpan w:val="4"/>
          </w:tcPr>
          <w:p>
            <w:pPr>
              <w:jc w:val="center"/>
              <w:ind w:left="1832"/>
              <w:spacing w:after="0"/>
              <w:rPr>
                <w:sz w:val="20"/>
                <w:szCs w:val="20"/>
                <w:color w:val="auto"/>
              </w:rPr>
            </w:pPr>
            <w:r>
              <w:rPr>
                <w:rFonts w:ascii="Times New Roman" w:cs="Times New Roman" w:eastAsia="Times New Roman" w:hAnsi="Times New Roman"/>
                <w:sz w:val="18"/>
                <w:szCs w:val="18"/>
                <w:b w:val="1"/>
                <w:bCs w:val="1"/>
                <w:color w:val="auto"/>
                <w:w w:val="97"/>
              </w:rPr>
              <w:t>ARRIVE AI INC. (FORMERLY ARRIVE TECHNOLOGY INC.)</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4"/>
        </w:trPr>
        <w:tc>
          <w:tcPr>
            <w:tcW w:w="7420" w:type="dxa"/>
            <w:vAlign w:val="bottom"/>
          </w:tcPr>
          <w:p>
            <w:pPr>
              <w:jc w:val="center"/>
              <w:ind w:left="3752"/>
              <w:spacing w:after="0"/>
              <w:rPr>
                <w:sz w:val="20"/>
                <w:szCs w:val="20"/>
                <w:color w:val="auto"/>
              </w:rPr>
            </w:pPr>
            <w:r>
              <w:rPr>
                <w:rFonts w:ascii="Times New Roman" w:cs="Times New Roman" w:eastAsia="Times New Roman" w:hAnsi="Times New Roman"/>
                <w:sz w:val="18"/>
                <w:szCs w:val="18"/>
                <w:color w:val="auto"/>
                <w:w w:val="96"/>
              </w:rPr>
              <w:t>STATEMENTS OF CASH FLOWS</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8060" w:type="dxa"/>
            <w:vAlign w:val="bottom"/>
            <w:gridSpan w:val="2"/>
          </w:tcPr>
          <w:p>
            <w:pPr>
              <w:jc w:val="center"/>
              <w:ind w:left="3092"/>
              <w:spacing w:after="0"/>
              <w:rPr>
                <w:sz w:val="20"/>
                <w:szCs w:val="20"/>
                <w:color w:val="auto"/>
              </w:rPr>
            </w:pPr>
            <w:r>
              <w:rPr>
                <w:rFonts w:ascii="Times New Roman" w:cs="Times New Roman" w:eastAsia="Times New Roman" w:hAnsi="Times New Roman"/>
                <w:sz w:val="18"/>
                <w:szCs w:val="18"/>
                <w:color w:val="auto"/>
                <w:w w:val="98"/>
              </w:rPr>
              <w:t>For the Three Months Ended March 31, 2025 and 2024 (Unaudited)</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3"/>
        </w:trPr>
        <w:tc>
          <w:tcPr>
            <w:tcW w:w="74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4"/>
                <w:szCs w:val="24"/>
                <w:color w:val="auto"/>
              </w:rPr>
            </w:pPr>
          </w:p>
        </w:tc>
      </w:tr>
      <w:tr>
        <w:trPr>
          <w:trHeight w:val="205"/>
        </w:trPr>
        <w:tc>
          <w:tcPr>
            <w:tcW w:w="74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(1,978,165)</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(916,753)</w:t>
            </w:r>
          </w:p>
        </w:tc>
      </w:tr>
      <w:tr>
        <w:trPr>
          <w:trHeight w:val="212"/>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6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1,348,245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246,612</w:t>
            </w:r>
          </w:p>
        </w:tc>
      </w:tr>
      <w:tr>
        <w:trPr>
          <w:trHeight w:val="212"/>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7,391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7,255</w:t>
            </w:r>
          </w:p>
        </w:tc>
      </w:tr>
      <w:tr>
        <w:trPr>
          <w:trHeight w:val="212"/>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decrease in</w:t>
            </w: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Prepaid expenses</w:t>
            </w:r>
          </w:p>
        </w:tc>
        <w:tc>
          <w:tcPr>
            <w:tcW w:w="6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7,081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4,377</w:t>
            </w:r>
          </w:p>
        </w:tc>
      </w:tr>
      <w:tr>
        <w:trPr>
          <w:trHeight w:val="212"/>
        </w:trPr>
        <w:tc>
          <w:tcPr>
            <w:tcW w:w="7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current assets</w:t>
            </w:r>
          </w:p>
        </w:tc>
        <w:tc>
          <w:tcPr>
            <w:tcW w:w="6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(decrease) in</w:t>
            </w: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6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(66,262)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(3,554)</w:t>
            </w:r>
          </w:p>
        </w:tc>
      </w:tr>
      <w:tr>
        <w:trPr>
          <w:trHeight w:val="212"/>
        </w:trPr>
        <w:tc>
          <w:tcPr>
            <w:tcW w:w="7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liabilities</w:t>
            </w:r>
          </w:p>
        </w:tc>
        <w:tc>
          <w:tcPr>
            <w:tcW w:w="6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133,468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87,676</w:t>
            </w:r>
          </w:p>
        </w:tc>
      </w:tr>
      <w:tr>
        <w:trPr>
          <w:trHeight w:val="225"/>
        </w:trPr>
        <w:tc>
          <w:tcPr>
            <w:tcW w:w="7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Credit card payable</w:t>
            </w:r>
          </w:p>
        </w:tc>
        <w:tc>
          <w:tcPr>
            <w:tcW w:w="6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(28,090)</w:t>
            </w:r>
          </w:p>
        </w:tc>
      </w:tr>
      <w:tr>
        <w:trPr>
          <w:trHeight w:val="205"/>
        </w:trPr>
        <w:tc>
          <w:tcPr>
            <w:tcW w:w="74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7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(546,671)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(602,477)</w:t>
            </w:r>
          </w:p>
        </w:tc>
      </w:tr>
      <w:tr>
        <w:trPr>
          <w:trHeight w:val="205"/>
        </w:trPr>
        <w:tc>
          <w:tcPr>
            <w:tcW w:w="74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5"/>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6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(2,832)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7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5"/>
        </w:trPr>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(2,832)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7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the issuance of stock and warrants</w:t>
            </w:r>
          </w:p>
        </w:tc>
        <w:tc>
          <w:tcPr>
            <w:tcW w:w="6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717,628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774,358</w:t>
            </w:r>
          </w:p>
        </w:tc>
      </w:tr>
      <w:tr>
        <w:trPr>
          <w:trHeight w:val="225"/>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note payable</w:t>
            </w:r>
          </w:p>
        </w:tc>
        <w:tc>
          <w:tcPr>
            <w:tcW w:w="6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(1,935)</w:t>
            </w:r>
          </w:p>
        </w:tc>
      </w:tr>
      <w:tr>
        <w:trPr>
          <w:trHeight w:val="205"/>
        </w:trPr>
        <w:tc>
          <w:tcPr>
            <w:tcW w:w="7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5"/>
        </w:trPr>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715,553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772,423</w:t>
            </w:r>
          </w:p>
        </w:tc>
      </w:tr>
      <w:tr>
        <w:trPr>
          <w:trHeight w:val="205"/>
        </w:trPr>
        <w:tc>
          <w:tcPr>
            <w:tcW w:w="7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6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166,050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169,946</w:t>
            </w:r>
          </w:p>
        </w:tc>
      </w:tr>
      <w:tr>
        <w:trPr>
          <w:trHeight w:val="212"/>
        </w:trPr>
        <w:tc>
          <w:tcPr>
            <w:tcW w:w="7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5"/>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6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129,318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325,472</w:t>
            </w:r>
          </w:p>
        </w:tc>
      </w:tr>
      <w:tr>
        <w:trPr>
          <w:trHeight w:val="205"/>
        </w:trPr>
        <w:tc>
          <w:tcPr>
            <w:tcW w:w="7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78"/>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END OF PERIOD</w:t>
            </w: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295,368</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495,418</w:t>
            </w:r>
          </w:p>
        </w:tc>
      </w:tr>
      <w:tr>
        <w:trPr>
          <w:trHeight w:val="192"/>
        </w:trPr>
        <w:tc>
          <w:tcPr>
            <w:tcW w:w="74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2"/>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w:t>
            </w: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321</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1,476</w:t>
            </w:r>
          </w:p>
        </w:tc>
      </w:tr>
      <w:tr>
        <w:trPr>
          <w:trHeight w:val="212"/>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6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7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1"/>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offering costs in exchange for shares of common stock</w:t>
            </w: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6,927,869</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See accompanying condensed notes to unaudited financial statements.</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ARRIVE TECHNOLOGY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NOTES TO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2025 and 2024</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134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19"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Arrive AI Inc. (formerly Arrive Technology Inc.) (the Company) was incorporated on April 30, 2020, in the State of Delaware as Dronedek Corporation. On July 27, 2023, Dronedek Corporation changed its name to Arrive Technology Inc. On September 27, 2024, Arrive Technology Inc. changed its name to Arrive AI Inc. The Company is a developmental technology company with a focus on designing and implementing a commercially viable smart mailbox for drone, robotic and human package receiving and storage.</w:t>
      </w:r>
    </w:p>
    <w:p>
      <w:pPr>
        <w:spacing w:after="0" w:line="180"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 similar to those of other companies of similar size in its industry, including, but not limited to, the need for successful development of products, the need for additional capital (or financing) to fund operating losses, competition from substitute products and services from larger companies, protection of proprietary technology, patent litigation, dependence on key individuals, and risks associated with changes in information technology.</w:t>
      </w:r>
    </w:p>
    <w:p>
      <w:pPr>
        <w:spacing w:after="0" w:line="178" w:lineRule="exact"/>
        <w:rPr>
          <w:sz w:val="20"/>
          <w:szCs w:val="20"/>
          <w:color w:val="auto"/>
        </w:rPr>
      </w:pPr>
    </w:p>
    <w:p>
      <w:pPr>
        <w:ind w:left="640" w:right="7720" w:hanging="634"/>
        <w:spacing w:after="0" w:line="492"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u w:val="single" w:color="auto"/>
          <w:color w:val="auto"/>
        </w:rPr>
        <w:t>Basis of Accounting</w:t>
      </w:r>
    </w:p>
    <w:p>
      <w:pPr>
        <w:spacing w:after="0" w:line="1"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The financial statements (unaudited) have been prepared in accordance with accounting principles generally accepted in the United States of America (US GAAP). These unaudited financial statements should be read in conjunction with the Company’s audited financial statements and related notes thereto for the year ended December 31, 2024.</w:t>
      </w:r>
    </w:p>
    <w:p>
      <w:pPr>
        <w:spacing w:after="0" w:line="178"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adjustments, necessary for a fair presentation of financial position and the results of operations for the interim periods presented have been reflected herein. The results of operations for the interim periods are not necessarily indicative of the results to be expected for the full year. Notes to the financial statements that would substantially duplicate the disclosures contained in the audited financial statements for the fiscal year ended December 31, 2024, have been omitted.</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Reclassifications</w:t>
      </w:r>
    </w:p>
    <w:p>
      <w:pPr>
        <w:spacing w:after="0" w:line="217"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On November 25, 2024, the Company effected a 1-for-4 reverse stock split (the “Reverse Stock Split”). The Reverse Stock Split reduced the total number of issued and outstanding shares of Common Stock, including shares held by the Company as treasury shares. All share amounts have been retroactively adjusted for the Reverse Stock Split, unless stated otherwise.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34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215" w:lineRule="auto"/>
        <w:rPr>
          <w:sz w:val="20"/>
          <w:szCs w:val="20"/>
          <w:color w:val="auto"/>
        </w:rPr>
      </w:pPr>
      <w:r>
        <w:rPr>
          <w:rFonts w:ascii="Times New Roman" w:cs="Times New Roman" w:eastAsia="Times New Roman" w:hAnsi="Times New Roman"/>
          <w:sz w:val="18"/>
          <w:szCs w:val="18"/>
          <w:b w:val="1"/>
          <w:bCs w:val="1"/>
          <w:color w:val="auto"/>
        </w:rPr>
        <w:t>(FORMERLY ARRIVE TECHNOLOGY INC.)</w:t>
      </w: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134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40" w:hanging="634"/>
        <w:spacing w:after="0"/>
        <w:tabs>
          <w:tab w:leader="none" w:pos="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325"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Use of Estimates</w:t>
      </w:r>
    </w:p>
    <w:p>
      <w:pPr>
        <w:spacing w:after="0" w:line="217" w:lineRule="exact"/>
        <w:rPr>
          <w:rFonts w:ascii="Times New Roman" w:cs="Times New Roman" w:eastAsia="Times New Roman" w:hAnsi="Times New Roman"/>
          <w:sz w:val="18"/>
          <w:szCs w:val="18"/>
          <w:b w:val="1"/>
          <w:bCs w:val="1"/>
          <w:color w:val="auto"/>
        </w:rPr>
      </w:pPr>
    </w:p>
    <w:p>
      <w:pPr>
        <w:jc w:val="both"/>
        <w:ind w:left="64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financial statements; therefore, actual results could differ from those estimates.</w:t>
      </w:r>
    </w:p>
    <w:p>
      <w:pPr>
        <w:spacing w:after="0" w:line="185"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Cash</w:t>
      </w:r>
    </w:p>
    <w:p>
      <w:pPr>
        <w:spacing w:after="0" w:line="217" w:lineRule="exact"/>
        <w:rPr>
          <w:rFonts w:ascii="Times New Roman" w:cs="Times New Roman" w:eastAsia="Times New Roman" w:hAnsi="Times New Roman"/>
          <w:sz w:val="18"/>
          <w:szCs w:val="18"/>
          <w:b w:val="1"/>
          <w:bCs w:val="1"/>
          <w:color w:val="auto"/>
        </w:rPr>
      </w:pPr>
    </w:p>
    <w:p>
      <w:pPr>
        <w:ind w:left="640" w:right="2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is defined as currency on hand and on-demand deposits. Cash equivalents are unrestricted highly liquid cash investments purchased with a maturity of three (3) months or less. There were no cash equivalents at March 31, 2025 and December 31, 2024.</w:t>
      </w:r>
    </w:p>
    <w:p>
      <w:pPr>
        <w:spacing w:after="0" w:line="163"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Concentration of Credit Risk</w:t>
      </w:r>
    </w:p>
    <w:p>
      <w:pPr>
        <w:spacing w:after="0" w:line="217" w:lineRule="exact"/>
        <w:rPr>
          <w:rFonts w:ascii="Times New Roman" w:cs="Times New Roman" w:eastAsia="Times New Roman" w:hAnsi="Times New Roman"/>
          <w:sz w:val="18"/>
          <w:szCs w:val="18"/>
          <w:b w:val="1"/>
          <w:bCs w:val="1"/>
          <w:color w:val="auto"/>
        </w:rPr>
      </w:pPr>
    </w:p>
    <w:p>
      <w:pPr>
        <w:jc w:val="both"/>
        <w:ind w:left="6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maintains its cash balances at one financial institution. The account is insured by the Federal Deposit Insurance Corporation (FDIC) up to a specified limit. The Company’s balances at the financial institutions periodically exceed federally insured limits. At March 31, 2025 and December 31, 2024, the Company’s uninsured cash balances totaled approximately $45,000 and $0, respectively.</w:t>
      </w:r>
    </w:p>
    <w:p>
      <w:pPr>
        <w:spacing w:after="0" w:line="177" w:lineRule="exact"/>
        <w:rPr>
          <w:rFonts w:ascii="Times New Roman" w:cs="Times New Roman" w:eastAsia="Times New Roman" w:hAnsi="Times New Roman"/>
          <w:sz w:val="18"/>
          <w:szCs w:val="18"/>
          <w:b w:val="1"/>
          <w:bCs w:val="1"/>
          <w:color w:val="auto"/>
        </w:rPr>
      </w:pPr>
    </w:p>
    <w:p>
      <w:pPr>
        <w:ind w:left="6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believes that the Company is not exposed to any significant risk concerning its cash balances. To date, the Company has not recognized any losses caused by uninsured balances.</w:t>
      </w:r>
    </w:p>
    <w:p>
      <w:pPr>
        <w:spacing w:after="0" w:line="163"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Property and Equipment</w:t>
      </w:r>
    </w:p>
    <w:p>
      <w:pPr>
        <w:spacing w:after="0" w:line="217" w:lineRule="exact"/>
        <w:rPr>
          <w:rFonts w:ascii="Times New Roman" w:cs="Times New Roman" w:eastAsia="Times New Roman" w:hAnsi="Times New Roman"/>
          <w:sz w:val="18"/>
          <w:szCs w:val="18"/>
          <w:b w:val="1"/>
          <w:bCs w:val="1"/>
          <w:color w:val="auto"/>
        </w:rPr>
      </w:pPr>
    </w:p>
    <w:p>
      <w:pPr>
        <w:jc w:val="both"/>
        <w:ind w:left="6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property and equipment is recorded at cost. The Company’s policy is to depreciate the cost of the property and equipment using the straight-line method over the estimated useful life of the asset. The costs of maintenance and repairs are charged to expense when incurred (none noted in the current or prior year as it relates to the vehicle). The useful life of the property and equipment for purposes of computing depreciation is:</w:t>
      </w:r>
    </w:p>
    <w:p>
      <w:pPr>
        <w:spacing w:after="0" w:line="178"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8"/>
          <w:szCs w:val="18"/>
          <w:color w:val="auto"/>
        </w:rPr>
        <w:t>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5716905</wp:posOffset>
            </wp:positionH>
            <wp:positionV relativeFrom="paragraph">
              <wp:posOffset>14605</wp:posOffset>
            </wp:positionV>
            <wp:extent cx="13208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spacing w:after="0" w:line="210" w:lineRule="exact"/>
        <w:rPr>
          <w:sz w:val="20"/>
          <w:szCs w:val="20"/>
          <w:color w:val="auto"/>
        </w:rPr>
      </w:pPr>
    </w:p>
    <w:p>
      <w:pPr>
        <w:ind w:left="640"/>
        <w:spacing w:after="0"/>
        <w:tabs>
          <w:tab w:leader="none" w:pos="9700" w:val="left"/>
        </w:tabs>
        <w:rPr>
          <w:sz w:val="20"/>
          <w:szCs w:val="20"/>
          <w:color w:val="auto"/>
        </w:rPr>
      </w:pPr>
      <w:r>
        <w:rPr>
          <w:rFonts w:ascii="Times New Roman" w:cs="Times New Roman" w:eastAsia="Times New Roman" w:hAnsi="Times New Roman"/>
          <w:sz w:val="18"/>
          <w:szCs w:val="18"/>
          <w:color w:val="auto"/>
        </w:rPr>
        <w:t>Vehicle and Equipment</w:t>
      </w:r>
      <w:r>
        <w:rPr>
          <w:sz w:val="20"/>
          <w:szCs w:val="20"/>
          <w:color w:val="auto"/>
        </w:rPr>
        <w:tab/>
      </w:r>
      <w:r>
        <w:rPr>
          <w:rFonts w:ascii="Times New Roman" w:cs="Times New Roman" w:eastAsia="Times New Roman" w:hAnsi="Times New Roman"/>
          <w:sz w:val="17"/>
          <w:szCs w:val="17"/>
          <w:color w:val="auto"/>
        </w:rPr>
        <w:t>3-5 years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(FORMERLY ARRIVE TECHNOLOGY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134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40" w:right="6300" w:hanging="634"/>
        <w:spacing w:after="0" w:line="492" w:lineRule="auto"/>
        <w:tabs>
          <w:tab w:leader="none" w:pos="6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(Continued) </w:t>
      </w:r>
      <w:r>
        <w:rPr>
          <w:rFonts w:ascii="Times New Roman" w:cs="Times New Roman" w:eastAsia="Times New Roman" w:hAnsi="Times New Roman"/>
          <w:sz w:val="18"/>
          <w:szCs w:val="18"/>
          <w:u w:val="single" w:color="auto"/>
          <w:color w:val="auto"/>
        </w:rPr>
        <w:t>Intangible Assets – Patents</w:t>
      </w:r>
    </w:p>
    <w:p>
      <w:pPr>
        <w:spacing w:after="0" w:line="1" w:lineRule="exact"/>
        <w:rPr>
          <w:rFonts w:ascii="Times New Roman" w:cs="Times New Roman" w:eastAsia="Times New Roman" w:hAnsi="Times New Roman"/>
          <w:sz w:val="18"/>
          <w:szCs w:val="18"/>
          <w:b w:val="1"/>
          <w:bCs w:val="1"/>
          <w:color w:val="auto"/>
        </w:rPr>
      </w:pPr>
    </w:p>
    <w:p>
      <w:pPr>
        <w:jc w:val="both"/>
        <w:ind w:left="640"/>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capitalizes external costs, such as filing fees, registration documentation, and attorney fees associated with the application and issuance of patents. The Company expenses costs associated with maintaining and defending patents subsequent to issuance in the period incurred. The Company amortizes capitalized patent costs for internally generated patents on a straight-line basis over 20 years or the period in which the goods associated with the patent will be revenue-generating, which represents the estimated useful lives of the patents. The estimated useful lives for internally generated patents are based on the assessment of the following factors: the integrated nature of the patent portfolios being licensed (including the ability of the patent to generate viable goods and revenues), the overall makeup of the patent portfolio over time, and the length of license agreements for such patents. The Company assesses the potential impairment of all capitalized patent costs when events or changes in circumstances indicate that the carrying amount of the Company’s patent portfolio may not be recoverable.</w:t>
      </w:r>
    </w:p>
    <w:p>
      <w:pPr>
        <w:spacing w:after="0" w:line="190"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Impairment of Long-Lived Assets</w:t>
      </w:r>
    </w:p>
    <w:p>
      <w:pPr>
        <w:spacing w:after="0" w:line="217" w:lineRule="exact"/>
        <w:rPr>
          <w:rFonts w:ascii="Times New Roman" w:cs="Times New Roman" w:eastAsia="Times New Roman" w:hAnsi="Times New Roman"/>
          <w:sz w:val="18"/>
          <w:szCs w:val="18"/>
          <w:b w:val="1"/>
          <w:bCs w:val="1"/>
          <w:color w:val="auto"/>
        </w:rPr>
      </w:pPr>
    </w:p>
    <w:p>
      <w:pPr>
        <w:jc w:val="both"/>
        <w:ind w:left="6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Intangibles and other long-lived assets are reviewed for impairment whenever events or changes in circumstances indicate that the carrying amount of any long-lived asset may not be fully recoverable. In the event that facts and circumstances indicate that the carrying amount of any long-lived assets may be impaired, an evaluation of recoverability is performed. If an evaluation was required, the estimated future undiscounted cash flows associated with the asset (or group of assets) would be compared to the assets’ (or group of assets’) carrying amount to determine if a write-down to fair value is required on the basis of the assets’ associated undiscounted cash flows.</w:t>
      </w:r>
    </w:p>
    <w:p>
      <w:pPr>
        <w:spacing w:after="0" w:line="185" w:lineRule="exact"/>
        <w:rPr>
          <w:rFonts w:ascii="Times New Roman" w:cs="Times New Roman" w:eastAsia="Times New Roman" w:hAnsi="Times New Roman"/>
          <w:sz w:val="18"/>
          <w:szCs w:val="18"/>
          <w:b w:val="1"/>
          <w:bCs w:val="1"/>
          <w:color w:val="auto"/>
        </w:rPr>
      </w:pPr>
    </w:p>
    <w:p>
      <w:pPr>
        <w:jc w:val="both"/>
        <w:ind w:left="6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types of long-lived assets: property and equipment, including a vehicle, aerial drones; construction-in-progress (CIP), and intangible patent assets including those acquired by the acquisition of Airbox Technology in 2023. The vehicle and drone hexacopter were evaluated for impairment, and no impairments were considered necessary as of March 31, 2025.</w:t>
      </w:r>
    </w:p>
    <w:p>
      <w:pPr>
        <w:spacing w:after="0" w:line="177" w:lineRule="exact"/>
        <w:rPr>
          <w:rFonts w:ascii="Times New Roman" w:cs="Times New Roman" w:eastAsia="Times New Roman" w:hAnsi="Times New Roman"/>
          <w:sz w:val="18"/>
          <w:szCs w:val="18"/>
          <w:b w:val="1"/>
          <w:bCs w:val="1"/>
          <w:color w:val="auto"/>
        </w:rPr>
      </w:pPr>
    </w:p>
    <w:p>
      <w:pPr>
        <w:jc w:val="both"/>
        <w:ind w:left="6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acquired three “Gen 3” Arrive Point units in December 2024 for approximately $38,000. One of the units entered into commercial service in April 2025 and the remaining two units are expected to enter commercial service in May 2025. The Company believes the cost of the Gen 3 Arrive Point units have an alternative future use and the cost of these units and associated installation costs were capitalized but had not been placed into service as of March 31, 2025. These units will be placed into service once accepted by the end customer. No impairment loss on these units was recognized as of March 31, 2025.</w:t>
      </w:r>
    </w:p>
    <w:p>
      <w:pPr>
        <w:spacing w:after="0" w:line="185" w:lineRule="exact"/>
        <w:rPr>
          <w:rFonts w:ascii="Times New Roman" w:cs="Times New Roman" w:eastAsia="Times New Roman" w:hAnsi="Times New Roman"/>
          <w:sz w:val="18"/>
          <w:szCs w:val="18"/>
          <w:b w:val="1"/>
          <w:bCs w:val="1"/>
          <w:color w:val="auto"/>
        </w:rPr>
      </w:pPr>
    </w:p>
    <w:p>
      <w:pPr>
        <w:ind w:left="5580" w:hanging="97"/>
        <w:spacing w:after="0"/>
        <w:tabs>
          <w:tab w:leader="none" w:pos="5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(FORMERLY ARRIVE TECHNOLOGY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134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40" w:right="6300" w:hanging="634"/>
        <w:spacing w:after="0" w:line="492" w:lineRule="auto"/>
        <w:tabs>
          <w:tab w:leader="none" w:pos="6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(Continued) </w:t>
      </w:r>
      <w:r>
        <w:rPr>
          <w:rFonts w:ascii="Times New Roman" w:cs="Times New Roman" w:eastAsia="Times New Roman" w:hAnsi="Times New Roman"/>
          <w:sz w:val="18"/>
          <w:szCs w:val="18"/>
          <w:u w:val="single" w:color="auto"/>
          <w:color w:val="auto"/>
        </w:rPr>
        <w:t>Accounts Payable and Accrued Liabilities</w:t>
      </w:r>
    </w:p>
    <w:p>
      <w:pPr>
        <w:spacing w:after="0" w:line="1" w:lineRule="exact"/>
        <w:rPr>
          <w:rFonts w:ascii="Times New Roman" w:cs="Times New Roman" w:eastAsia="Times New Roman" w:hAnsi="Times New Roman"/>
          <w:sz w:val="18"/>
          <w:szCs w:val="18"/>
          <w:b w:val="1"/>
          <w:bCs w:val="1"/>
          <w:color w:val="auto"/>
        </w:rPr>
      </w:pPr>
    </w:p>
    <w:p>
      <w:pPr>
        <w:ind w:left="6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Payables are obligations to pay for materials or services that have been acquired or have been rendered in the ordinary course of business from suppliers or vendors. Payables and accrued liabilities are classified as current if payment is due within one year.</w:t>
      </w:r>
    </w:p>
    <w:p>
      <w:pPr>
        <w:spacing w:after="0" w:line="163"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Equity Financing</w:t>
      </w:r>
    </w:p>
    <w:p>
      <w:pPr>
        <w:spacing w:after="0" w:line="217" w:lineRule="exact"/>
        <w:rPr>
          <w:rFonts w:ascii="Times New Roman" w:cs="Times New Roman" w:eastAsia="Times New Roman" w:hAnsi="Times New Roman"/>
          <w:sz w:val="18"/>
          <w:szCs w:val="18"/>
          <w:b w:val="1"/>
          <w:bCs w:val="1"/>
          <w:color w:val="auto"/>
        </w:rPr>
      </w:pPr>
    </w:p>
    <w:p>
      <w:pPr>
        <w:jc w:val="both"/>
        <w:ind w:left="6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engages in equity financing transactions to obtain the funds necessary to continue operations and develop a commercially viable drone delivery system. These equity financing transactions involve the issuance of common stock and at times, if the cash investment by each investor exceeds $250,000, include equity warrants.</w:t>
      </w:r>
    </w:p>
    <w:p>
      <w:pPr>
        <w:spacing w:after="0" w:line="177" w:lineRule="exact"/>
        <w:rPr>
          <w:rFonts w:ascii="Times New Roman" w:cs="Times New Roman" w:eastAsia="Times New Roman" w:hAnsi="Times New Roman"/>
          <w:sz w:val="18"/>
          <w:szCs w:val="18"/>
          <w:b w:val="1"/>
          <w:bCs w:val="1"/>
          <w:color w:val="auto"/>
        </w:rPr>
      </w:pPr>
    </w:p>
    <w:p>
      <w:pPr>
        <w:jc w:val="both"/>
        <w:ind w:left="6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Equity warrants are instruments that bestow upon the holder of the instrument the right to buy a particular stock at a predetermined price within a stipulated time frame. Under Financial Accounting Standards Board (FASB) Accounting Standards Codification (ASC) 480, the Company classified the warrants as equity instruments and carries the warrants at the grant date fair market value.</w:t>
      </w:r>
    </w:p>
    <w:p>
      <w:pPr>
        <w:spacing w:after="0" w:line="177" w:lineRule="exact"/>
        <w:rPr>
          <w:rFonts w:ascii="Times New Roman" w:cs="Times New Roman" w:eastAsia="Times New Roman" w:hAnsi="Times New Roman"/>
          <w:sz w:val="18"/>
          <w:szCs w:val="18"/>
          <w:b w:val="1"/>
          <w:bCs w:val="1"/>
          <w:color w:val="auto"/>
        </w:rPr>
      </w:pPr>
    </w:p>
    <w:p>
      <w:pPr>
        <w:jc w:val="both"/>
        <w:ind w:left="64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Depending on the terms and conditions of each equity financing transaction, the warrants are exercisable into additional common shares at an agreed-upon price, as defined in the Stock and Warrant Purchase Agreement (“the agreement”) prior to the expiration of the warrants as stipulated by the terms of the transaction in the agreement. The fair value of the stock purchase warrants issued is determined by using the Black-Scholes-Merton (“Black-Scholes”) model. The Black-Scholes model requires the use of highly subjective and complex assumptions, which determine the fair value of warrants, including the warrants’ expected terms and the price volatility of the underlying stocks. The Company calculates the fair value of warrants granted by using the Black-Scholes pricing model with the following assumptions:</w:t>
      </w:r>
    </w:p>
    <w:p>
      <w:pPr>
        <w:spacing w:after="0" w:line="183" w:lineRule="exact"/>
        <w:rPr>
          <w:rFonts w:ascii="Times New Roman" w:cs="Times New Roman" w:eastAsia="Times New Roman" w:hAnsi="Times New Roman"/>
          <w:sz w:val="18"/>
          <w:szCs w:val="18"/>
          <w:b w:val="1"/>
          <w:bCs w:val="1"/>
          <w:color w:val="auto"/>
        </w:rPr>
      </w:pPr>
    </w:p>
    <w:p>
      <w:pPr>
        <w:ind w:left="640"/>
        <w:spacing w:after="0" w:line="27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Company estimated volatility for warrants by evaluating the average historical volatility of a peer group of companies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immediately preceding the warrant for a term that is approximately equal to the warrants’ expected terms.</w:t>
      </w:r>
    </w:p>
    <w:p>
      <w:pPr>
        <w:spacing w:after="0" w:line="159" w:lineRule="exact"/>
        <w:rPr>
          <w:rFonts w:ascii="Times New Roman" w:cs="Times New Roman" w:eastAsia="Times New Roman" w:hAnsi="Times New Roman"/>
          <w:sz w:val="18"/>
          <w:szCs w:val="18"/>
          <w:b w:val="1"/>
          <w:bCs w:val="1"/>
          <w:color w:val="auto"/>
        </w:rPr>
      </w:pPr>
    </w:p>
    <w:p>
      <w:pPr>
        <w:jc w:val="both"/>
        <w:ind w:left="6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of the Company’s warrants represents the period that the warrants are expected to be outstanding (typically,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expiration). The Company used the time remaining to the expiration of the warrants (contractual expiration) to compute the expected term, as the Company does not have sufficient historical information to develop reasonable expectations about future exercise patterns and post-vesting employment termination behavior.</w:t>
      </w:r>
    </w:p>
    <w:p>
      <w:pPr>
        <w:spacing w:after="0" w:line="178" w:lineRule="exact"/>
        <w:rPr>
          <w:rFonts w:ascii="Times New Roman" w:cs="Times New Roman" w:eastAsia="Times New Roman" w:hAnsi="Times New Roman"/>
          <w:sz w:val="18"/>
          <w:szCs w:val="18"/>
          <w:b w:val="1"/>
          <w:bCs w:val="1"/>
          <w:color w:val="auto"/>
        </w:rPr>
      </w:pPr>
    </w:p>
    <w:p>
      <w:pPr>
        <w:ind w:left="5540" w:hanging="101"/>
        <w:spacing w:after="0"/>
        <w:tabs>
          <w:tab w:leader="none" w:pos="5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34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(FORMERLY ARRIVE TECHNOLOGY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134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40" w:right="6300" w:hanging="634"/>
        <w:spacing w:after="0" w:line="491" w:lineRule="auto"/>
        <w:tabs>
          <w:tab w:leader="none" w:pos="6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(Continued) </w:t>
      </w:r>
      <w:r>
        <w:rPr>
          <w:rFonts w:ascii="Times New Roman" w:cs="Times New Roman" w:eastAsia="Times New Roman" w:hAnsi="Times New Roman"/>
          <w:sz w:val="18"/>
          <w:szCs w:val="18"/>
          <w:u w:val="single" w:color="auto"/>
          <w:color w:val="auto"/>
        </w:rPr>
        <w:t>Equity Financing (continued)</w:t>
      </w:r>
    </w:p>
    <w:p>
      <w:pPr>
        <w:spacing w:after="0" w:line="1" w:lineRule="exact"/>
        <w:rPr>
          <w:rFonts w:ascii="Times New Roman" w:cs="Times New Roman" w:eastAsia="Times New Roman" w:hAnsi="Times New Roman"/>
          <w:sz w:val="18"/>
          <w:szCs w:val="18"/>
          <w:b w:val="1"/>
          <w:bCs w:val="1"/>
          <w:color w:val="auto"/>
        </w:rPr>
      </w:pPr>
    </w:p>
    <w:p>
      <w:pPr>
        <w:ind w:left="640"/>
        <w:spacing w:after="0" w:line="27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implied yield currently available on U.S. Treasury zero-coupon issues with a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equal to the warrants’ expected terms at the grant date.</w:t>
      </w:r>
    </w:p>
    <w:p>
      <w:pPr>
        <w:spacing w:after="0" w:line="159" w:lineRule="exact"/>
        <w:rPr>
          <w:rFonts w:ascii="Times New Roman" w:cs="Times New Roman" w:eastAsia="Times New Roman" w:hAnsi="Times New Roman"/>
          <w:sz w:val="18"/>
          <w:szCs w:val="18"/>
          <w:b w:val="1"/>
          <w:bCs w:val="1"/>
          <w:color w:val="auto"/>
        </w:rPr>
      </w:pPr>
    </w:p>
    <w:p>
      <w:pPr>
        <w:ind w:left="640"/>
        <w:spacing w:after="0" w:line="27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The Company has not declared or paid dividends to date and does not anticipate declaring dividends. As such, the dividend yield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estimated to be zero.</w:t>
      </w:r>
    </w:p>
    <w:p>
      <w:pPr>
        <w:spacing w:after="0" w:line="161" w:lineRule="exact"/>
        <w:rPr>
          <w:rFonts w:ascii="Times New Roman" w:cs="Times New Roman" w:eastAsia="Times New Roman" w:hAnsi="Times New Roman"/>
          <w:sz w:val="18"/>
          <w:szCs w:val="18"/>
          <w:b w:val="1"/>
          <w:bCs w:val="1"/>
          <w:color w:val="auto"/>
        </w:rPr>
      </w:pPr>
    </w:p>
    <w:p>
      <w:pPr>
        <w:jc w:val="both"/>
        <w:ind w:left="640"/>
        <w:spacing w:after="0" w:line="26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warrants have not been registered under the U.S. Securities Act of 1933, as amended, and the rules and regulations promulgated thereunder, or qualified under any state or foreign securities laws and may not be offered for sale, sold, pledged, hypothecated, or otherwise transferred or assigned unless (</w:t>
      </w:r>
      <w:r>
        <w:rPr>
          <w:rFonts w:ascii="Times New Roman" w:cs="Times New Roman" w:eastAsia="Times New Roman" w:hAnsi="Times New Roman"/>
          <w:sz w:val="17"/>
          <w:szCs w:val="17"/>
          <w:i w:val="1"/>
          <w:iCs w:val="1"/>
          <w:color w:val="auto"/>
        </w:rPr>
        <w:t>i</w:t>
      </w:r>
      <w:r>
        <w:rPr>
          <w:rFonts w:ascii="Times New Roman" w:cs="Times New Roman" w:eastAsia="Times New Roman" w:hAnsi="Times New Roman"/>
          <w:sz w:val="17"/>
          <w:szCs w:val="17"/>
          <w:color w:val="auto"/>
        </w:rPr>
        <w:t>) a registration statement covering such shares is effective under the act and is qualified under applicable state and foreign law or (</w:t>
      </w:r>
      <w:r>
        <w:rPr>
          <w:rFonts w:ascii="Times New Roman" w:cs="Times New Roman" w:eastAsia="Times New Roman" w:hAnsi="Times New Roman"/>
          <w:sz w:val="17"/>
          <w:szCs w:val="17"/>
          <w:i w:val="1"/>
          <w:iCs w:val="1"/>
          <w:color w:val="auto"/>
        </w:rPr>
        <w:t>ii</w:t>
      </w:r>
      <w:r>
        <w:rPr>
          <w:rFonts w:ascii="Times New Roman" w:cs="Times New Roman" w:eastAsia="Times New Roman" w:hAnsi="Times New Roman"/>
          <w:sz w:val="17"/>
          <w:szCs w:val="17"/>
          <w:color w:val="auto"/>
        </w:rPr>
        <w:t>) the transaction is exempt from the registration and prospectus delivery requirements under the act and the qualification requirements under applicable state and foreign law and, if the corporation requests, an opinion satisfactory to the corporation to such effect has been rendered by counsel. The Company registered with the Security and Exchange Commission (SEC) on July 16, 2021, however, is not yet traded on the public market.</w:t>
      </w:r>
    </w:p>
    <w:p>
      <w:pPr>
        <w:spacing w:after="0" w:line="169"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Loss per share</w:t>
      </w:r>
    </w:p>
    <w:p>
      <w:pPr>
        <w:spacing w:after="0" w:line="217" w:lineRule="exact"/>
        <w:rPr>
          <w:rFonts w:ascii="Times New Roman" w:cs="Times New Roman" w:eastAsia="Times New Roman" w:hAnsi="Times New Roman"/>
          <w:sz w:val="18"/>
          <w:szCs w:val="18"/>
          <w:b w:val="1"/>
          <w:bCs w:val="1"/>
          <w:color w:val="auto"/>
        </w:rPr>
      </w:pPr>
    </w:p>
    <w:p>
      <w:pPr>
        <w:jc w:val="both"/>
        <w:ind w:left="6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loss per share is computed by dividing net loss by weighted average number of shares of common stock outstanding during each period. Diluted loss per share is computed by dividing net loss by the weighted average number of shares of common stock, common stock equivalents and potentially dilutive securities outstanding during the period. As the Company reported a net loss for the three months ended March 31, 2025, common stock equivalents were anti-dilutive.</w:t>
      </w:r>
    </w:p>
    <w:p>
      <w:pPr>
        <w:spacing w:after="0" w:line="180" w:lineRule="exact"/>
        <w:rPr>
          <w:rFonts w:ascii="Times New Roman" w:cs="Times New Roman" w:eastAsia="Times New Roman" w:hAnsi="Times New Roman"/>
          <w:sz w:val="18"/>
          <w:szCs w:val="18"/>
          <w:b w:val="1"/>
          <w:bCs w:val="1"/>
          <w:color w:val="auto"/>
        </w:rPr>
      </w:pPr>
    </w:p>
    <w:p>
      <w:pPr>
        <w:ind w:left="6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2025 and 2024 the outstanding warrants and stock options are excluded from the calculation of weighted average dilutive shares because their inclusion would have been anti-dilutive. Refer to Note 14 and Note 15 for additional information.</w:t>
      </w:r>
    </w:p>
    <w:p>
      <w:pPr>
        <w:spacing w:after="0" w:line="163"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Offering Costs</w:t>
      </w:r>
    </w:p>
    <w:p>
      <w:pPr>
        <w:spacing w:after="0" w:line="215" w:lineRule="exact"/>
        <w:rPr>
          <w:rFonts w:ascii="Times New Roman" w:cs="Times New Roman" w:eastAsia="Times New Roman" w:hAnsi="Times New Roman"/>
          <w:sz w:val="18"/>
          <w:szCs w:val="18"/>
          <w:b w:val="1"/>
          <w:bCs w:val="1"/>
          <w:color w:val="auto"/>
        </w:rPr>
      </w:pPr>
    </w:p>
    <w:p>
      <w:pPr>
        <w:jc w:val="both"/>
        <w:ind w:left="6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complies with the requirements of FASB ASC 340-10-S99-1 and SEC Staff Accounting Bulletin (“SAB”) Topic 5A - </w:t>
      </w:r>
      <w:r>
        <w:rPr>
          <w:rFonts w:ascii="Times New Roman" w:cs="Times New Roman" w:eastAsia="Times New Roman" w:hAnsi="Times New Roman"/>
          <w:sz w:val="18"/>
          <w:szCs w:val="18"/>
          <w:i w:val="1"/>
          <w:iCs w:val="1"/>
          <w:color w:val="auto"/>
        </w:rPr>
        <w:t>Expenses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Offering</w:t>
      </w:r>
      <w:r>
        <w:rPr>
          <w:rFonts w:ascii="Times New Roman" w:cs="Times New Roman" w:eastAsia="Times New Roman" w:hAnsi="Times New Roman"/>
          <w:sz w:val="18"/>
          <w:szCs w:val="18"/>
          <w:color w:val="auto"/>
        </w:rPr>
        <w:t>. For the three months ended March 31, 2025 and 2024, the Company recognized $59,468 and $84,027 of offering costs,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Accumulated offering costs were $637,102 and $431,667 as of March 31, 2025 and 2024, respectively. These offering costs consisted of professional, regulatory, and other costs; all of which were charged to additional paid-in capital for all funding campaigns (crowdfunding, seed series, StartEngine, PicMii, etc.) held by the Company.</w:t>
      </w:r>
    </w:p>
    <w:p>
      <w:pPr>
        <w:spacing w:after="0" w:line="183" w:lineRule="exact"/>
        <w:rPr>
          <w:rFonts w:ascii="Times New Roman" w:cs="Times New Roman" w:eastAsia="Times New Roman" w:hAnsi="Times New Roman"/>
          <w:sz w:val="18"/>
          <w:szCs w:val="18"/>
          <w:b w:val="1"/>
          <w:bCs w:val="1"/>
          <w:color w:val="auto"/>
        </w:rPr>
      </w:pPr>
    </w:p>
    <w:p>
      <w:pPr>
        <w:ind w:left="5540" w:hanging="97"/>
        <w:spacing w:after="0"/>
        <w:tabs>
          <w:tab w:leader="none" w:pos="5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34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(FORMERLY ARRIVE TECHNOLOGY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134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40" w:right="6300" w:hanging="634"/>
        <w:spacing w:after="0" w:line="492" w:lineRule="auto"/>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(Continued) </w:t>
      </w:r>
      <w:r>
        <w:rPr>
          <w:rFonts w:ascii="Times New Roman" w:cs="Times New Roman" w:eastAsia="Times New Roman" w:hAnsi="Times New Roman"/>
          <w:sz w:val="18"/>
          <w:szCs w:val="18"/>
          <w:u w:val="single" w:color="auto"/>
          <w:color w:val="auto"/>
        </w:rPr>
        <w:t>Research and Development</w:t>
      </w:r>
    </w:p>
    <w:p>
      <w:pPr>
        <w:spacing w:after="0" w:line="1" w:lineRule="exact"/>
        <w:rPr>
          <w:rFonts w:ascii="Times New Roman" w:cs="Times New Roman" w:eastAsia="Times New Roman" w:hAnsi="Times New Roman"/>
          <w:sz w:val="18"/>
          <w:szCs w:val="18"/>
          <w:b w:val="1"/>
          <w:bCs w:val="1"/>
          <w:color w:val="auto"/>
        </w:rPr>
      </w:pPr>
    </w:p>
    <w:p>
      <w:pPr>
        <w:jc w:val="both"/>
        <w:ind w:left="6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Research and development (R&amp;D) costs, that do not meet the criteria for capitalization are expensed as incurred. Research and development expenses include fees paid to outside consultants for the Company’s proprietary technology. For the three months ended March 31, 2025 and 2024, the Company had R&amp;D costs totaling $91,263 and $88,401, respectively.</w:t>
      </w:r>
    </w:p>
    <w:p>
      <w:pPr>
        <w:spacing w:after="0" w:line="177"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Marketing Expenses</w:t>
      </w:r>
    </w:p>
    <w:p>
      <w:pPr>
        <w:spacing w:after="0" w:line="217" w:lineRule="exact"/>
        <w:rPr>
          <w:rFonts w:ascii="Times New Roman" w:cs="Times New Roman" w:eastAsia="Times New Roman" w:hAnsi="Times New Roman"/>
          <w:sz w:val="18"/>
          <w:szCs w:val="18"/>
          <w:b w:val="1"/>
          <w:bCs w:val="1"/>
          <w:color w:val="auto"/>
        </w:rPr>
      </w:pPr>
    </w:p>
    <w:p>
      <w:pPr>
        <w:jc w:val="both"/>
        <w:ind w:left="6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uses various marketing methods to create brand awareness to promote and alert the public about future product and service offerings to generate future capital or revenue when a viable product is created. The Company’s policy is to charge marketing costs to expenses in the period they are incurred. Marketing expenses were $1,256 and $7,558 for the three months ended March 31, 2025 and 2024, respectively.</w:t>
      </w:r>
    </w:p>
    <w:p>
      <w:pPr>
        <w:spacing w:after="0" w:line="177"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Stock-Based Compensation</w:t>
      </w:r>
    </w:p>
    <w:p>
      <w:pPr>
        <w:spacing w:after="0" w:line="217" w:lineRule="exact"/>
        <w:rPr>
          <w:rFonts w:ascii="Times New Roman" w:cs="Times New Roman" w:eastAsia="Times New Roman" w:hAnsi="Times New Roman"/>
          <w:sz w:val="18"/>
          <w:szCs w:val="18"/>
          <w:b w:val="1"/>
          <w:bCs w:val="1"/>
          <w:color w:val="auto"/>
        </w:rPr>
      </w:pPr>
    </w:p>
    <w:p>
      <w:pPr>
        <w:jc w:val="both"/>
        <w:ind w:left="6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measures and records the expense related to stock-based payment awards based on the fair value of those awards as determined on the date of the grant. The Company recognizes stock-based compensation expense over the requisite service period of the individual grant, generally equal to the vesting period, and uses the straight-line method to recognize stock-based compensation, as applicable. For stock-based compensation with performance conditions, the Company records compensation expenses when the performance condition is met. The Company uses the Black-Scholes model to estimate the fair value of stock options and forfeitures are accounted for when incurred.</w:t>
      </w:r>
    </w:p>
    <w:p>
      <w:pPr>
        <w:spacing w:after="0" w:line="185" w:lineRule="exact"/>
        <w:rPr>
          <w:rFonts w:ascii="Times New Roman" w:cs="Times New Roman" w:eastAsia="Times New Roman" w:hAnsi="Times New Roman"/>
          <w:sz w:val="18"/>
          <w:szCs w:val="18"/>
          <w:b w:val="1"/>
          <w:bCs w:val="1"/>
          <w:color w:val="auto"/>
        </w:rPr>
      </w:pPr>
    </w:p>
    <w:p>
      <w:pPr>
        <w:ind w:left="6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average price of one (1) share of the Company’s common stock was determined to be $13.00 and $12.71 as of March 31, 2025 and December 31, 2024, respectively.</w:t>
      </w:r>
    </w:p>
    <w:p>
      <w:pPr>
        <w:spacing w:after="0" w:line="163" w:lineRule="exact"/>
        <w:rPr>
          <w:rFonts w:ascii="Times New Roman" w:cs="Times New Roman" w:eastAsia="Times New Roman" w:hAnsi="Times New Roman"/>
          <w:sz w:val="18"/>
          <w:szCs w:val="18"/>
          <w:b w:val="1"/>
          <w:bCs w:val="1"/>
          <w:color w:val="auto"/>
        </w:rPr>
      </w:pPr>
    </w:p>
    <w:p>
      <w:pPr>
        <w:jc w:val="both"/>
        <w:ind w:left="6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common stock is based on the prior Company’s transaction method. The prior company transaction method utilizes actual transactions in the Company’s non-controlling, non-marketable private company equity interests. Therefore, the result is reflective of a non-controlling, non-marketable private company value and no discount for lack of control or marketability was considered necessary in the application of this methodology. As part of this methodology, there are a number of limiting assumptions,</w:t>
      </w:r>
    </w:p>
    <w:p>
      <w:pPr>
        <w:spacing w:after="0" w:line="180" w:lineRule="exact"/>
        <w:rPr>
          <w:rFonts w:ascii="Times New Roman" w:cs="Times New Roman" w:eastAsia="Times New Roman" w:hAnsi="Times New Roman"/>
          <w:sz w:val="18"/>
          <w:szCs w:val="18"/>
          <w:b w:val="1"/>
          <w:bCs w:val="1"/>
          <w:color w:val="auto"/>
        </w:rPr>
      </w:pPr>
    </w:p>
    <w:p>
      <w:pPr>
        <w:jc w:val="both"/>
        <w:ind w:left="6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however, management believes it appropriately represents the fair market value indication for one (1) share of the Company’s common stock. Since the Company’s stock is not publicly traded, the expected volatility is based on the historical and implied volatility of similar companies whose stock or option prices are publicly available, after considering the industry, stage of the life cycle, size, market capitalization, and financial leverage of the other companies.</w:t>
      </w:r>
    </w:p>
    <w:p>
      <w:pPr>
        <w:spacing w:after="0" w:line="180" w:lineRule="exact"/>
        <w:rPr>
          <w:rFonts w:ascii="Times New Roman" w:cs="Times New Roman" w:eastAsia="Times New Roman" w:hAnsi="Times New Roman"/>
          <w:sz w:val="18"/>
          <w:szCs w:val="18"/>
          <w:b w:val="1"/>
          <w:bCs w:val="1"/>
          <w:color w:val="auto"/>
        </w:rPr>
      </w:pPr>
    </w:p>
    <w:p>
      <w:pPr>
        <w:ind w:left="5540" w:hanging="101"/>
        <w:spacing w:after="0"/>
        <w:tabs>
          <w:tab w:leader="none" w:pos="5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34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(FORMERLY ARRIVE TECHNOLOGY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134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40" w:right="6300" w:hanging="634"/>
        <w:spacing w:after="0" w:line="492" w:lineRule="auto"/>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(Continued) </w:t>
      </w:r>
      <w:r>
        <w:rPr>
          <w:rFonts w:ascii="Times New Roman" w:cs="Times New Roman" w:eastAsia="Times New Roman" w:hAnsi="Times New Roman"/>
          <w:sz w:val="18"/>
          <w:szCs w:val="18"/>
          <w:u w:val="single" w:color="auto"/>
          <w:color w:val="auto"/>
        </w:rPr>
        <w:t>Income Taxes</w:t>
      </w:r>
    </w:p>
    <w:p>
      <w:pPr>
        <w:spacing w:after="0" w:line="1" w:lineRule="exact"/>
        <w:rPr>
          <w:rFonts w:ascii="Times New Roman" w:cs="Times New Roman" w:eastAsia="Times New Roman" w:hAnsi="Times New Roman"/>
          <w:sz w:val="18"/>
          <w:szCs w:val="18"/>
          <w:b w:val="1"/>
          <w:bCs w:val="1"/>
          <w:color w:val="auto"/>
        </w:rPr>
      </w:pPr>
    </w:p>
    <w:p>
      <w:pPr>
        <w:jc w:val="both"/>
        <w:ind w:left="6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5" w:lineRule="exact"/>
        <w:rPr>
          <w:rFonts w:ascii="Times New Roman" w:cs="Times New Roman" w:eastAsia="Times New Roman" w:hAnsi="Times New Roman"/>
          <w:sz w:val="18"/>
          <w:szCs w:val="18"/>
          <w:b w:val="1"/>
          <w:bCs w:val="1"/>
          <w:color w:val="auto"/>
        </w:rPr>
      </w:pPr>
    </w:p>
    <w:p>
      <w:pPr>
        <w:jc w:val="both"/>
        <w:ind w:left="6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valuation allowance is recorded for deferred tax assets if it is more likely than not that some portion or all of the deferred tax assets will not be realized. As of March 31, 2025 and 2024, the Company has recorded a full valuation allowance against its deferred tax assets. The Company evaluates uncertain income tax positions in order to determine if it is more likely than not that they would be sustained upon examination.</w:t>
      </w:r>
    </w:p>
    <w:p>
      <w:pPr>
        <w:spacing w:after="0" w:line="177" w:lineRule="exact"/>
        <w:rPr>
          <w:rFonts w:ascii="Times New Roman" w:cs="Times New Roman" w:eastAsia="Times New Roman" w:hAnsi="Times New Roman"/>
          <w:sz w:val="18"/>
          <w:szCs w:val="18"/>
          <w:b w:val="1"/>
          <w:bCs w:val="1"/>
          <w:color w:val="auto"/>
        </w:rPr>
      </w:pPr>
    </w:p>
    <w:p>
      <w:pPr>
        <w:ind w:left="640" w:right="2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the Company was incorporated in 2020, the Company’s Federal and State income tax returns for all years of operation are subject to examination by the Internal Revenue Service.</w:t>
      </w:r>
    </w:p>
    <w:p>
      <w:pPr>
        <w:spacing w:after="0" w:line="163"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Fair Value Measurements</w:t>
      </w:r>
    </w:p>
    <w:p>
      <w:pPr>
        <w:spacing w:after="0" w:line="217" w:lineRule="exact"/>
        <w:rPr>
          <w:rFonts w:ascii="Times New Roman" w:cs="Times New Roman" w:eastAsia="Times New Roman" w:hAnsi="Times New Roman"/>
          <w:sz w:val="18"/>
          <w:szCs w:val="18"/>
          <w:b w:val="1"/>
          <w:bCs w:val="1"/>
          <w:color w:val="auto"/>
        </w:rPr>
      </w:pPr>
    </w:p>
    <w:p>
      <w:pPr>
        <w:jc w:val="both"/>
        <w:ind w:left="6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accounting is applied for all assets and liabilities and non-financial assets and liabilities that are recognized or disclosed at fair value in the financial statements on a recurring basis (at least annually).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The Company follows established frameworks for measuring fair value and expands disclosures about fair value measurements (Note 5).</w:t>
      </w:r>
    </w:p>
    <w:p>
      <w:pPr>
        <w:spacing w:after="0" w:line="185"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Recently Adopted Accounting Guidance</w:t>
      </w:r>
    </w:p>
    <w:p>
      <w:pPr>
        <w:spacing w:after="0" w:line="217" w:lineRule="exact"/>
        <w:rPr>
          <w:rFonts w:ascii="Times New Roman" w:cs="Times New Roman" w:eastAsia="Times New Roman" w:hAnsi="Times New Roman"/>
          <w:sz w:val="18"/>
          <w:szCs w:val="18"/>
          <w:b w:val="1"/>
          <w:bCs w:val="1"/>
          <w:color w:val="auto"/>
        </w:rPr>
      </w:pPr>
    </w:p>
    <w:p>
      <w:pPr>
        <w:jc w:val="both"/>
        <w:ind w:left="6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Improvements to Reportable Segment Disclosures (“ASU 2023-07”), which requires incremental disclosures about reportable segments but does not change the definition of a segment or the guidance for determining reportable segments. The requirements are effective for annual reporting periods beginning on January 1, 2024, and are required to be applied retrospectively. The Company has adopted the additional disclosure requirements under ASU 2023-07. The additional requirements did not have a material impact on the financial statements.</w:t>
      </w:r>
    </w:p>
    <w:p>
      <w:pPr>
        <w:spacing w:after="0" w:line="185" w:lineRule="exact"/>
        <w:rPr>
          <w:rFonts w:ascii="Times New Roman" w:cs="Times New Roman" w:eastAsia="Times New Roman" w:hAnsi="Times New Roman"/>
          <w:sz w:val="18"/>
          <w:szCs w:val="18"/>
          <w:b w:val="1"/>
          <w:bCs w:val="1"/>
          <w:color w:val="auto"/>
        </w:rPr>
      </w:pPr>
    </w:p>
    <w:p>
      <w:pPr>
        <w:ind w:left="5540" w:hanging="101"/>
        <w:spacing w:after="0"/>
        <w:tabs>
          <w:tab w:leader="none" w:pos="5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34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(FORMERLY ARRIVE TECHNOLOGY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134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REPORTING</w:t>
      </w:r>
    </w:p>
    <w:p>
      <w:pPr>
        <w:spacing w:after="0" w:line="219"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The Company’s principal business is described in Note 1. The Company has determined that it operates in a single operating and reportable segment. The Company’s Chief Financial Officer is designated as the chief operating decision maker (“CODM”). The CODM manages operations and reviews the financial information as a single operating segment at the entity level for the purposes of allocating resources and evaluating its financial performance.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GOING CONCERN</w:t>
      </w:r>
    </w:p>
    <w:p>
      <w:pPr>
        <w:spacing w:after="0" w:line="219"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The Company’s financial statements have been prepared on a going concern basis, which contemplates the realization of assets and satisfaction of liabilities in the normal course of business. The financial statements do not include any adjustment relating to recoverability and classification of recorded amounts of assets and liabilities that might be necessary should the Company be unable to continue as a going concern.</w:t>
      </w:r>
    </w:p>
    <w:p>
      <w:pPr>
        <w:spacing w:after="0" w:line="178"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The Company has a minimum cash balance available for payment of ongoing operating expenses. As of March 31, 2025, the Company has an accumulated deficit of $17,898,720 and a net loss for the current period of $(1,978,165). These conditions raise substantial doubt about the Company’s ability to continue as a going concern for a period of twelve months from the issuance date of this report.</w:t>
      </w:r>
    </w:p>
    <w:p>
      <w:pPr>
        <w:spacing w:after="0" w:line="178"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The Company’s continued existence is dependent upon its ability to continue to execute its operating plan and to obtain additional debt or equity financing. There can be no assurance that the necessary debt or equity financing will be available or will be available on terms acceptable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19"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w:t>
      </w:r>
    </w:p>
    <w:p>
      <w:pPr>
        <w:spacing w:after="0" w:line="180"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178" w:lineRule="exact"/>
        <w:rPr>
          <w:sz w:val="20"/>
          <w:szCs w:val="20"/>
          <w:color w:val="auto"/>
        </w:rPr>
      </w:pPr>
    </w:p>
    <w:p>
      <w:pPr>
        <w:ind w:left="960"/>
        <w:spacing w:after="0" w:line="274" w:lineRule="auto"/>
        <w:rPr>
          <w:sz w:val="20"/>
          <w:szCs w:val="20"/>
          <w:color w:val="auto"/>
        </w:rPr>
      </w:pPr>
      <w:r>
        <w:rPr>
          <w:rFonts w:ascii="Times New Roman" w:cs="Times New Roman" w:eastAsia="Times New Roman" w:hAnsi="Times New Roman"/>
          <w:sz w:val="18"/>
          <w:szCs w:val="18"/>
          <w:color w:val="auto"/>
        </w:rPr>
        <w:t>Level 1: Inputs to the valuation methodology are unadjusted quoted prices for identical assets or liabilities in active markets that the Plan has the ability to access at the measurement date.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34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(FORMERLY ARRIVE TECHNOLOGY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134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40" w:hanging="634"/>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(Continued)</w:t>
      </w:r>
    </w:p>
    <w:p>
      <w:pPr>
        <w:spacing w:after="0" w:line="219" w:lineRule="exact"/>
        <w:rPr>
          <w:sz w:val="20"/>
          <w:szCs w:val="20"/>
          <w:color w:val="auto"/>
        </w:rPr>
      </w:pPr>
    </w:p>
    <w:p>
      <w:pPr>
        <w:ind w:left="960"/>
        <w:spacing w:after="0" w:line="274" w:lineRule="auto"/>
        <w:rPr>
          <w:sz w:val="20"/>
          <w:szCs w:val="20"/>
          <w:color w:val="auto"/>
        </w:rPr>
      </w:pPr>
      <w:r>
        <w:rPr>
          <w:rFonts w:ascii="Times New Roman" w:cs="Times New Roman" w:eastAsia="Times New Roman" w:hAnsi="Times New Roman"/>
          <w:sz w:val="18"/>
          <w:szCs w:val="18"/>
          <w:color w:val="auto"/>
        </w:rPr>
        <w:t>Level 2: Inputs to the valuation methodology other than quoted prices included within Level 1 that are observable for the asset or liability, either directly or indirectly, such as:</w:t>
      </w:r>
    </w:p>
    <w:p>
      <w:pPr>
        <w:spacing w:after="0" w:line="163" w:lineRule="exact"/>
        <w:rPr>
          <w:sz w:val="20"/>
          <w:szCs w:val="20"/>
          <w:color w:val="auto"/>
        </w:rPr>
      </w:pPr>
    </w:p>
    <w:p>
      <w:pPr>
        <w:ind w:left="1920" w:hanging="642"/>
        <w:spacing w:after="0"/>
        <w:tabs>
          <w:tab w:leader="none" w:pos="1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4" w:lineRule="exact"/>
        <w:rPr>
          <w:rFonts w:ascii="Times New Roman" w:cs="Times New Roman" w:eastAsia="Times New Roman" w:hAnsi="Times New Roman"/>
          <w:sz w:val="18"/>
          <w:szCs w:val="18"/>
          <w:color w:val="auto"/>
        </w:rPr>
      </w:pPr>
    </w:p>
    <w:p>
      <w:pPr>
        <w:ind w:left="1920" w:hanging="642"/>
        <w:spacing w:after="0"/>
        <w:tabs>
          <w:tab w:leader="none" w:pos="1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inactive markets,</w:t>
      </w:r>
    </w:p>
    <w:p>
      <w:pPr>
        <w:spacing w:after="0" w:line="5" w:lineRule="exact"/>
        <w:rPr>
          <w:rFonts w:ascii="Times New Roman" w:cs="Times New Roman" w:eastAsia="Times New Roman" w:hAnsi="Times New Roman"/>
          <w:sz w:val="18"/>
          <w:szCs w:val="18"/>
          <w:color w:val="auto"/>
        </w:rPr>
      </w:pPr>
    </w:p>
    <w:p>
      <w:pPr>
        <w:ind w:left="1920" w:hanging="642"/>
        <w:spacing w:after="0"/>
        <w:tabs>
          <w:tab w:leader="none" w:pos="1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 and</w:t>
      </w:r>
    </w:p>
    <w:p>
      <w:pPr>
        <w:spacing w:after="0" w:line="5" w:lineRule="exact"/>
        <w:rPr>
          <w:rFonts w:ascii="Times New Roman" w:cs="Times New Roman" w:eastAsia="Times New Roman" w:hAnsi="Times New Roman"/>
          <w:sz w:val="18"/>
          <w:szCs w:val="18"/>
          <w:color w:val="auto"/>
        </w:rPr>
      </w:pPr>
    </w:p>
    <w:p>
      <w:pPr>
        <w:ind w:left="1920" w:hanging="642"/>
        <w:spacing w:after="0"/>
        <w:tabs>
          <w:tab w:leader="none" w:pos="1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If the asset or liability has a specified (contractual) term, the Level 2 input must be observable for substantially the full term of the asset or liability.</w:t>
      </w:r>
    </w:p>
    <w:p>
      <w:pPr>
        <w:spacing w:after="0" w:line="22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Level 3: Inputs to the valuation methodology are unobservable and significant to the fair value measurement.</w:t>
      </w:r>
    </w:p>
    <w:p>
      <w:pPr>
        <w:spacing w:after="0" w:line="217"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 level input that is significant to the fair value measurement in its entirety. The financial statements as of and for the three months ended March 31, 2025 and 2024, do not include any nonrecurring fair value measurements relating to assets or liabilities. The Company measures the warrants using Level 3 unobservable inputs within the Black-Scholes pricing model, as described in Note 2. The Company used various key assumptions, such as the fair value of the common stock, volatility, the risk-free interest rate, and expected term (remaining contractual term of the warrants).</w:t>
      </w:r>
    </w:p>
    <w:p>
      <w:pPr>
        <w:sectPr>
          <w:pgSz w:w="11900" w:h="16838" w:orient="portrait"/>
          <w:cols w:equalWidth="0" w:num="1">
            <w:col w:w="11240"/>
          </w:cols>
          <w:pgMar w:left="320" w:top="676"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219" w:lineRule="exact"/>
        <w:rPr>
          <w:sz w:val="20"/>
          <w:szCs w:val="20"/>
          <w:color w:val="auto"/>
        </w:rPr>
      </w:pPr>
    </w:p>
    <w:p>
      <w:pPr>
        <w:jc w:val="right"/>
        <w:ind w:right="230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Vehicle</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Equipment</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Construction in progress</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Total property and equipment</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Less: accumulated depreciation</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TOTAL 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203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spacing w:after="0" w:line="210" w:lineRule="exact"/>
        <w:rPr>
          <w:sz w:val="20"/>
          <w:szCs w:val="20"/>
          <w:color w:val="auto"/>
        </w:rPr>
      </w:pPr>
    </w:p>
    <w:p>
      <w:pPr>
        <w:ind w:left="1300" w:hanging="1299"/>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58,443</w:t>
      </w:r>
    </w:p>
    <w:p>
      <w:pPr>
        <w:spacing w:after="0" w:line="24"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w:t>
      </w:r>
    </w:p>
    <w:p>
      <w:pPr>
        <w:spacing w:after="0" w:line="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-400685</wp:posOffset>
            </wp:positionV>
            <wp:extent cx="6630035" cy="134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30035" cy="134620"/>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-131445</wp:posOffset>
            </wp:positionV>
            <wp:extent cx="6630035" cy="151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30035" cy="151765"/>
                    </a:xfrm>
                    <a:prstGeom prst="rect">
                      <a:avLst/>
                    </a:prstGeom>
                    <a:noFill/>
                  </pic:spPr>
                </pic:pic>
              </a:graphicData>
            </a:graphic>
          </wp:anchor>
        </w:drawing>
      </w:r>
    </w:p>
    <w:p>
      <w:pPr>
        <w:spacing w:after="0" w:line="20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149,430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-119380</wp:posOffset>
            </wp:positionV>
            <wp:extent cx="6630035" cy="134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30035" cy="134620"/>
                    </a:xfrm>
                    <a:prstGeom prst="rect">
                      <a:avLst/>
                    </a:prstGeom>
                    <a:noFill/>
                  </pic:spPr>
                </pic:pic>
              </a:graphicData>
            </a:graphic>
          </wp:anchor>
        </w:drawing>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(58,262)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10795</wp:posOffset>
            </wp:positionV>
            <wp:extent cx="6630035" cy="142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30035" cy="142875"/>
                    </a:xfrm>
                    <a:prstGeom prst="rect">
                      <a:avLst/>
                    </a:prstGeom>
                    <a:noFill/>
                  </pic:spPr>
                </pic:pic>
              </a:graphicData>
            </a:graphic>
          </wp:anchor>
        </w:drawing>
      </w:r>
    </w:p>
    <w:p>
      <w:pPr>
        <w:spacing w:after="0" w:line="231" w:lineRule="exact"/>
        <w:rPr>
          <w:sz w:val="20"/>
          <w:szCs w:val="20"/>
          <w:color w:val="auto"/>
        </w:rPr>
      </w:pPr>
    </w:p>
    <w:p>
      <w:pPr>
        <w:ind w:left="1300" w:hanging="1299"/>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136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3601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31750</wp:posOffset>
            </wp:positionV>
            <wp:extent cx="1136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779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77925" cy="8255"/>
                    </a:xfrm>
                    <a:prstGeom prst="rect">
                      <a:avLst/>
                    </a:prstGeom>
                    <a:noFill/>
                  </pic:spPr>
                </pic:pic>
              </a:graphicData>
            </a:graphic>
          </wp:anchor>
        </w:drawing>
      </w:r>
    </w:p>
    <w:p>
      <w:pPr>
        <w:spacing w:after="0" w:line="210" w:lineRule="exact"/>
        <w:rPr>
          <w:sz w:val="20"/>
          <w:szCs w:val="20"/>
          <w:color w:val="auto"/>
        </w:rPr>
      </w:pPr>
    </w:p>
    <w:p>
      <w:pPr>
        <w:ind w:left="1280" w:hanging="1272"/>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58,443</w:t>
      </w:r>
    </w:p>
    <w:p>
      <w:pPr>
        <w:spacing w:after="0" w:line="24" w:lineRule="exact"/>
        <w:rPr>
          <w:rFonts w:ascii="Times New Roman" w:cs="Times New Roman" w:eastAsia="Times New Roman" w:hAnsi="Times New Roman"/>
          <w:sz w:val="18"/>
          <w:szCs w:val="18"/>
          <w:color w:val="auto"/>
        </w:rPr>
      </w:pP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w:t>
      </w:r>
    </w:p>
    <w:p>
      <w:pPr>
        <w:spacing w:after="0" w:line="5" w:lineRule="exact"/>
        <w:rPr>
          <w:rFonts w:ascii="Times New Roman" w:cs="Times New Roman" w:eastAsia="Times New Roman" w:hAnsi="Times New Roman"/>
          <w:sz w:val="18"/>
          <w:szCs w:val="18"/>
          <w:color w:val="auto"/>
        </w:rPr>
      </w:pP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1188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20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146,598</w:t>
      </w:r>
    </w:p>
    <w:p>
      <w:pPr>
        <w:spacing w:after="0" w:line="24"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(51,173)</w:t>
      </w:r>
    </w:p>
    <w:p>
      <w:pPr>
        <w:spacing w:after="0" w:line="251" w:lineRule="exact"/>
        <w:rPr>
          <w:sz w:val="20"/>
          <w:szCs w:val="20"/>
          <w:color w:val="auto"/>
        </w:rPr>
      </w:pPr>
    </w:p>
    <w:p>
      <w:pPr>
        <w:ind w:left="1280" w:hanging="1272"/>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188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8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11188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400" w:space="720"/>
            <w:col w:w="1840" w:space="260"/>
            <w:col w:w="2020"/>
          </w:cols>
          <w:pgMar w:left="320" w:top="676" w:right="339" w:bottom="1440" w:gutter="0" w:footer="0" w:header="0"/>
          <w:type w:val="continuous"/>
        </w:sectPr>
      </w:pP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For the three months ended March 31, 2025 and 2024, total depreciation expense was $7,089 and $7,096, respectively.</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34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(FORMERLY ARRIVE TECHNOLOGY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134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PREPAID EXPENSES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64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Pr>
          <w:p>
            <w:pPr>
              <w:spacing w:after="0"/>
              <w:rPr>
                <w:sz w:val="24"/>
                <w:szCs w:val="24"/>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570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Prepaid payroll wages</w:t>
            </w: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38,271</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38,271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5,562</w:t>
            </w:r>
          </w:p>
        </w:tc>
        <w:tc>
          <w:tcPr>
            <w:tcW w:w="10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10,017</w:t>
            </w: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 and other</w:t>
            </w: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4,953</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7,579</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EXPENSES</w:t>
            </w:r>
          </w:p>
        </w:tc>
        <w:tc>
          <w:tcPr>
            <w:tcW w:w="118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48,786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55,867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7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DEFERRED OFFERING COSTS</w:t>
            </w: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34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18"/>
          <w:szCs w:val="18"/>
          <w:color w:val="auto"/>
        </w:rPr>
        <w:t>Pursuant to ASC 340-10-S99-1, costs directly attributable to an offering of equity securities are deferred and would be charged against the gross proceeds of the offering as a reduction of additional paid-in capital. Deferred offering costs consist of underwriting, legal, accounting, and other expenses incurred through the balance sheet date that are directly related to the proposed public offering. Should the proposed public offering prove to be unsuccessful, these deferred costs, as well as additional expenses to be incurred, will be expensed. The Company filed its S-1 Registration Statement on December 23, 2024 and an amended S-1/A on January 27, 2025. The Company is working to resolve all remaining inquiries before the registration can become effective. During the three months ended March 31, 2025, the Company issued 532,913 shares of common stock in exchange for investment banking advisory services, which was recorded as deferred offering costs.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PATENTS, NET</w:t>
            </w:r>
          </w:p>
        </w:tc>
        <w:tc>
          <w:tcPr>
            <w:tcW w:w="2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4"/>
        </w:trPr>
        <w:tc>
          <w:tcPr>
            <w:tcW w:w="64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Patents consist of the following:</w:t>
            </w:r>
          </w:p>
        </w:tc>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6"/>
        </w:trPr>
        <w:tc>
          <w:tcPr>
            <w:tcW w:w="6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Pr>
          <w:p>
            <w:pPr>
              <w:spacing w:after="0"/>
              <w:rPr>
                <w:sz w:val="24"/>
                <w:szCs w:val="24"/>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December 31, 2024</w:t>
            </w:r>
          </w:p>
        </w:tc>
      </w:tr>
      <w:tr>
        <w:trPr>
          <w:trHeight w:val="205"/>
        </w:trPr>
        <w:tc>
          <w:tcPr>
            <w:tcW w:w="6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25"/>
        </w:trPr>
        <w:tc>
          <w:tcPr>
            <w:tcW w:w="64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274,700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274,700</w:t>
            </w:r>
          </w:p>
        </w:tc>
      </w:tr>
      <w:tr>
        <w:trPr>
          <w:trHeight w:val="205"/>
        </w:trPr>
        <w:tc>
          <w:tcPr>
            <w:tcW w:w="640" w:type="dxa"/>
            <w:vAlign w:val="bottom"/>
          </w:tcPr>
          <w:p>
            <w:pPr>
              <w:spacing w:after="0"/>
              <w:rPr>
                <w:sz w:val="17"/>
                <w:szCs w:val="17"/>
                <w:color w:val="auto"/>
              </w:rPr>
            </w:pPr>
          </w:p>
        </w:tc>
        <w:tc>
          <w:tcPr>
            <w:tcW w:w="448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Total patents</w:t>
            </w:r>
          </w:p>
        </w:tc>
        <w:tc>
          <w:tcPr>
            <w:tcW w:w="2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274,700</w:t>
            </w: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274,700</w:t>
            </w:r>
          </w:p>
        </w:tc>
        <w:tc>
          <w:tcPr>
            <w:tcW w:w="80" w:type="dxa"/>
            <w:vAlign w:val="bottom"/>
          </w:tcPr>
          <w:p>
            <w:pPr>
              <w:spacing w:after="0"/>
              <w:rPr>
                <w:sz w:val="17"/>
                <w:szCs w:val="17"/>
                <w:color w:val="auto"/>
              </w:rPr>
            </w:pPr>
          </w:p>
        </w:tc>
      </w:tr>
      <w:tr>
        <w:trPr>
          <w:trHeight w:val="225"/>
        </w:trPr>
        <w:tc>
          <w:tcPr>
            <w:tcW w:w="64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(1,099)</w:t>
            </w:r>
          </w:p>
        </w:tc>
      </w:tr>
      <w:tr>
        <w:trPr>
          <w:trHeight w:val="205"/>
        </w:trPr>
        <w:tc>
          <w:tcPr>
            <w:tcW w:w="6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9"/>
        </w:trPr>
        <w:tc>
          <w:tcPr>
            <w:tcW w:w="64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PATENTS</w:t>
            </w:r>
          </w:p>
        </w:tc>
        <w:tc>
          <w:tcPr>
            <w:tcW w:w="2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273,299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273,601</w:t>
            </w:r>
          </w:p>
        </w:tc>
      </w:tr>
      <w:tr>
        <w:trPr>
          <w:trHeight w:val="20"/>
        </w:trPr>
        <w:tc>
          <w:tcPr>
            <w:tcW w:w="64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As of March 31, 2025, five (5) of the Company’s sixty-two (62) patents were approved and began being amortized over twenty years. As of March 31, 2024, three (3) of the Company’s forty-six (46) patents were approved by the countries in which the patent applications were filed. Amortization expense was $302 and $159 for the three months ended March 31, 2025 and 2024, respectively.</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34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(FORMERLY ARRIVE TECHNOLOGY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134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NOTE PAYABLE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640" w:type="dxa"/>
            <w:vAlign w:val="bottom"/>
          </w:tcPr>
          <w:p>
            <w:pPr>
              <w:spacing w:after="0"/>
              <w:rPr>
                <w:sz w:val="24"/>
                <w:szCs w:val="2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Note payable consists of the following:</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4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March 31, 2025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0" w:type="dxa"/>
            <w:vAlign w:val="bottom"/>
          </w:tcPr>
          <w:p>
            <w:pPr>
              <w:spacing w:after="0"/>
              <w:rPr>
                <w:sz w:val="1"/>
                <w:szCs w:val="1"/>
                <w:color w:val="auto"/>
              </w:rPr>
            </w:pPr>
          </w:p>
        </w:tc>
      </w:tr>
      <w:tr>
        <w:trPr>
          <w:trHeight w:val="174"/>
        </w:trPr>
        <w:tc>
          <w:tcPr>
            <w:tcW w:w="640" w:type="dxa"/>
            <w:vAlign w:val="bottom"/>
          </w:tcPr>
          <w:p>
            <w:pPr>
              <w:spacing w:after="0"/>
              <w:rPr>
                <w:sz w:val="15"/>
                <w:szCs w:val="15"/>
                <w:color w:val="auto"/>
              </w:rPr>
            </w:pPr>
          </w:p>
        </w:tc>
        <w:tc>
          <w:tcPr>
            <w:tcW w:w="6540" w:type="dxa"/>
            <w:vAlign w:val="bottom"/>
            <w:tcBorders>
              <w:top w:val="single" w:sz="8" w:color="CCEEFF"/>
            </w:tcBorders>
            <w:shd w:val="clear" w:color="auto" w:fill="CCEEFF"/>
          </w:tcPr>
          <w:p>
            <w:pPr>
              <w:ind w:left="180"/>
              <w:spacing w:after="0" w:line="174" w:lineRule="exact"/>
              <w:rPr>
                <w:sz w:val="20"/>
                <w:szCs w:val="20"/>
                <w:color w:val="auto"/>
              </w:rPr>
            </w:pPr>
            <w:r>
              <w:rPr>
                <w:rFonts w:ascii="Times New Roman" w:cs="Times New Roman" w:eastAsia="Times New Roman" w:hAnsi="Times New Roman"/>
                <w:sz w:val="18"/>
                <w:szCs w:val="18"/>
                <w:color w:val="auto"/>
                <w:w w:val="99"/>
              </w:rPr>
              <w:t>Vehicle note payable for $40,248 with monthly installment payments of $799, including</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at 6.99% per annum. The loan is collateralized by the respective vehicle and is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in February 2027.</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17,007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19,082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(8,674)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(8,524)</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40" w:type="dxa"/>
            <w:vAlign w:val="bottom"/>
          </w:tcPr>
          <w:p>
            <w:pPr>
              <w:spacing w:after="0"/>
              <w:rPr>
                <w:sz w:val="20"/>
                <w:szCs w:val="20"/>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8,333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10,558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balance of the above debt matures as follows:</w:t>
            </w: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40" w:type="dxa"/>
            <w:vAlign w:val="bottom"/>
          </w:tcPr>
          <w:p>
            <w:pPr>
              <w:spacing w:after="0"/>
              <w:rPr>
                <w:sz w:val="24"/>
                <w:szCs w:val="24"/>
                <w:color w:val="auto"/>
              </w:rPr>
            </w:pPr>
          </w:p>
        </w:tc>
        <w:tc>
          <w:tcPr>
            <w:tcW w:w="6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 w:type="dxa"/>
            <w:vAlign w:val="bottom"/>
          </w:tcPr>
          <w:p>
            <w:pPr>
              <w:spacing w:after="0"/>
              <w:rPr>
                <w:sz w:val="24"/>
                <w:szCs w:val="24"/>
                <w:color w:val="auto"/>
              </w:rPr>
            </w:pPr>
          </w:p>
        </w:tc>
        <w:tc>
          <w:tcPr>
            <w:tcW w:w="654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Twelve Months Ending</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654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March 31,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654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8,674</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6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Interest expense related to this note payable for the three months ended March 31, 2025 and 2024, was $321 and $461,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19"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18"/>
          <w:szCs w:val="18"/>
          <w:color w:val="auto"/>
        </w:rPr>
        <w:t>On January 29, 2024, the Company was included in the SEC Form F-4 filed by Brüush Oral Care, Inc. (Bruush) to register the intent of the parties to merge into a new public company, per the signed Merger Agreement of December 15, 2024. Bruush failed to remedy several deficiencies cited by Nasdaq in a timely manner, and was officially de-listed from the Nasdaq exchange on or about June 28, 2024. As a direct consequence of the delisting of Bruush shares, the merger was terminated. The terms of the merger included a termination fee of $250,000 in the event either party caused the termination. The Company assessed the collection of the termination fee as not probable, thus a receivable has not been recorded.</w:t>
      </w:r>
    </w:p>
    <w:p>
      <w:pPr>
        <w:spacing w:after="0" w:line="185"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18"/>
          <w:szCs w:val="18"/>
          <w:color w:val="auto"/>
        </w:rPr>
        <w:t>On March 21, 2025, the Company entered into a Securities Purchase Agreement (the “Securities Purchase Agreement”) with an investor. Under the Securities Purchase Agreement, the investor agrees to purchase an amount of up to $40,000,000 in pre-paid purchases of the Company’s common stock, $0.0002 par value per share. The original principal amount is a $4,330,000 pre-paid purchase with a $4,000,000 initial purchase price and $320,000 original issue discount. In addition, the Company agrees to pay $10,000 to cover the investor’s transaction expenses, along with 62,500 shares of common stock issued as a commitment fee at closing.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34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(FORMERLY ARRIVE TECHNOLOGY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134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40" w:right="6260" w:hanging="634"/>
        <w:spacing w:after="0" w:line="492" w:lineRule="auto"/>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(Continued) </w:t>
      </w:r>
      <w:r>
        <w:rPr>
          <w:rFonts w:ascii="Times New Roman" w:cs="Times New Roman" w:eastAsia="Times New Roman" w:hAnsi="Times New Roman"/>
          <w:sz w:val="18"/>
          <w:szCs w:val="18"/>
          <w:u w:val="single" w:color="auto"/>
          <w:color w:val="auto"/>
        </w:rPr>
        <w:t>Lease Obligation</w:t>
      </w:r>
    </w:p>
    <w:p>
      <w:pPr>
        <w:spacing w:after="0" w:line="1" w:lineRule="exact"/>
        <w:rPr>
          <w:rFonts w:ascii="Times New Roman" w:cs="Times New Roman" w:eastAsia="Times New Roman" w:hAnsi="Times New Roman"/>
          <w:sz w:val="18"/>
          <w:szCs w:val="18"/>
          <w:b w:val="1"/>
          <w:bCs w:val="1"/>
          <w:color w:val="auto"/>
        </w:rPr>
      </w:pPr>
    </w:p>
    <w:p>
      <w:pPr>
        <w:jc w:val="both"/>
        <w:ind w:left="6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April 1, 2024, the Company expanded its leased office space. The new term is nine months, and thereafter a month-to-month lease which can be canceled with a 90-day written notice and agreement to suitable terms by both parties. Under this lease, base rent is $3,600 per month. The Company is required to pay insurance, listing the property owner as an additional insured, and normal maintenance costs for certain of this leased property. Additionally, the Company rents a warehouse from an officer and shareholder for $2,250 per month on a month-to-month basis.</w:t>
      </w:r>
    </w:p>
    <w:p>
      <w:pPr>
        <w:spacing w:after="0" w:line="178" w:lineRule="exact"/>
        <w:rPr>
          <w:rFonts w:ascii="Times New Roman" w:cs="Times New Roman" w:eastAsia="Times New Roman" w:hAnsi="Times New Roman"/>
          <w:sz w:val="18"/>
          <w:szCs w:val="18"/>
          <w:b w:val="1"/>
          <w:bCs w:val="1"/>
          <w:color w:val="auto"/>
        </w:rPr>
      </w:pPr>
    </w:p>
    <w:p>
      <w:pPr>
        <w:jc w:val="both"/>
        <w:ind w:left="6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Under FASB ASU No. 2016-02, </w:t>
      </w:r>
      <w:r>
        <w:rPr>
          <w:rFonts w:ascii="Times New Roman" w:cs="Times New Roman" w:eastAsia="Times New Roman" w:hAnsi="Times New Roman"/>
          <w:sz w:val="18"/>
          <w:szCs w:val="18"/>
          <w:i w:val="1"/>
          <w:iCs w:val="1"/>
          <w:color w:val="auto"/>
        </w:rPr>
        <w:t>Topic 842, Leases</w:t>
      </w:r>
      <w:r>
        <w:rPr>
          <w:rFonts w:ascii="Times New Roman" w:cs="Times New Roman" w:eastAsia="Times New Roman" w:hAnsi="Times New Roman"/>
          <w:sz w:val="18"/>
          <w:szCs w:val="18"/>
          <w:color w:val="auto"/>
        </w:rPr>
        <w:t>, allows companies to elect certain policies for short-term leases. To qualify as a short-term lease, a lease must have an initial term of 12 months or less and not include renewal options or a purchase option that the lessee is reasonably certain to exercise.</w:t>
      </w:r>
    </w:p>
    <w:p>
      <w:pPr>
        <w:spacing w:after="0" w:line="174"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Litigation</w:t>
      </w:r>
    </w:p>
    <w:p>
      <w:pPr>
        <w:spacing w:after="0" w:line="217" w:lineRule="exact"/>
        <w:rPr>
          <w:rFonts w:ascii="Times New Roman" w:cs="Times New Roman" w:eastAsia="Times New Roman" w:hAnsi="Times New Roman"/>
          <w:sz w:val="18"/>
          <w:szCs w:val="18"/>
          <w:b w:val="1"/>
          <w:bCs w:val="1"/>
          <w:color w:val="auto"/>
        </w:rPr>
      </w:pPr>
    </w:p>
    <w:p>
      <w:pPr>
        <w:jc w:val="both"/>
        <w:ind w:left="6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 to time, the Company may become involved in various legal proceedings in the ordinary course of its business and may be subject to third-party infringement claims. In the normal course of business, the Company may agree to indemnify third parties with whom it enters into contractual relationships, including customers, lessors, and parties to other transactions with the Company, with respect to certain matters.</w:t>
      </w:r>
    </w:p>
    <w:p>
      <w:pPr>
        <w:spacing w:after="0" w:line="177" w:lineRule="exact"/>
        <w:rPr>
          <w:rFonts w:ascii="Times New Roman" w:cs="Times New Roman" w:eastAsia="Times New Roman" w:hAnsi="Times New Roman"/>
          <w:sz w:val="18"/>
          <w:szCs w:val="18"/>
          <w:b w:val="1"/>
          <w:bCs w:val="1"/>
          <w:color w:val="auto"/>
        </w:rPr>
      </w:pPr>
    </w:p>
    <w:p>
      <w:pPr>
        <w:jc w:val="both"/>
        <w:ind w:left="640"/>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 indemnification claims and the unique facts and circumstances that are likely to be involved in each particular claim. On February 7, 2024, the Company entered into a settlement agreement to resolve a long-standing dispute. The settlement relates to a case brought against the Company’s CEO in 2020, prior to the formation of the Company, by a contractor hired to perform certain services for the Company. As a result of the agreement, a payment of $18,500 was made in exchange for full settlement and mutual release of all claims in the matter.</w:t>
      </w:r>
    </w:p>
    <w:p>
      <w:pPr>
        <w:spacing w:after="0" w:line="188" w:lineRule="exact"/>
        <w:rPr>
          <w:rFonts w:ascii="Times New Roman" w:cs="Times New Roman" w:eastAsia="Times New Roman" w:hAnsi="Times New Roman"/>
          <w:sz w:val="18"/>
          <w:szCs w:val="18"/>
          <w:b w:val="1"/>
          <w:bCs w:val="1"/>
          <w:color w:val="auto"/>
        </w:rPr>
      </w:pPr>
    </w:p>
    <w:p>
      <w:pPr>
        <w:ind w:left="280" w:hanging="274"/>
        <w:spacing w:after="0"/>
        <w:tabs>
          <w:tab w:leader="none" w:pos="2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219" w:lineRule="exact"/>
        <w:rPr>
          <w:sz w:val="20"/>
          <w:szCs w:val="20"/>
          <w:color w:val="auto"/>
        </w:rPr>
      </w:pPr>
    </w:p>
    <w:p>
      <w:pPr>
        <w:jc w:val="both"/>
        <w:ind w:left="640"/>
        <w:spacing w:after="0" w:line="274" w:lineRule="auto"/>
        <w:rPr>
          <w:sz w:val="20"/>
          <w:szCs w:val="20"/>
          <w:color w:val="auto"/>
        </w:rPr>
      </w:pPr>
      <w:r>
        <w:rPr>
          <w:rFonts w:ascii="Times New Roman" w:cs="Times New Roman" w:eastAsia="Times New Roman" w:hAnsi="Times New Roman"/>
          <w:sz w:val="17"/>
          <w:szCs w:val="17"/>
          <w:color w:val="auto"/>
        </w:rPr>
        <w:t>On May 26, 2020, the Company entered into a 3-year agreement with a stockholder of the Company for the use of a patent. Beginning June 1, 2020, the Company began paying the stockholder a monthly license fee of $10,000. Once revenue from sales, rentals, and leases begins, the Company is required to pay $25.00 per unit sold. If the Company does not sell 400 units per month (or $10,000), the original fixed $10,000 is paid. Accordingly, for the three months ended March 31, 2025 and 2024, the Company recorded licensing fee costs in the amount of $30,000 each period.</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34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(FORMERLY ARRIVE TECHNOLOGY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134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20" w:hanging="614"/>
        <w:spacing w:after="0"/>
        <w:tabs>
          <w:tab w:leader="none" w:pos="6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RELATED-PARTY TRANSACTIONS </w:t>
      </w:r>
      <w:r>
        <w:rPr>
          <w:rFonts w:ascii="Times New Roman" w:cs="Times New Roman" w:eastAsia="Times New Roman" w:hAnsi="Times New Roman"/>
          <w:sz w:val="18"/>
          <w:szCs w:val="18"/>
          <w:color w:val="auto"/>
        </w:rPr>
        <w:t>(Continued)</w:t>
      </w:r>
    </w:p>
    <w:p>
      <w:pPr>
        <w:spacing w:after="0" w:line="219"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On March 10, 2025, the Company entered into the second amendment to the Exclusive Patent License Agreement of May 26, 2020. The Second Amendment extends the license to perpetuity, covering the full term and life of the patents, and cures in the event of default. The Second Amendment also removes prior restrictions on the Company’s use, sale, or commercialization of the technology after termination, permitting the sale of remaining inventory for up to 90 days post-termination, provided all required reports and payments are made under the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STOCKHOLDERS’ EQUITY</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17" w:lineRule="exact"/>
        <w:rPr>
          <w:sz w:val="20"/>
          <w:szCs w:val="20"/>
          <w:color w:val="auto"/>
        </w:rPr>
      </w:pPr>
    </w:p>
    <w:p>
      <w:pPr>
        <w:jc w:val="both"/>
        <w:ind w:left="640"/>
        <w:spacing w:after="0" w:line="274" w:lineRule="auto"/>
        <w:rPr>
          <w:sz w:val="20"/>
          <w:szCs w:val="20"/>
          <w:color w:val="auto"/>
        </w:rPr>
      </w:pPr>
      <w:r>
        <w:rPr>
          <w:rFonts w:ascii="Times New Roman" w:cs="Times New Roman" w:eastAsia="Times New Roman" w:hAnsi="Times New Roman"/>
          <w:sz w:val="18"/>
          <w:szCs w:val="18"/>
          <w:color w:val="auto"/>
        </w:rPr>
        <w:t>As of April 30, 2020 (date of incorporation), the Company had 100,000,000 shares of common stock, with a par value of $0.0001, authorized and available to issue for purposes of satisfying any future transactions. No other class of stock has been authorized or is available for issuance.</w:t>
      </w:r>
    </w:p>
    <w:p>
      <w:pPr>
        <w:spacing w:after="0" w:line="163"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7"/>
          <w:szCs w:val="17"/>
          <w:color w:val="auto"/>
        </w:rPr>
        <w:t>Effective September 15, 2021, the Company authorized a 2-for-1 stock split, with 200,000,000 shares authorized and available, with a par value of $0.00005, to issue for purposes of satisfying any future transactions. Effective November 25, 2024, the Company authorized a 1-for-4 reverse stock split, with 200,000,000 shares authorized and available to issue for purposes of satisfying any future transactions. The par value is now $0.0002.</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the three months ended March 31, 2025, the Company issued 714,133 shares of common stock as follows:</w:t>
      </w:r>
    </w:p>
    <w:p>
      <w:pPr>
        <w:spacing w:after="0" w:line="217" w:lineRule="exact"/>
        <w:rPr>
          <w:sz w:val="20"/>
          <w:szCs w:val="20"/>
          <w:color w:val="auto"/>
        </w:rPr>
      </w:pPr>
    </w:p>
    <w:p>
      <w:pPr>
        <w:ind w:left="1280" w:hanging="320"/>
        <w:spacing w:after="0" w:line="257"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11,692 shares with accredited investors in exchange for cash of $152,000 at an average of $13.00 per share. 7,692 of the shares were issued with warrants and deemed as equity, as described in Note 14.</w:t>
      </w:r>
    </w:p>
    <w:p>
      <w:pPr>
        <w:ind w:left="1280" w:hanging="320"/>
        <w:spacing w:after="0"/>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 warrants exercised, for 62,500 shares in exchange for cash of $296,875.</w:t>
      </w:r>
    </w:p>
    <w:p>
      <w:pPr>
        <w:spacing w:after="0" w:line="5" w:lineRule="exact"/>
        <w:rPr>
          <w:rFonts w:ascii="Times New Roman" w:cs="Times New Roman" w:eastAsia="Times New Roman" w:hAnsi="Times New Roman"/>
          <w:sz w:val="18"/>
          <w:szCs w:val="18"/>
          <w:color w:val="auto"/>
        </w:rPr>
      </w:pPr>
    </w:p>
    <w:p>
      <w:pPr>
        <w:ind w:left="1280" w:hanging="320"/>
        <w:spacing w:after="0" w:line="245"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22,154 shares issued through a crowdfunding campaign with other investors in exchange for net cash of $268,753, at an average of $12.13 per share after offering costs.</w:t>
      </w:r>
    </w:p>
    <w:p>
      <w:pPr>
        <w:spacing w:after="0" w:line="1" w:lineRule="exact"/>
        <w:rPr>
          <w:rFonts w:ascii="Times New Roman" w:cs="Times New Roman" w:eastAsia="Times New Roman" w:hAnsi="Times New Roman"/>
          <w:sz w:val="18"/>
          <w:szCs w:val="18"/>
          <w:color w:val="auto"/>
        </w:rPr>
      </w:pPr>
    </w:p>
    <w:p>
      <w:pPr>
        <w:ind w:left="1280" w:hanging="320"/>
        <w:spacing w:after="0" w:line="245"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84,874 shares issued with employees or consultants via stock awards, recognized as compensation expense, fair valued at $13.00 per share, for a total of $1,103,362, based on the price per stock issued to investors for cash during the three months ended March 31, 2025.</w:t>
      </w:r>
    </w:p>
    <w:p>
      <w:pPr>
        <w:spacing w:after="0" w:line="1" w:lineRule="exact"/>
        <w:rPr>
          <w:rFonts w:ascii="Times New Roman" w:cs="Times New Roman" w:eastAsia="Times New Roman" w:hAnsi="Times New Roman"/>
          <w:sz w:val="18"/>
          <w:szCs w:val="18"/>
          <w:color w:val="auto"/>
        </w:rPr>
      </w:pPr>
    </w:p>
    <w:p>
      <w:pPr>
        <w:ind w:left="1280" w:right="20" w:hanging="320"/>
        <w:spacing w:after="0" w:line="251"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532,913 shares issued with a consultant via stock awards, recognized as deferred offering costs, fair valued at $13.00 per share, for a total of $6,927,869, based on the price per stock issued to investors for cash.</w:t>
      </w:r>
    </w:p>
    <w:p>
      <w:pPr>
        <w:spacing w:after="0" w:line="183" w:lineRule="exact"/>
        <w:rPr>
          <w:rFonts w:ascii="Times New Roman" w:cs="Times New Roman" w:eastAsia="Times New Roman" w:hAnsi="Times New Roman"/>
          <w:sz w:val="18"/>
          <w:szCs w:val="18"/>
          <w:color w:val="auto"/>
        </w:rPr>
      </w:pPr>
    </w:p>
    <w:p>
      <w:pPr>
        <w:ind w:left="5540" w:hanging="101"/>
        <w:spacing w:after="0"/>
        <w:tabs>
          <w:tab w:leader="none" w:pos="5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34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(FORMERLY ARRIVE TECHNOLOGY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134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WARRANTS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warrants outstanding for the three months ended March 31, 2025:</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Weighted Average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5"/>
              </w:rPr>
              <w:t>Weighted Average</w:t>
            </w: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Remaining</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80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Warrants</w:t>
            </w:r>
          </w:p>
        </w:tc>
        <w:tc>
          <w:tcPr>
            <w:tcW w:w="140" w:type="dxa"/>
            <w:vAlign w:val="bottom"/>
          </w:tcPr>
          <w:p>
            <w:pPr>
              <w:spacing w:after="0"/>
              <w:rPr>
                <w:sz w:val="18"/>
                <w:szCs w:val="18"/>
                <w:color w:val="auto"/>
              </w:rPr>
            </w:pPr>
          </w:p>
        </w:tc>
        <w:tc>
          <w:tcPr>
            <w:tcW w:w="16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5"/>
              </w:rPr>
              <w:t>Weighted Average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Grant Date Fair</w:t>
            </w: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Contractual Term</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Aggregate Intrinsic</w:t>
            </w:r>
          </w:p>
        </w:tc>
      </w:tr>
      <w:tr>
        <w:trPr>
          <w:trHeight w:val="230"/>
        </w:trPr>
        <w:tc>
          <w:tcPr>
            <w:tcW w:w="1800" w:type="dxa"/>
            <w:vAlign w:val="bottom"/>
          </w:tcPr>
          <w:p>
            <w:pPr>
              <w:spacing w:after="0"/>
              <w:rPr>
                <w:sz w:val="20"/>
                <w:szCs w:val="20"/>
                <w:color w:val="auto"/>
              </w:rPr>
            </w:pPr>
          </w:p>
        </w:tc>
        <w:tc>
          <w:tcPr>
            <w:tcW w:w="16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Outstanding</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Exercise Price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2"/>
              </w:rPr>
              <w:t>Value</w:t>
            </w: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(years)</w:t>
            </w:r>
          </w:p>
        </w:tc>
        <w:tc>
          <w:tcPr>
            <w:tcW w:w="32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05"/>
        </w:trPr>
        <w:tc>
          <w:tcPr>
            <w:tcW w:w="18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4"/>
        </w:trPr>
        <w:tc>
          <w:tcPr>
            <w:tcW w:w="18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BALANCE,</w:t>
            </w:r>
          </w:p>
        </w:tc>
        <w:tc>
          <w:tcPr>
            <w:tcW w:w="1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2"/>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227,547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4.76</w:t>
            </w:r>
          </w:p>
        </w:tc>
        <w:tc>
          <w:tcPr>
            <w:tcW w:w="1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0.97</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598,993</w:t>
            </w:r>
          </w:p>
        </w:tc>
        <w:tc>
          <w:tcPr>
            <w:tcW w:w="80" w:type="dxa"/>
            <w:vAlign w:val="bottom"/>
            <w:shd w:val="clear" w:color="auto" w:fill="CCEEFF"/>
          </w:tcPr>
          <w:p>
            <w:pPr>
              <w:spacing w:after="0"/>
              <w:rPr>
                <w:sz w:val="20"/>
                <w:szCs w:val="20"/>
                <w:color w:val="auto"/>
              </w:rPr>
            </w:pPr>
          </w:p>
        </w:tc>
      </w:tr>
      <w:tr>
        <w:trPr>
          <w:trHeight w:val="212"/>
        </w:trPr>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7,692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8.55</w:t>
            </w:r>
          </w:p>
        </w:tc>
        <w:tc>
          <w:tcPr>
            <w:tcW w:w="1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3.95</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15,384</w:t>
            </w:r>
          </w:p>
        </w:tc>
        <w:tc>
          <w:tcPr>
            <w:tcW w:w="80" w:type="dxa"/>
            <w:vAlign w:val="bottom"/>
            <w:shd w:val="clear" w:color="auto" w:fill="CCEEFF"/>
          </w:tcPr>
          <w:p>
            <w:pPr>
              <w:spacing w:after="0"/>
              <w:rPr>
                <w:sz w:val="18"/>
                <w:szCs w:val="18"/>
                <w:color w:val="auto"/>
              </w:rPr>
            </w:pPr>
          </w:p>
        </w:tc>
      </w:tr>
      <w:tr>
        <w:trPr>
          <w:trHeight w:val="225"/>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3.84</w:t>
            </w: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05"/>
        </w:trPr>
        <w:tc>
          <w:tcPr>
            <w:tcW w:w="18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4"/>
        </w:trPr>
        <w:tc>
          <w:tcPr>
            <w:tcW w:w="18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BALANCE, MARCH</w:t>
            </w: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31, 2025</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172,739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5.26</w:t>
            </w: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462,866</w:t>
            </w:r>
          </w:p>
        </w:tc>
        <w:tc>
          <w:tcPr>
            <w:tcW w:w="80" w:type="dxa"/>
            <w:vAlign w:val="bottom"/>
          </w:tcPr>
          <w:p>
            <w:pPr>
              <w:spacing w:after="0"/>
              <w:rPr>
                <w:sz w:val="22"/>
                <w:szCs w:val="22"/>
                <w:color w:val="auto"/>
              </w:rPr>
            </w:pPr>
          </w:p>
        </w:tc>
      </w:tr>
      <w:tr>
        <w:trPr>
          <w:trHeight w:val="20"/>
        </w:trPr>
        <w:tc>
          <w:tcPr>
            <w:tcW w:w="18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warrants and the closing stock price of $13.00 for the Company’s common shares on March 31, 2025 and the closing stock price of $12.71 for the Company’s common shares on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EQUITY INCENTIVE PLAN</w:t>
      </w:r>
    </w:p>
    <w:p>
      <w:pPr>
        <w:spacing w:after="0" w:line="219"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18"/>
          <w:szCs w:val="18"/>
          <w:color w:val="auto"/>
        </w:rPr>
        <w:t>The Company created the 2023 Equity Incentive Plan (the Plan) on April 27, 2023, under which shares of common stock became available for issuance not to exceed 1,500,000. The Stock Plan is designed to attract, retain, and motivate key employees. Currently, the fair value is recognized as an expense over the vesting period of the award. Option awards are generally granted with an exercise price equal to the fair market value of the Company’s stock at the date of grant, vest over a five-year period, and expire after ten years. There are certain situations that may accelerate the vesting or termination of all outstanding options, such as a change in control. As of March 31, 2025, 886,799 shares were available for grant. The compensation expenses related to incentive units is included in general and administrative expenses with a corresponding increased to additional paid-in-capital.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34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(FORMERLY ARRIVE TECHNOLOGY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134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640" w:hanging="634"/>
        <w:spacing w:after="0"/>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 (Continued)</w:t>
      </w:r>
    </w:p>
    <w:p>
      <w:pPr>
        <w:spacing w:after="0" w:line="325"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share options outstanding for the three months ended March 31, 2025:</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Weighted Average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5"/>
              </w:rPr>
              <w:t>Weighted Average</w:t>
            </w: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Remaining</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80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Share Options</w:t>
            </w:r>
          </w:p>
        </w:tc>
        <w:tc>
          <w:tcPr>
            <w:tcW w:w="140" w:type="dxa"/>
            <w:vAlign w:val="bottom"/>
          </w:tcPr>
          <w:p>
            <w:pPr>
              <w:spacing w:after="0"/>
              <w:rPr>
                <w:sz w:val="18"/>
                <w:szCs w:val="18"/>
                <w:color w:val="auto"/>
              </w:rPr>
            </w:pPr>
          </w:p>
        </w:tc>
        <w:tc>
          <w:tcPr>
            <w:tcW w:w="16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5"/>
              </w:rPr>
              <w:t>Weighted Average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Grant Date Fair</w:t>
            </w: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Contractual Term</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Aggregate Intrinsic</w:t>
            </w:r>
          </w:p>
        </w:tc>
      </w:tr>
      <w:tr>
        <w:trPr>
          <w:trHeight w:val="230"/>
        </w:trPr>
        <w:tc>
          <w:tcPr>
            <w:tcW w:w="1800" w:type="dxa"/>
            <w:vAlign w:val="bottom"/>
          </w:tcPr>
          <w:p>
            <w:pPr>
              <w:spacing w:after="0"/>
              <w:rPr>
                <w:sz w:val="20"/>
                <w:szCs w:val="20"/>
                <w:color w:val="auto"/>
              </w:rPr>
            </w:pP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Outstanding</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Exercise Price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2"/>
              </w:rPr>
              <w:t>Value</w:t>
            </w: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(years)</w:t>
            </w:r>
          </w:p>
        </w:tc>
        <w:tc>
          <w:tcPr>
            <w:tcW w:w="32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05"/>
        </w:trPr>
        <w:tc>
          <w:tcPr>
            <w:tcW w:w="18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4"/>
        </w:trPr>
        <w:tc>
          <w:tcPr>
            <w:tcW w:w="18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BALANCE,</w:t>
            </w:r>
          </w:p>
        </w:tc>
        <w:tc>
          <w:tcPr>
            <w:tcW w:w="1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2"/>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614,704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10.88</w:t>
            </w:r>
          </w:p>
        </w:tc>
        <w:tc>
          <w:tcPr>
            <w:tcW w:w="1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8.87</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7,322,656</w:t>
            </w:r>
          </w:p>
        </w:tc>
        <w:tc>
          <w:tcPr>
            <w:tcW w:w="80" w:type="dxa"/>
            <w:vAlign w:val="bottom"/>
            <w:shd w:val="clear" w:color="auto" w:fill="CCEEFF"/>
          </w:tcPr>
          <w:p>
            <w:pPr>
              <w:spacing w:after="0"/>
              <w:rPr>
                <w:sz w:val="20"/>
                <w:szCs w:val="20"/>
                <w:color w:val="auto"/>
              </w:rPr>
            </w:pPr>
          </w:p>
        </w:tc>
      </w:tr>
      <w:tr>
        <w:trPr>
          <w:trHeight w:val="212"/>
        </w:trPr>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5"/>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Canceled/Expired</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11.26</w:t>
            </w:r>
          </w:p>
        </w:tc>
        <w:tc>
          <w:tcPr>
            <w:tcW w:w="1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05"/>
        </w:trPr>
        <w:tc>
          <w:tcPr>
            <w:tcW w:w="18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4"/>
        </w:trPr>
        <w:tc>
          <w:tcPr>
            <w:tcW w:w="18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BALANCE, MARCH</w:t>
            </w:r>
          </w:p>
        </w:tc>
        <w:tc>
          <w:tcPr>
            <w:tcW w:w="1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57"/>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31, 2025</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613,201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10.87</w:t>
            </w:r>
          </w:p>
        </w:tc>
        <w:tc>
          <w:tcPr>
            <w:tcW w:w="1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8.63</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7,482,524</w:t>
            </w:r>
          </w:p>
        </w:tc>
        <w:tc>
          <w:tcPr>
            <w:tcW w:w="80" w:type="dxa"/>
            <w:vAlign w:val="bottom"/>
            <w:shd w:val="clear" w:color="auto" w:fill="CCEEFF"/>
          </w:tcPr>
          <w:p>
            <w:pPr>
              <w:spacing w:after="0"/>
              <w:rPr>
                <w:sz w:val="22"/>
                <w:szCs w:val="22"/>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2"/>
        </w:trPr>
        <w:tc>
          <w:tcPr>
            <w:tcW w:w="18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18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EXERCISABLE,</w:t>
            </w:r>
          </w:p>
        </w:tc>
        <w:tc>
          <w:tcPr>
            <w:tcW w:w="1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57"/>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183,896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10.85</w:t>
            </w:r>
          </w:p>
        </w:tc>
        <w:tc>
          <w:tcPr>
            <w:tcW w:w="1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8.62</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2,242,965</w:t>
            </w:r>
          </w:p>
        </w:tc>
        <w:tc>
          <w:tcPr>
            <w:tcW w:w="80" w:type="dxa"/>
            <w:vAlign w:val="bottom"/>
            <w:shd w:val="clear" w:color="auto" w:fill="CCEEFF"/>
          </w:tcPr>
          <w:p>
            <w:pPr>
              <w:spacing w:after="0"/>
              <w:rPr>
                <w:sz w:val="22"/>
                <w:szCs w:val="22"/>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405"/>
        </w:trPr>
        <w:tc>
          <w:tcPr>
            <w:tcW w:w="8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following table summarizes the nonvested share options for the three months ended March 31, 2025:</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1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Weighted Average</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2"/>
        </w:trPr>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5"/>
              </w:rPr>
              <w:t>Weighted Average</w:t>
            </w: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Remaining</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80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Nonvested</w:t>
            </w:r>
          </w:p>
        </w:tc>
        <w:tc>
          <w:tcPr>
            <w:tcW w:w="140" w:type="dxa"/>
            <w:vAlign w:val="bottom"/>
          </w:tcPr>
          <w:p>
            <w:pPr>
              <w:spacing w:after="0"/>
              <w:rPr>
                <w:sz w:val="18"/>
                <w:szCs w:val="18"/>
                <w:color w:val="auto"/>
              </w:rPr>
            </w:pPr>
          </w:p>
        </w:tc>
        <w:tc>
          <w:tcPr>
            <w:tcW w:w="16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5"/>
              </w:rPr>
              <w:t>Weighted Average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Grant Date Fair</w:t>
            </w: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Contractual Term</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Aggregate Intrinsic</w:t>
            </w:r>
          </w:p>
        </w:tc>
      </w:tr>
      <w:tr>
        <w:trPr>
          <w:trHeight w:val="230"/>
        </w:trPr>
        <w:tc>
          <w:tcPr>
            <w:tcW w:w="180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Share Options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Exercise Price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2"/>
              </w:rPr>
              <w:t>Value</w:t>
            </w: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(years)</w:t>
            </w:r>
          </w:p>
        </w:tc>
        <w:tc>
          <w:tcPr>
            <w:tcW w:w="32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05"/>
        </w:trPr>
        <w:tc>
          <w:tcPr>
            <w:tcW w:w="18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4"/>
        </w:trPr>
        <w:tc>
          <w:tcPr>
            <w:tcW w:w="18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BALANCE,</w:t>
            </w:r>
          </w:p>
        </w:tc>
        <w:tc>
          <w:tcPr>
            <w:tcW w:w="1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2"/>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452,875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10.89</w:t>
            </w:r>
          </w:p>
        </w:tc>
        <w:tc>
          <w:tcPr>
            <w:tcW w:w="1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8.88</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5,396,007</w:t>
            </w:r>
          </w:p>
        </w:tc>
        <w:tc>
          <w:tcPr>
            <w:tcW w:w="80" w:type="dxa"/>
            <w:vAlign w:val="bottom"/>
            <w:shd w:val="clear" w:color="auto" w:fill="CCEEFF"/>
          </w:tcPr>
          <w:p>
            <w:pPr>
              <w:spacing w:after="0"/>
              <w:rPr>
                <w:sz w:val="20"/>
                <w:szCs w:val="20"/>
                <w:color w:val="auto"/>
              </w:rPr>
            </w:pPr>
          </w:p>
        </w:tc>
      </w:tr>
      <w:tr>
        <w:trPr>
          <w:trHeight w:val="212"/>
        </w:trPr>
        <w:tc>
          <w:tcPr>
            <w:tcW w:w="180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17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2"/>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(22,410)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10.93</w:t>
            </w:r>
          </w:p>
        </w:tc>
        <w:tc>
          <w:tcPr>
            <w:tcW w:w="1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8.66</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273,582</w:t>
            </w:r>
          </w:p>
        </w:tc>
      </w:tr>
      <w:tr>
        <w:trPr>
          <w:trHeight w:val="225"/>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Canceled/Expired</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11.36</w:t>
            </w: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05"/>
        </w:trPr>
        <w:tc>
          <w:tcPr>
            <w:tcW w:w="18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4"/>
        </w:trPr>
        <w:tc>
          <w:tcPr>
            <w:tcW w:w="18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BALANCE, MARCH</w:t>
            </w: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57"/>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31, 2025</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429,305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0.80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10.88</w:t>
            </w: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8.18</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5,239,559</w:t>
            </w:r>
          </w:p>
        </w:tc>
        <w:tc>
          <w:tcPr>
            <w:tcW w:w="80" w:type="dxa"/>
            <w:vAlign w:val="bottom"/>
          </w:tcPr>
          <w:p>
            <w:pPr>
              <w:spacing w:after="0"/>
              <w:rPr>
                <w:sz w:val="22"/>
                <w:szCs w:val="22"/>
                <w:color w:val="auto"/>
              </w:rPr>
            </w:pPr>
          </w:p>
        </w:tc>
      </w:tr>
      <w:tr>
        <w:trPr>
          <w:trHeight w:val="20"/>
        </w:trPr>
        <w:tc>
          <w:tcPr>
            <w:tcW w:w="18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share options and the closing stock price of $13.00 for the Company’s common shares on March 31, 2025 and the closing stock price of $12.71 for the Company’s common shares on December 31, 2024.</w:t>
      </w:r>
    </w:p>
    <w:p>
      <w:pPr>
        <w:spacing w:after="0" w:line="178"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There were no options granted during the three months ended March 31, 2025. As of March 31, 2025, there was $4,672,620 unrecognized compensation expense related to nonvested stock options to be recognized over the remaining vesting period. Total compensation expense related to stock options during the three months ended March 31, 2025 was $244,883. No options were exercised during the three months ended March 31, 2025.</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34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(FORMERLY ARRIVE TECHNOLOGY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134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RESEARCH AND DEVELOPMENT TAX CREDITS</w:t>
      </w:r>
    </w:p>
    <w:p>
      <w:pPr>
        <w:spacing w:after="0" w:line="219" w:lineRule="exact"/>
        <w:rPr>
          <w:sz w:val="20"/>
          <w:szCs w:val="20"/>
          <w:color w:val="auto"/>
        </w:rPr>
      </w:pPr>
    </w:p>
    <w:p>
      <w:pPr>
        <w:jc w:val="both"/>
        <w:ind w:left="640"/>
        <w:spacing w:after="0" w:line="274" w:lineRule="auto"/>
        <w:rPr>
          <w:sz w:val="20"/>
          <w:szCs w:val="20"/>
          <w:color w:val="auto"/>
        </w:rPr>
      </w:pPr>
      <w:r>
        <w:rPr>
          <w:rFonts w:ascii="Times New Roman" w:cs="Times New Roman" w:eastAsia="Times New Roman" w:hAnsi="Times New Roman"/>
          <w:sz w:val="18"/>
          <w:szCs w:val="18"/>
          <w:color w:val="auto"/>
        </w:rPr>
        <w:t>The Company qualifies as a small business under Internal Revenue Code Section 41(h) and has elected to apply a portion of its federal research and development (R&amp;D) credit against the employer portion of Social Security payroll taxes, in accordance with IRS Form 6765.</w:t>
      </w:r>
    </w:p>
    <w:p>
      <w:pPr>
        <w:spacing w:after="0" w:line="163" w:lineRule="exact"/>
        <w:rPr>
          <w:sz w:val="20"/>
          <w:szCs w:val="20"/>
          <w:color w:val="auto"/>
        </w:rPr>
      </w:pPr>
    </w:p>
    <w:p>
      <w:pPr>
        <w:jc w:val="both"/>
        <w:ind w:left="640"/>
        <w:spacing w:after="0" w:line="274" w:lineRule="auto"/>
        <w:rPr>
          <w:sz w:val="20"/>
          <w:szCs w:val="20"/>
          <w:color w:val="auto"/>
        </w:rPr>
      </w:pPr>
      <w:r>
        <w:rPr>
          <w:rFonts w:ascii="Times New Roman" w:cs="Times New Roman" w:eastAsia="Times New Roman" w:hAnsi="Times New Roman"/>
          <w:sz w:val="18"/>
          <w:szCs w:val="18"/>
          <w:color w:val="auto"/>
        </w:rPr>
        <w:t>As of March 31, 2025, the Company had $206,174 of unused payroll tax credits These credits are being applied as an offset to the Company’s payroll tax liability and are recognized as a reduction of payroll tax expense in the period the benefit is realized.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During the period April 1, 2025 through June 5, 2025 the Company issued 3,539 shares for $46,007 on a crowdfunding platform.</w:t>
      </w:r>
    </w:p>
    <w:p>
      <w:pPr>
        <w:spacing w:after="0" w:line="217" w:lineRule="exact"/>
        <w:rPr>
          <w:sz w:val="20"/>
          <w:szCs w:val="20"/>
          <w:color w:val="auto"/>
        </w:rPr>
      </w:pPr>
    </w:p>
    <w:p>
      <w:pPr>
        <w:jc w:val="both"/>
        <w:ind w:left="640"/>
        <w:spacing w:after="0" w:line="274" w:lineRule="auto"/>
        <w:rPr>
          <w:sz w:val="20"/>
          <w:szCs w:val="20"/>
          <w:color w:val="auto"/>
        </w:rPr>
      </w:pPr>
      <w:r>
        <w:rPr>
          <w:rFonts w:ascii="Times New Roman" w:cs="Times New Roman" w:eastAsia="Times New Roman" w:hAnsi="Times New Roman"/>
          <w:sz w:val="18"/>
          <w:szCs w:val="18"/>
          <w:color w:val="auto"/>
        </w:rPr>
        <w:t>The Company also issued 92,673 shares with a fair value of $1,204,749 in exchange for legal services related to the initial public offering. This cost will be charged against the gross proceeds of the offering as a reduction of additional paid-in capital.</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April 15, 2025, warrants to purchase 47,370 shares of common stock were exercised for proceeds of $225,008.</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May 13, 2025, warrants to purchase 10,950 shares of common stock were exercised for proceeds of $52,013.</w:t>
      </w:r>
    </w:p>
    <w:p>
      <w:pPr>
        <w:spacing w:after="0" w:line="217" w:lineRule="exact"/>
        <w:rPr>
          <w:sz w:val="20"/>
          <w:szCs w:val="20"/>
          <w:color w:val="auto"/>
        </w:rPr>
      </w:pPr>
    </w:p>
    <w:p>
      <w:pPr>
        <w:jc w:val="both"/>
        <w:ind w:left="640"/>
        <w:spacing w:after="0" w:line="274" w:lineRule="auto"/>
        <w:rPr>
          <w:sz w:val="20"/>
          <w:szCs w:val="20"/>
          <w:color w:val="auto"/>
        </w:rPr>
      </w:pPr>
      <w:r>
        <w:rPr>
          <w:rFonts w:ascii="Times New Roman" w:cs="Times New Roman" w:eastAsia="Times New Roman" w:hAnsi="Times New Roman"/>
          <w:sz w:val="18"/>
          <w:szCs w:val="18"/>
          <w:color w:val="auto"/>
        </w:rPr>
        <w:t>On May 13, 2025, the Company’s S-1 Registration Statement was declared effective, registering 29,978,212 shares of our common stock representing one hundred percent (100%) of the company’s currently issued and outstanding common stock.</w:t>
      </w:r>
    </w:p>
    <w:p>
      <w:pPr>
        <w:spacing w:after="0" w:line="163" w:lineRule="exact"/>
        <w:rPr>
          <w:sz w:val="20"/>
          <w:szCs w:val="20"/>
          <w:color w:val="auto"/>
        </w:rPr>
      </w:pPr>
    </w:p>
    <w:p>
      <w:pPr>
        <w:jc w:val="both"/>
        <w:ind w:left="640"/>
        <w:spacing w:after="0" w:line="274" w:lineRule="auto"/>
        <w:rPr>
          <w:sz w:val="20"/>
          <w:szCs w:val="20"/>
          <w:color w:val="auto"/>
        </w:rPr>
      </w:pPr>
      <w:r>
        <w:rPr>
          <w:rFonts w:ascii="Times New Roman" w:cs="Times New Roman" w:eastAsia="Times New Roman" w:hAnsi="Times New Roman"/>
          <w:sz w:val="18"/>
          <w:szCs w:val="18"/>
          <w:color w:val="auto"/>
        </w:rPr>
        <w:t>On May 14, 2025, the Company filed a resale registration statement pursuant to a securities purchase agreement with an investor, registering 8,125,779 shares of common stock.</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May 15, 2025, the Company’s common stock began trading on the Nasdaq Global Market under the ticker “ARAI”.</w:t>
      </w:r>
    </w:p>
    <w:p>
      <w:pPr>
        <w:spacing w:after="0" w:line="217"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On May 15, 2025, the Company closed a financing agreement with an investor. Per the terms of the agreement, the investor transferred $4,000,000 as the initial pre-paid advance. The Company issued 2,937,500 pre-delivery shares at par value, for proceeds of $587, and 62,500 shares with a fair value of $812,500 to the investor.</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34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Conditions and Results of Operations</w:t>
      </w:r>
    </w:p>
    <w:p>
      <w:pPr>
        <w:spacing w:after="0" w:line="2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as a review of significant factors affecting our financial condition and results of operations for the periods indicated. The discussion should be read in conjunction with our unaudited financial statements and the notes presented herein included in this Form 10-Q and the audited financial statements and the other information set forth in the Prospectus that forms a part of our Registration Statement on Form S-1 (File No. 333-284042) which was filed with the Securities and Exchange Commission on December 23, 2024 and amended on Form S-1/A on May 13, 2025. In addition to historical information, the following Management’s Discussion and Analysis of Financial Condition and Results of Operations contains forward-looking statements that involve risks and uncertainties.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Arrive AI pioneered the smart mailbox for drone deliveries, evolving into a leader in the Autonomous Last Mile (“ALM”). Today, we’re transforming last-mile logistics by enabling secure, seamless exchanges between drones, robots, and people. Our mission is to connect these systems through a universal ALM network of Arrive Points™—smart lockers and mini-cross-docks—powered by an AI-driven ALM platform. This network unlocks exceptional efficiency, accelerating adoption in medical, retail, e-commerce, and beyond, making Arrive AI the intelligent choice for the final inch of automated delivery.</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patented Arrive Points™ deliver a smart, secure, and seamless solution for automated last-mile delivery. These innovative docks streamline exchanges by eliminating manual intervention and technical barriers, ensuring efficient data validation and synchronization. With robust security, precise tracking, and support for diverse goods—including temperature-controlled options for food and medicine—Arrive Points enhance chain of custody and product integrity. By bridging physical and digital interfaces, they are paving the way for scalable, fully autonomous delivery networks.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have three primary revenue streams:</w:t>
      </w:r>
    </w:p>
    <w:p>
      <w:pPr>
        <w:spacing w:after="0" w:line="217" w:lineRule="exact"/>
        <w:rPr>
          <w:sz w:val="20"/>
          <w:szCs w:val="20"/>
          <w:color w:val="auto"/>
        </w:rPr>
      </w:pPr>
    </w:p>
    <w:p>
      <w:pPr>
        <w:jc w:val="both"/>
        <w:ind w:firstLine="6"/>
        <w:spacing w:after="0" w:line="255" w:lineRule="auto"/>
        <w:tabs>
          <w:tab w:leader="none" w:pos="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currently generating revenue through subscription services for Arrive Points, along with installation, support, and infrastructure agreements with customers. We provide our ALM Access Points to both businesses and consumers through monthly and annual subscription fees. This turnkey service includes hardware, software, support, maintenance, installation/uninstallation, and financing for long-term deployed assets. In Q4 of 2024 we installed third generation Arrive Points (“AP3” units), which began revenue operation in 2025.</w:t>
      </w:r>
    </w:p>
    <w:p>
      <w:pPr>
        <w:spacing w:after="0" w:line="180" w:lineRule="exact"/>
        <w:rPr>
          <w:rFonts w:ascii="Times New Roman" w:cs="Times New Roman" w:eastAsia="Times New Roman" w:hAnsi="Times New Roman"/>
          <w:sz w:val="18"/>
          <w:szCs w:val="18"/>
          <w:color w:val="auto"/>
        </w:rPr>
      </w:pPr>
    </w:p>
    <w:p>
      <w:pPr>
        <w:jc w:val="both"/>
        <w:ind w:firstLine="6"/>
        <w:spacing w:after="0" w:line="259" w:lineRule="auto"/>
        <w:tabs>
          <w:tab w:leader="none" w:pos="19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monetization via models and insights generated by machine learning and artificial intelligence (“ML” and “AI”). Machine learning facilitates our systems’ ability to learn and improve from experience using data patterns, while artificial intelligence encompasses broader capabilities and models to simulate human intelligence and decision-making. We plan to use both technologies distinctly:</w:t>
      </w:r>
    </w:p>
    <w:p>
      <w:pPr>
        <w:spacing w:after="0" w:line="17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a. Machine learning: Primarily deployed in our fourth and fifth generation Access Points (“AP4” and “AP5” units) for local IoT (Internet of Things) data processing, edge computing (inferencing) for environment and transactional models, and interactions models for drones and robots.</w:t>
      </w:r>
    </w:p>
    <w:p>
      <w:pPr>
        <w:spacing w:after="0" w:line="16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b. Artificial intelligence: Used more broadly to analyze and derive insights from our network’s transactional and environmental data through complex AI models, but we will also leverage foundational AI models like ChatGPT or LAMA for device-based human interactions.</w:t>
      </w:r>
    </w:p>
    <w:p>
      <w:pPr>
        <w:spacing w:after="0" w:line="163" w:lineRule="exact"/>
        <w:rPr>
          <w:sz w:val="20"/>
          <w:szCs w:val="20"/>
          <w:color w:val="auto"/>
        </w:rPr>
      </w:pPr>
    </w:p>
    <w:p>
      <w:pPr>
        <w:jc w:val="both"/>
        <w:ind w:firstLine="6"/>
        <w:spacing w:after="0" w:line="251" w:lineRule="auto"/>
        <w:tabs>
          <w:tab w:leader="none" w:pos="17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platform fees. Our network of Access Points, the supporting software and AI plus ML, collectively create a platform that is intended to provide valuable services and insights to all stakeholders in the ALM ecosystem. For example, our automated delivery marketplace (“ADM”) will use a Google-AdSense-like market to help prioritize and optimize high-demand access schedules and space availability for our access point network. This platform will provide a broad array of critical functions for the ALM ecosystem including arrival/departure scheduling, space optimization, smart delivery notifications, micro weather conditions, local restrictions, transactional status updates, and automation issues/obstacles. These advanced capabilities will be introduced in our AP5 development and pilot program currently in development.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differentiate ourselves through a comprehensive, integrated solution:</w:t>
      </w:r>
    </w:p>
    <w:p>
      <w:pPr>
        <w:spacing w:after="0" w:line="217" w:lineRule="exact"/>
        <w:rPr>
          <w:sz w:val="20"/>
          <w:szCs w:val="20"/>
          <w:color w:val="auto"/>
        </w:rPr>
      </w:pPr>
    </w:p>
    <w:p>
      <w:pPr>
        <w:ind w:firstLine="6"/>
        <w:spacing w:after="0" w:line="274" w:lineRule="auto"/>
        <w:tabs>
          <w:tab w:leader="none" w:pos="15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Compatibility: Our multi-generational Arrive Points (AP3, AP4, AP5) are being developed for universal support of all drone and robotic delivery systems, overcoming a major hurdle for widespread ALM adoption.</w:t>
      </w:r>
    </w:p>
    <w:p>
      <w:pPr>
        <w:spacing w:after="0" w:line="163" w:lineRule="exact"/>
        <w:rPr>
          <w:rFonts w:ascii="Times New Roman" w:cs="Times New Roman" w:eastAsia="Times New Roman" w:hAnsi="Times New Roman"/>
          <w:sz w:val="18"/>
          <w:szCs w:val="18"/>
          <w:color w:val="auto"/>
        </w:rPr>
      </w:pPr>
    </w:p>
    <w:p>
      <w:pPr>
        <w:ind w:firstLine="6"/>
        <w:spacing w:after="0" w:line="274" w:lineRule="auto"/>
        <w:tabs>
          <w:tab w:leader="none" w:pos="2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End-to-End Solution: We combine advanced hardware with a powerful software platform and AI/ML capabilities, offering a complete ecosystem for automated exchange.</w:t>
      </w:r>
    </w:p>
    <w:p>
      <w:pPr>
        <w:spacing w:after="0" w:line="163" w:lineRule="exact"/>
        <w:rPr>
          <w:rFonts w:ascii="Times New Roman" w:cs="Times New Roman" w:eastAsia="Times New Roman" w:hAnsi="Times New Roman"/>
          <w:sz w:val="18"/>
          <w:szCs w:val="18"/>
          <w:color w:val="auto"/>
        </w:rPr>
      </w:pPr>
    </w:p>
    <w:p>
      <w:pPr>
        <w:ind w:firstLine="6"/>
        <w:spacing w:after="0" w:line="274" w:lineRule="auto"/>
        <w:tabs>
          <w:tab w:leader="none" w:pos="19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Market Penetration: We have already secured pilot programs with significant customers, including a specialty pharmaceutical delivery company, demonstrating early validation and learning opportunities for sustainable economics.</w:t>
      </w:r>
    </w:p>
    <w:p>
      <w:pPr>
        <w:spacing w:after="0" w:line="163" w:lineRule="exact"/>
        <w:rPr>
          <w:rFonts w:ascii="Times New Roman" w:cs="Times New Roman" w:eastAsia="Times New Roman" w:hAnsi="Times New Roman"/>
          <w:sz w:val="18"/>
          <w:szCs w:val="18"/>
          <w:color w:val="auto"/>
        </w:rPr>
      </w:pPr>
    </w:p>
    <w:p>
      <w:pPr>
        <w:ind w:left="5540" w:hanging="101"/>
        <w:spacing w:after="0"/>
        <w:tabs>
          <w:tab w:leader="none" w:pos="5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Effectiveness of S-1 Registration Statement</w:t>
      </w:r>
    </w:p>
    <w:p>
      <w:pPr>
        <w:spacing w:after="0" w:line="2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On May 13, 2025, the Company’s S-1 Registration Statement was declared effective, registering 29,978,212 shares of our common stock representing one hundred percent (100%) of the company’s currently issued and outstanding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Trading on Nasdaq Global Market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15, 2025, the Company’s common stock began trading on the Nasdaq Global Market under the ticker “ARAI”.</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Closing of Equity Line of Credit</w:t>
      </w:r>
    </w:p>
    <w:p>
      <w:pPr>
        <w:spacing w:after="0" w:line="2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On May 15, 2025, the Company closed a financing agreement with an investor. Per the terms of the agreement, the investor transferred $4,000,000 as the initial pre-paid advance. Shares to be issued under the share purchase agreement are included on a resale registration statement filed with the SEC.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Independent Board Member</w:t>
      </w:r>
    </w:p>
    <w:p>
      <w:pPr>
        <w:spacing w:after="0" w:line="2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On June 2, 2025, the Company named Laurie Tucker as a new independent member of the Board of Directors. Ms. Tucker will serve an initial three-year term and also be the Chairperson of the Compensation Committee.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3"/>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6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March 31, 2024</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gridSpan w:val="6"/>
          </w:tcPr>
          <w:p>
            <w:pPr>
              <w:jc w:val="right"/>
              <w:ind w:right="743"/>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vMerge w:val="restart"/>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4"/>
                <w:szCs w:val="24"/>
                <w:color w:val="auto"/>
              </w:rPr>
            </w:pPr>
          </w:p>
        </w:tc>
        <w:tc>
          <w:tcPr>
            <w:tcW w:w="122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0" w:type="dxa"/>
            <w:vAlign w:val="bottom"/>
            <w:gridSpan w:val="2"/>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5"/>
        </w:trPr>
        <w:tc>
          <w:tcPr>
            <w:tcW w:w="5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wages - office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1,583,937</w:t>
            </w:r>
          </w:p>
        </w:tc>
        <w:tc>
          <w:tcPr>
            <w:tcW w:w="180" w:type="dxa"/>
            <w:vAlign w:val="bottom"/>
          </w:tcPr>
          <w:p>
            <w:pPr>
              <w:spacing w:after="0"/>
              <w:rPr>
                <w:sz w:val="18"/>
                <w:szCs w:val="18"/>
                <w:color w:val="auto"/>
              </w:rPr>
            </w:pPr>
          </w:p>
        </w:tc>
        <w:tc>
          <w:tcPr>
            <w:tcW w:w="4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498,401</w:t>
            </w:r>
          </w:p>
        </w:tc>
        <w:tc>
          <w:tcPr>
            <w:tcW w:w="3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1,085,536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200,201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174,916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25,285</w:t>
            </w:r>
          </w:p>
        </w:tc>
        <w:tc>
          <w:tcPr>
            <w:tcW w:w="140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91,263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88,401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2,862</w:t>
            </w:r>
          </w:p>
        </w:tc>
        <w:tc>
          <w:tcPr>
            <w:tcW w:w="140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fee</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Office supplies and software</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22,154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26,741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(4,587)</w:t>
            </w:r>
          </w:p>
        </w:tc>
        <w:tc>
          <w:tcPr>
            <w:tcW w:w="14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20,137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19,027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1,110</w:t>
            </w:r>
          </w:p>
        </w:tc>
        <w:tc>
          <w:tcPr>
            <w:tcW w:w="140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17,550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13,150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4,400</w:t>
            </w:r>
          </w:p>
        </w:tc>
        <w:tc>
          <w:tcPr>
            <w:tcW w:w="140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and licenses</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9,651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23,193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(13,542)</w:t>
            </w:r>
          </w:p>
        </w:tc>
        <w:tc>
          <w:tcPr>
            <w:tcW w:w="14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7,391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7,255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136</w:t>
            </w:r>
          </w:p>
        </w:tc>
        <w:tc>
          <w:tcPr>
            <w:tcW w:w="140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w:t>
            </w:r>
          </w:p>
        </w:tc>
        <w:tc>
          <w:tcPr>
            <w:tcW w:w="14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5"/>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All Other General and Administrative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34,704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(23,082)</w:t>
            </w:r>
          </w:p>
        </w:tc>
        <w:tc>
          <w:tcPr>
            <w:tcW w:w="14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51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1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ind w:right="9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1,994,227</w:t>
            </w:r>
          </w:p>
        </w:tc>
        <w:tc>
          <w:tcPr>
            <w:tcW w:w="1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jc w:val="right"/>
              <w:ind w:right="13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916,249</w:t>
            </w:r>
          </w:p>
        </w:tc>
        <w:tc>
          <w:tcPr>
            <w:tcW w:w="20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1,077,978</w:t>
            </w:r>
          </w:p>
        </w:tc>
        <w:tc>
          <w:tcPr>
            <w:tcW w:w="320" w:type="dxa"/>
            <w:vAlign w:val="bottom"/>
            <w:vMerge w:val="continue"/>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2"/>
        </w:trPr>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16,915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16,915</w:t>
            </w:r>
          </w:p>
        </w:tc>
        <w:tc>
          <w:tcPr>
            <w:tcW w:w="140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(349)</w:t>
            </w:r>
          </w:p>
        </w:tc>
        <w:tc>
          <w:tcPr>
            <w:tcW w:w="140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5"/>
        </w:trPr>
        <w:tc>
          <w:tcPr>
            <w:tcW w:w="5180" w:type="dxa"/>
            <w:vAlign w:val="bottom"/>
            <w:tcBorders>
              <w:bottom w:val="single" w:sz="8" w:color="CCEEFF"/>
            </w:tcBorders>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other income (expenses)</w:t>
            </w:r>
          </w:p>
        </w:tc>
        <w:tc>
          <w:tcPr>
            <w:tcW w:w="280" w:type="dxa"/>
            <w:vAlign w:val="bottom"/>
            <w:tcBorders>
              <w:top w:val="single" w:sz="8" w:color="auto"/>
              <w:bottom w:val="single" w:sz="8" w:color="auto"/>
            </w:tcBorders>
          </w:tcPr>
          <w:p>
            <w:pPr>
              <w:jc w:val="right"/>
              <w:ind w:right="9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16,062</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(504</w:t>
            </w:r>
          </w:p>
        </w:tc>
        <w:tc>
          <w:tcPr>
            <w:tcW w:w="200" w:type="dxa"/>
            <w:vAlign w:val="bottom"/>
            <w:tcBorders>
              <w:bottom w:val="single" w:sz="8" w:color="CCEEFF"/>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16,566</w:t>
            </w:r>
          </w:p>
        </w:tc>
        <w:tc>
          <w:tcPr>
            <w:tcW w:w="32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3,287</w:t>
            </w:r>
          </w:p>
        </w:tc>
        <w:tc>
          <w:tcPr>
            <w:tcW w:w="180" w:type="dxa"/>
            <w:vAlign w:val="bottom"/>
            <w:tcBorders>
              <w:bottom w:val="single" w:sz="8" w:color="CCEEFF"/>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5"/>
        </w:trPr>
        <w:tc>
          <w:tcPr>
            <w:tcW w:w="5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TAXES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(1,978,165)</w:t>
            </w:r>
          </w:p>
        </w:tc>
        <w:tc>
          <w:tcPr>
            <w:tcW w:w="4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b w:val="1"/>
                <w:bCs w:val="1"/>
                <w:color w:val="auto"/>
              </w:rPr>
              <w:t>(916,753)</w:t>
            </w:r>
          </w:p>
        </w:tc>
        <w:tc>
          <w:tcPr>
            <w:tcW w:w="3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(1,061,412)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(1,978,165)</w:t>
            </w:r>
          </w:p>
        </w:tc>
        <w:tc>
          <w:tcPr>
            <w:tcW w:w="4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b w:val="1"/>
                <w:bCs w:val="1"/>
                <w:color w:val="auto"/>
              </w:rPr>
              <w:t>(916,753)</w:t>
            </w:r>
          </w:p>
        </w:tc>
        <w:tc>
          <w:tcPr>
            <w:tcW w:w="3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(1,061,412)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first quarter results reflect continued investment in our products and services. Operating expenses were higher than the same period in 2024, due mainly to higher compensation expenses in the quarter.</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Salaries and wages were higher by $1,085,536 (218%) compared to the same period in 2024. Base wages were lower by $16,097 (6%) due to fluctuations in the full-time workforce. Stock-based compensation increased $1,101,633, as the Company used equity instead of cash as compensation for services.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and professional fees were higher by $25,285 (14%) due mainly to increased filing and maintenance fees associated with its patent portfolio.</w:t>
      </w:r>
    </w:p>
    <w:p>
      <w:pPr>
        <w:spacing w:after="0" w:line="2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Office supplies and software expenses were lower by $4,587 as the Company continued to manage discretionary spending in the quarter to extend the cash runway.</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Rent expense was higher by $4,400 compared to the prior year period. In April 2024, the Company moved to a new, larger office space resulting in higher monthly rent expense.</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Taxes and license expense was lower by $13,542 in the period, due mainly to lower payroll taxes. The Company deferred certain salaries and wages in the period, including the associated payroll taxes, to extend liquidity prior to closing the direct listing. These payroll taxes were accrued in salaries and wages.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general and administrative expenses, in total, were lower by $23,082 due to reduced discretionary spend in all areas.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primary source of liquidity is cash on hand. As of March 31, 2025, our cash totalled $295,368. This represents an increase of $166,050 from the $129,318 on hand at the end of the prior fiscal year. This increase was primarily attributable to net proceeds received from the sales of stock totalling $717,628. These proceeds were used to fund general operating expenses, including salaries, professional services and research and development expenses.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and Liquidity</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1020" w:type="dxa"/>
            <w:vAlign w:val="bottom"/>
            <w:vMerge w:val="restart"/>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4"/>
                <w:szCs w:val="24"/>
                <w:color w:val="auto"/>
              </w:rPr>
            </w:pPr>
          </w:p>
        </w:tc>
        <w:tc>
          <w:tcPr>
            <w:tcW w:w="120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205"/>
        </w:trPr>
        <w:tc>
          <w:tcPr>
            <w:tcW w:w="5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(546,671)</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(602,477)</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55,806</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(2,832)</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(2,832)</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715,553</w:t>
            </w:r>
          </w:p>
        </w:tc>
        <w:tc>
          <w:tcPr>
            <w:tcW w:w="3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772,423</w:t>
            </w:r>
          </w:p>
        </w:tc>
        <w:tc>
          <w:tcPr>
            <w:tcW w:w="2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(56,870)</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166,050</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169,946</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(3,896)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24"/>
        </w:trPr>
        <w:tc>
          <w:tcPr>
            <w:tcW w:w="5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- 25 -</w:t>
            </w: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76" w:right="339" w:bottom="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$546,671 for the three months ended March 31, 2025, compared to $602,477 for the same period in 2024. The decrease in cash outflows was primarily due to higher use of stock-based compensation in lieu of cash payments to employees, contractors and advisors. Stock-based compensation in the period increased by $1,101,633 compared to the same period in 2024, while the net loss was $1,061,412 higher compared to the prior year period, resulting in a net operating cash flow improvement of $40,221.</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Changes in net operating assets and liabilities resulted in a net inflow of $75,858 in the period. This was primarily driven by increases in accrued liabilities ($133,468), prepaid expenses ($7,081), other current assets ($1,412), and credit card payable ($159), offset by a reduction of accounts payable of $66,262. The increase in accrued liabilities was due to an increase of deferred salaries and wages of $113,716 in the period and deferral of licensing fee payments of $20,000.</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the prior-year period, changes in net operating assets and liabilities resulted in a net inflow of $60,409. This was primarily driven by an increase in accrued liabilities ($87,676) and prepaid expenses ($4,377), offset by reductions in accounts payable ($3,554), and credit card payable ($28,090).</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Non-cash adjustments to reconcile net loss to cash used in operating activities for the current period included depreciation and amortization of $7,391, compared to $7,255 for the prior year period.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Net cash used for investing activities was $2,832 in the period. This was due to an increase in construction in progress for final installation costs related to an Arrive Point asset deployed to a customer location.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Net cash provided by financing activities was $715,553 in the period. This was due to new equity issuances and conversion of outstanding warrants. Funds raised through a crowdfunding campaign included new gross equity investment ($288,002), a net release of funds from prior crowdfunding issuances ($40,219), offset by funding costs associated with the campaign ($59,468), resulting in new funds from crowdfunding of $268,753.</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also issued new shares to accredited investors for net proceeds of $152,000, and to an existing investor in exchange for a warrant conversion, resulting in net proceeds of $296,875. Payments made on an outstanding note for the company cargo van totalled $2,075 in the period.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required to provide the information required by this Item because it is a “smaller reporting 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(our principal executive officer and principal financial officer, respectively), evaluated, as of the end of the period covered by this Quarterly Report on Form 10-Q, the effectiveness of our disclosure controls and procedures as defined in Rules 13a-15(e) or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Based on that evaluation of our disclosure controls and procedures as required by Rules 13a-15(b) or 15d-15(b) under the Exchange Act, as of March 31, 2025, our Chief Executive Officer and Chief Financial Officer concluded that, as of such date, our disclosure controls and procedures were effective for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or 15d-15(f) under the Exchange Act) was identified in the evaluation required by Rule 13a-15(d) or 15d-15(d) under the Exchange Act during the quarter ended March 31, 2025 that has materially affected, or is reasonably likely to materially affect, our internal control over financial reporting.</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From time to time, Arrive AI Inc. may be subject to various claims, lawsuits and other legal and administrative proceedings arising in the ordinary course of business.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Other than as set forth below, Arrive AI is not presently a party to any litigation the outcome of which, if determined adversely to us, would in our estimation, have a Material Adverse Effect on our business, operating results, cash flows or financial condition. The following is a summary of the Company’s ongoing legal proceedings:</w:t>
      </w:r>
    </w:p>
    <w:p>
      <w:pPr>
        <w:spacing w:after="0" w:line="18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Byfield Management, Inc. and Ohrn II, Richard B v. Dronedek Corporation</w:t>
      </w:r>
      <w:r>
        <w:rPr>
          <w:rFonts w:ascii="Times New Roman" w:cs="Times New Roman" w:eastAsia="Times New Roman" w:hAnsi="Times New Roman"/>
          <w:sz w:val="18"/>
          <w:szCs w:val="18"/>
          <w:color w:val="auto"/>
        </w:rPr>
        <w:t>. This is an employment action, originally filed in the Hamilton County Court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State of Indiana Hamilton Superior Court/File: 5 29 D05-2303-PL-002478. Orhn, working as Byfield Management, Inc., was the original chief financial officer of the Company under an oral agreement. The amount in dispute includes two years of salary and stock options. The Company terminated this executive contract for cause. The case was moved to Marion Superior Court No. 2 of the State of Indiana on March 15, 2023 CAUSE NO. 49D02-2305-PL-020604. Plaintiffs alleged breach of employment agreement; breach of stock purchase agreement; breach of fiduciary duties and non-payment of salary, bonuses, and benefits. Arrive terminated Ohrn/Byfield’s employment because of several misrepresentations in connection with the financial stability by Ohrn, including bankruptcy and mortgage foreclosure. Indiana is an at-will employment state. Affirmative defenses and counterclaims were filed, discovery documents have been exchanged by the parties, but no further motions are pending. No trial dates or case management plan has been filed. In May 2024, the court asked for a dismissal which prompted the plaintiff to request some third-party documents. No other motions are pending. The settlement demand includes unpaid salary and stock awards. Arrive has engaged Taft Stettinius &amp; Hollister LLP as its external counsel to represent the company in this matter. The Company firmly believes there is no unpaid salary since there was no written or oral contract of employment. The potential stock issue was never completed. Any partial vesting required a small purchase which never happened in Ohrn’s case, therefore Ohrn held no stock upon termination. Even though plaintiff’s allegations amount to approximately $29 million in total damages, plaintiff’s allegations have no merit, it is not possible at this time to ascertain an exact figure upon the outcome of this litigation through a court’s final decision, or if any damages may be granted at all, in the opinion of the company’s management and litigation counsel, such allegations may not proceed given the facts presented before the court, such as the breach of the plaintiff’s obligations under the agreement and the termination of the agreement by the Company for cause.</w:t>
      </w:r>
    </w:p>
    <w:p>
      <w:pPr>
        <w:spacing w:after="0" w:line="19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An initial Cease and Desist letter on Arrive AI’s trademark from Arrive Logistics was received July 19, 2023. An open, positive discussion is ongoing between counsel.</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a smaller reporting company under Rule 12b-2 of the Exchange Act, the Company is not required to provide risk factors in this report. For our current risk factors relating to our operations see the section entitled “Risk Factors” contained in our Registration Statement on Form S-1 filed with the SEC on December 23, 2024, and amended Form S-1/A filed with the SEC on May 13, 2025.</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Additional risks and uncertainties not currently known to us or that we currently deem to be immaterial also may materially adversely affect our business, financial condition or future results.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2025, the Company issued the following unregistered securities:</w:t>
      </w:r>
    </w:p>
    <w:p>
      <w:pPr>
        <w:spacing w:after="0" w:line="127" w:lineRule="exact"/>
        <w:rPr>
          <w:sz w:val="20"/>
          <w:szCs w:val="20"/>
          <w:color w:val="auto"/>
        </w:rPr>
      </w:pPr>
    </w:p>
    <w:p>
      <w:pPr>
        <w:ind w:left="640" w:hanging="316"/>
        <w:spacing w:after="0" w:line="274"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common stock to an investor per the terms of the share purchase agreement, including 2,937,500 pre-delivery shares for gross proceeds of $587.50.</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10,950 shares of common stock to a shareholder for the exercise of outstanding warrants, for gross proceeds of $52,012.50.</w:t>
      </w:r>
    </w:p>
    <w:p>
      <w:pPr>
        <w:spacing w:after="0" w:line="217"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408 shares of common stock at $13.00 per share to five investors from a crowdfunding campaign, which ended on April 21, 2025, for gross proceeds of $5,304 before offering costs.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Report.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23"/>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6"/>
        </w:trPr>
        <w:tc>
          <w:tcPr>
            <w:tcW w:w="96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4"/>
                <w:szCs w:val="14"/>
                <w:color w:val="auto"/>
              </w:rPr>
            </w:pPr>
          </w:p>
        </w:tc>
        <w:tc>
          <w:tcPr>
            <w:tcW w:w="86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8"/>
                <w:szCs w:val="18"/>
                <w:color w:val="0000EE"/>
                <w:w w:val="98"/>
              </w:rPr>
              <w:t>Section 302</w:t>
            </w:r>
          </w:p>
        </w:tc>
        <w:tc>
          <w:tcPr>
            <w:tcW w:w="9300" w:type="dxa"/>
            <w:vAlign w:val="bottom"/>
            <w:tcBorders>
              <w:top w:val="single" w:sz="8" w:color="auto"/>
            </w:tcBorders>
            <w:gridSpan w:val="5"/>
          </w:tcPr>
          <w:p>
            <w:pPr>
              <w:ind w:left="20"/>
              <w:spacing w:after="0" w:line="165" w:lineRule="exact"/>
              <w:rPr>
                <w:sz w:val="20"/>
                <w:szCs w:val="20"/>
                <w:color w:val="auto"/>
              </w:rPr>
            </w:pPr>
            <w:r>
              <w:rPr>
                <w:rFonts w:ascii="Times New Roman" w:cs="Times New Roman" w:eastAsia="Times New Roman" w:hAnsi="Times New Roman"/>
                <w:sz w:val="18"/>
                <w:szCs w:val="18"/>
                <w:color w:val="0000EE"/>
              </w:rPr>
              <w:t>Certification of Chief Executive Officer</w:t>
            </w:r>
          </w:p>
        </w:tc>
      </w:tr>
      <w:tr>
        <w:trPr>
          <w:trHeight w:val="192"/>
        </w:trPr>
        <w:tc>
          <w:tcPr>
            <w:tcW w:w="9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6"/>
                <w:szCs w:val="16"/>
                <w:color w:val="auto"/>
              </w:rPr>
            </w:pPr>
          </w:p>
        </w:tc>
        <w:tc>
          <w:tcPr>
            <w:tcW w:w="860" w:type="dxa"/>
            <w:vAlign w:val="bottom"/>
            <w:tcBorders>
              <w:top w:val="single" w:sz="8" w:color="0000EE"/>
              <w:bottom w:val="single" w:sz="8" w:color="0000EE"/>
            </w:tcBorders>
          </w:tcPr>
          <w:p>
            <w:pPr>
              <w:spacing w:after="0" w:line="192" w:lineRule="exact"/>
              <w:rPr>
                <w:sz w:val="20"/>
                <w:szCs w:val="20"/>
                <w:color w:val="auto"/>
              </w:rPr>
            </w:pPr>
            <w:r>
              <w:rPr>
                <w:rFonts w:ascii="Times New Roman" w:cs="Times New Roman" w:eastAsia="Times New Roman" w:hAnsi="Times New Roman"/>
                <w:sz w:val="18"/>
                <w:szCs w:val="18"/>
                <w:color w:val="0000EE"/>
                <w:w w:val="98"/>
              </w:rPr>
              <w:t>Section 302</w:t>
            </w:r>
          </w:p>
        </w:tc>
        <w:tc>
          <w:tcPr>
            <w:tcW w:w="2800" w:type="dxa"/>
            <w:vAlign w:val="bottom"/>
            <w:tcBorders>
              <w:top w:val="single" w:sz="8" w:color="0000EE"/>
              <w:bottom w:val="single" w:sz="8" w:color="0000EE"/>
            </w:tcBorders>
          </w:tcPr>
          <w:p>
            <w:pPr>
              <w:ind w:left="20"/>
              <w:spacing w:after="0" w:line="192" w:lineRule="exact"/>
              <w:rPr>
                <w:sz w:val="20"/>
                <w:szCs w:val="20"/>
                <w:color w:val="auto"/>
              </w:rPr>
            </w:pPr>
            <w:r>
              <w:rPr>
                <w:rFonts w:ascii="Times New Roman" w:cs="Times New Roman" w:eastAsia="Times New Roman" w:hAnsi="Times New Roman"/>
                <w:sz w:val="18"/>
                <w:szCs w:val="18"/>
                <w:color w:val="0000EE"/>
                <w:w w:val="97"/>
              </w:rPr>
              <w:t>Certification of Chief Financial Officer</w:t>
            </w:r>
          </w:p>
        </w:tc>
        <w:tc>
          <w:tcPr>
            <w:tcW w:w="40" w:type="dxa"/>
            <w:vAlign w:val="bottom"/>
            <w:tcBorders>
              <w:top w:val="single" w:sz="8" w:color="0000EE"/>
            </w:tcBorders>
          </w:tcPr>
          <w:p>
            <w:pPr>
              <w:spacing w:after="0"/>
              <w:rPr>
                <w:sz w:val="16"/>
                <w:szCs w:val="16"/>
                <w:color w:val="auto"/>
              </w:rPr>
            </w:pPr>
          </w:p>
        </w:tc>
        <w:tc>
          <w:tcPr>
            <w:tcW w:w="6460" w:type="dxa"/>
            <w:vAlign w:val="bottom"/>
            <w:gridSpan w:val="3"/>
          </w:tcPr>
          <w:p>
            <w:pPr>
              <w:spacing w:after="0"/>
              <w:rPr>
                <w:sz w:val="16"/>
                <w:szCs w:val="16"/>
                <w:color w:val="auto"/>
              </w:rPr>
            </w:pPr>
          </w:p>
        </w:tc>
      </w:tr>
      <w:tr>
        <w:trPr>
          <w:trHeight w:val="192"/>
        </w:trPr>
        <w:tc>
          <w:tcPr>
            <w:tcW w:w="9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6"/>
                <w:szCs w:val="16"/>
                <w:color w:val="auto"/>
              </w:rPr>
            </w:pPr>
          </w:p>
        </w:tc>
        <w:tc>
          <w:tcPr>
            <w:tcW w:w="860" w:type="dxa"/>
            <w:vAlign w:val="bottom"/>
            <w:tcBorders>
              <w:bottom w:val="single" w:sz="8" w:color="0000EE"/>
            </w:tcBorders>
          </w:tcPr>
          <w:p>
            <w:pPr>
              <w:spacing w:after="0" w:line="192" w:lineRule="exact"/>
              <w:rPr>
                <w:sz w:val="20"/>
                <w:szCs w:val="20"/>
                <w:color w:val="auto"/>
              </w:rPr>
            </w:pPr>
            <w:r>
              <w:rPr>
                <w:rFonts w:ascii="Times New Roman" w:cs="Times New Roman" w:eastAsia="Times New Roman" w:hAnsi="Times New Roman"/>
                <w:sz w:val="18"/>
                <w:szCs w:val="18"/>
                <w:color w:val="0000EE"/>
                <w:w w:val="98"/>
              </w:rPr>
              <w:t>Section 906</w:t>
            </w:r>
          </w:p>
        </w:tc>
        <w:tc>
          <w:tcPr>
            <w:tcW w:w="2920" w:type="dxa"/>
            <w:vAlign w:val="bottom"/>
            <w:tcBorders>
              <w:bottom w:val="single" w:sz="8" w:color="0000EE"/>
            </w:tcBorders>
            <w:gridSpan w:val="4"/>
          </w:tcPr>
          <w:p>
            <w:pPr>
              <w:ind w:left="20"/>
              <w:spacing w:after="0" w:line="192" w:lineRule="exact"/>
              <w:rPr>
                <w:sz w:val="20"/>
                <w:szCs w:val="20"/>
                <w:color w:val="auto"/>
              </w:rPr>
            </w:pPr>
            <w:r>
              <w:rPr>
                <w:rFonts w:ascii="Times New Roman" w:cs="Times New Roman" w:eastAsia="Times New Roman" w:hAnsi="Times New Roman"/>
                <w:sz w:val="18"/>
                <w:szCs w:val="18"/>
                <w:color w:val="0000EE"/>
                <w:w w:val="97"/>
              </w:rPr>
              <w:t>Certifications of Chief Executive Officer</w:t>
            </w:r>
          </w:p>
        </w:tc>
        <w:tc>
          <w:tcPr>
            <w:tcW w:w="6380" w:type="dxa"/>
            <w:vAlign w:val="bottom"/>
          </w:tcPr>
          <w:p>
            <w:pPr>
              <w:spacing w:after="0"/>
              <w:rPr>
                <w:sz w:val="16"/>
                <w:szCs w:val="16"/>
                <w:color w:val="auto"/>
              </w:rPr>
            </w:pPr>
          </w:p>
        </w:tc>
      </w:tr>
      <w:tr>
        <w:trPr>
          <w:trHeight w:val="192"/>
        </w:trPr>
        <w:tc>
          <w:tcPr>
            <w:tcW w:w="9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6"/>
                <w:szCs w:val="16"/>
                <w:color w:val="auto"/>
              </w:rPr>
            </w:pPr>
          </w:p>
        </w:tc>
        <w:tc>
          <w:tcPr>
            <w:tcW w:w="8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0000EE"/>
                <w:w w:val="98"/>
              </w:rPr>
              <w:t>Section 906</w:t>
            </w:r>
          </w:p>
        </w:tc>
        <w:tc>
          <w:tcPr>
            <w:tcW w:w="9300" w:type="dxa"/>
            <w:vAlign w:val="bottom"/>
            <w:gridSpan w:val="5"/>
          </w:tcPr>
          <w:p>
            <w:pPr>
              <w:ind w:left="20"/>
              <w:spacing w:after="0" w:line="192" w:lineRule="exact"/>
              <w:rPr>
                <w:sz w:val="20"/>
                <w:szCs w:val="20"/>
                <w:color w:val="auto"/>
              </w:rPr>
            </w:pPr>
            <w:r>
              <w:rPr>
                <w:rFonts w:ascii="Times New Roman" w:cs="Times New Roman" w:eastAsia="Times New Roman" w:hAnsi="Times New Roman"/>
                <w:sz w:val="18"/>
                <w:szCs w:val="18"/>
                <w:color w:val="0000EE"/>
              </w:rPr>
              <w:t>Certifications of Chief Financial Officer</w:t>
            </w:r>
          </w:p>
        </w:tc>
      </w:tr>
      <w:tr>
        <w:trPr>
          <w:trHeight w:val="213"/>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INS**</w:t>
            </w:r>
          </w:p>
        </w:tc>
        <w:tc>
          <w:tcPr>
            <w:tcW w:w="37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INSTANCE DOCUMENT</w:t>
            </w:r>
          </w:p>
        </w:tc>
        <w:tc>
          <w:tcPr>
            <w:tcW w:w="6440" w:type="dxa"/>
            <w:vAlign w:val="bottom"/>
            <w:gridSpan w:val="2"/>
          </w:tcPr>
          <w:p>
            <w:pPr>
              <w:spacing w:after="0"/>
              <w:rPr>
                <w:sz w:val="18"/>
                <w:szCs w:val="18"/>
                <w:color w:val="auto"/>
              </w:rPr>
            </w:pPr>
          </w:p>
        </w:tc>
      </w:tr>
      <w:tr>
        <w:trPr>
          <w:trHeight w:val="21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SCH**</w:t>
            </w:r>
          </w:p>
        </w:tc>
        <w:tc>
          <w:tcPr>
            <w:tcW w:w="10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SCHEMA DOCUMENT</w:t>
            </w:r>
          </w:p>
        </w:tc>
      </w:tr>
      <w:tr>
        <w:trPr>
          <w:trHeight w:val="21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CAL**</w:t>
            </w:r>
          </w:p>
        </w:tc>
        <w:tc>
          <w:tcPr>
            <w:tcW w:w="10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r>
      <w:tr>
        <w:trPr>
          <w:trHeight w:val="21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LAB**</w:t>
            </w:r>
          </w:p>
        </w:tc>
        <w:tc>
          <w:tcPr>
            <w:tcW w:w="10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LABELS LINKBASE DOCUMENT</w:t>
            </w:r>
          </w:p>
        </w:tc>
      </w:tr>
      <w:tr>
        <w:trPr>
          <w:trHeight w:val="21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PRE**</w:t>
            </w:r>
          </w:p>
        </w:tc>
        <w:tc>
          <w:tcPr>
            <w:tcW w:w="10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r>
      <w:tr>
        <w:trPr>
          <w:trHeight w:val="21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DEF**</w:t>
            </w:r>
          </w:p>
        </w:tc>
        <w:tc>
          <w:tcPr>
            <w:tcW w:w="10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r>
      <w:tr>
        <w:trPr>
          <w:trHeight w:val="2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10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w:t>
            </w:r>
          </w:p>
        </w:tc>
      </w:tr>
      <w:tr>
        <w:trPr>
          <w:trHeight w:val="231"/>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193" w:lineRule="exact"/>
        <w:rPr>
          <w:sz w:val="20"/>
          <w:szCs w:val="20"/>
          <w:color w:val="auto"/>
        </w:rPr>
      </w:pPr>
    </w:p>
    <w:p>
      <w:pPr>
        <w:ind w:left="320" w:hanging="314"/>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7" w:lineRule="exact"/>
        <w:rPr>
          <w:sz w:val="20"/>
          <w:szCs w:val="20"/>
          <w:color w:val="auto"/>
        </w:rPr>
      </w:pPr>
    </w:p>
    <w:p>
      <w:pPr>
        <w:jc w:val="both"/>
        <w:ind w:left="320" w:hanging="314"/>
        <w:spacing w:after="0" w:line="274" w:lineRule="auto"/>
        <w:tabs>
          <w:tab w:leader="none" w:pos="3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Submitted electronically herewith. Attached as Exhibit 101 are the following materials from Quarterly Report on Form 10-Q for the quarter ended March 31, 2025, formatted in Inline eXtensible Business Reporting Language (“iXBRL”): (i) the Condensed Consolidated Balance Sheets; (ii) the Condensed Consolidated Statements of Operations; (iii) the Condensed Consolidated Statements of Equity; (iv) the Condensed Consolidated Statements of Cash Flows; (v) notes to these Condensed Consolidated Financial Statements; and (vi) the Cover Page to Quarterly Report on our Form 10-Q.</w:t>
      </w:r>
    </w:p>
    <w:p>
      <w:pPr>
        <w:spacing w:after="0" w:line="167" w:lineRule="exact"/>
        <w:rPr>
          <w:rFonts w:ascii="Times New Roman" w:cs="Times New Roman" w:eastAsia="Times New Roman" w:hAnsi="Times New Roman"/>
          <w:sz w:val="17"/>
          <w:szCs w:val="17"/>
          <w:color w:val="auto"/>
        </w:rPr>
      </w:pPr>
    </w:p>
    <w:p>
      <w:pPr>
        <w:ind w:left="5540" w:hanging="101"/>
        <w:spacing w:after="0"/>
        <w:tabs>
          <w:tab w:leader="none" w:pos="5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29" w:name="page30"/>
    <w:bookmarkEnd w:id="29"/>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June 5, 2025</w:t>
      </w:r>
      <w:r>
        <w:rPr>
          <w:sz w:val="20"/>
          <w:szCs w:val="20"/>
          <w:color w:val="auto"/>
        </w:rPr>
        <w:tab/>
      </w:r>
      <w:r>
        <w:rPr>
          <w:rFonts w:ascii="Times New Roman" w:cs="Times New Roman" w:eastAsia="Times New Roman" w:hAnsi="Times New Roman"/>
          <w:sz w:val="17"/>
          <w:szCs w:val="17"/>
          <w:color w:val="auto"/>
        </w:rPr>
        <w:t>ARRIVE AI INC.</w:t>
      </w:r>
    </w:p>
    <w:p>
      <w:pPr>
        <w:spacing w:after="0" w:line="2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Todd Pepmeier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15875</wp:posOffset>
            </wp:positionV>
            <wp:extent cx="35674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Todd Pepmeier</w:t>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(On behalf of the Registrant and as principal financial officer)</w:t>
      </w:r>
    </w:p>
    <w:p>
      <w:pPr>
        <w:spacing w:after="0" w:line="19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040"/>
          </w:cols>
          <w:pgMar w:left="320" w:top="676" w:right="5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13a-14(a)/RULE 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S. O’Toole, certify that:</w:t>
      </w:r>
    </w:p>
    <w:p>
      <w:pPr>
        <w:spacing w:after="0" w:line="217" w:lineRule="exact"/>
        <w:rPr>
          <w:sz w:val="20"/>
          <w:szCs w:val="20"/>
          <w:color w:val="auto"/>
        </w:rPr>
      </w:pPr>
    </w:p>
    <w:p>
      <w:pPr>
        <w:ind w:left="180" w:hanging="174"/>
        <w:spacing w:after="0"/>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Arrive AI Inc.;</w:t>
      </w:r>
    </w:p>
    <w:p>
      <w:pPr>
        <w:spacing w:after="0" w:line="217"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right="20" w:firstLine="6"/>
        <w:spacing w:after="0" w:line="259" w:lineRule="auto"/>
        <w:tabs>
          <w:tab w:leader="none" w:pos="1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sz w:val="20"/>
          <w:szCs w:val="20"/>
          <w:color w:val="auto"/>
        </w:rPr>
      </w:pPr>
    </w:p>
    <w:p>
      <w:pPr>
        <w:jc w:val="both"/>
        <w:ind w:firstLine="6"/>
        <w:spacing w:after="0" w:line="259" w:lineRule="auto"/>
        <w:tabs>
          <w:tab w:leader="none" w:pos="19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firstLine="6"/>
        <w:spacing w:after="0" w:line="259" w:lineRule="auto"/>
        <w:tabs>
          <w:tab w:leader="none" w:pos="20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firstLine="6"/>
        <w:spacing w:after="0" w:line="274" w:lineRule="auto"/>
        <w:tabs>
          <w:tab w:leader="none" w:pos="1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firstLine="6"/>
        <w:spacing w:after="0" w:line="259" w:lineRule="auto"/>
        <w:tabs>
          <w:tab w:leader="none" w:pos="19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sz w:val="20"/>
          <w:szCs w:val="20"/>
          <w:color w:val="auto"/>
        </w:rPr>
      </w:pPr>
    </w:p>
    <w:p>
      <w:pPr>
        <w:ind w:firstLine="6"/>
        <w:spacing w:after="0" w:line="274" w:lineRule="auto"/>
        <w:tabs>
          <w:tab w:leader="none" w:pos="2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firstLine="6"/>
        <w:spacing w:after="0" w:line="274" w:lineRule="auto"/>
        <w:tabs>
          <w:tab w:leader="none" w:pos="18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firstLine="6"/>
        <w:spacing w:after="0" w:line="274" w:lineRule="auto"/>
        <w:tabs>
          <w:tab w:leader="none" w:pos="20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2025</w:t>
            </w: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 xml:space="preserve">By: </w:t>
            </w:r>
            <w:r>
              <w:rPr>
                <w:rFonts w:ascii="Times New Roman" w:cs="Times New Roman" w:eastAsia="Times New Roman" w:hAnsi="Times New Roman"/>
                <w:sz w:val="18"/>
                <w:szCs w:val="18"/>
                <w:i w:val="1"/>
                <w:iCs w:val="1"/>
                <w:color w:val="auto"/>
                <w:w w:val="96"/>
              </w:rPr>
              <w:t>/s/ Daniel S. O’Toole</w:t>
            </w:r>
          </w:p>
        </w:tc>
      </w:tr>
      <w:tr>
        <w:trPr>
          <w:trHeight w:val="185"/>
        </w:trPr>
        <w:tc>
          <w:tcPr>
            <w:tcW w:w="5620" w:type="dxa"/>
            <w:vAlign w:val="bottom"/>
          </w:tcPr>
          <w:p>
            <w:pPr>
              <w:spacing w:after="0"/>
              <w:rPr>
                <w:sz w:val="16"/>
                <w:szCs w:val="16"/>
                <w:color w:val="auto"/>
              </w:rPr>
            </w:pPr>
          </w:p>
        </w:tc>
        <w:tc>
          <w:tcPr>
            <w:tcW w:w="562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98"/>
              </w:rPr>
              <w:t>Daniel S. O’Toole</w:t>
            </w:r>
          </w:p>
        </w:tc>
      </w:tr>
      <w:tr>
        <w:trPr>
          <w:trHeight w:val="210"/>
        </w:trPr>
        <w:tc>
          <w:tcPr>
            <w:tcW w:w="562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Chief Executive Officer</w:t>
            </w:r>
          </w:p>
        </w:tc>
      </w:tr>
      <w:tr>
        <w:trPr>
          <w:trHeight w:val="235"/>
        </w:trPr>
        <w:tc>
          <w:tcPr>
            <w:tcW w:w="562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(Principal Executive Officer)</w:t>
            </w:r>
          </w:p>
        </w:tc>
      </w:tr>
      <w:tr>
        <w:trPr>
          <w:trHeight w:val="423"/>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13a-14(a)/RULE 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Pepmeier, certify that:</w:t>
      </w:r>
    </w:p>
    <w:p>
      <w:pPr>
        <w:spacing w:after="0" w:line="217" w:lineRule="exact"/>
        <w:rPr>
          <w:sz w:val="20"/>
          <w:szCs w:val="20"/>
          <w:color w:val="auto"/>
        </w:rPr>
      </w:pPr>
    </w:p>
    <w:p>
      <w:pPr>
        <w:ind w:left="180" w:hanging="174"/>
        <w:spacing w:after="0"/>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Arrive AI Inc.;</w:t>
      </w:r>
    </w:p>
    <w:p>
      <w:pPr>
        <w:spacing w:after="0" w:line="217"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right="20" w:firstLine="6"/>
        <w:spacing w:after="0" w:line="259" w:lineRule="auto"/>
        <w:tabs>
          <w:tab w:leader="none" w:pos="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sz w:val="20"/>
          <w:szCs w:val="20"/>
          <w:color w:val="auto"/>
        </w:rPr>
      </w:pPr>
    </w:p>
    <w:p>
      <w:pPr>
        <w:jc w:val="both"/>
        <w:ind w:firstLine="6"/>
        <w:spacing w:after="0" w:line="259" w:lineRule="auto"/>
        <w:tabs>
          <w:tab w:leader="none" w:pos="19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firstLine="6"/>
        <w:spacing w:after="0" w:line="259" w:lineRule="auto"/>
        <w:tabs>
          <w:tab w:leader="none" w:pos="2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firstLine="6"/>
        <w:spacing w:after="0" w:line="274" w:lineRule="auto"/>
        <w:tabs>
          <w:tab w:leader="none" w:pos="18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firstLine="6"/>
        <w:spacing w:after="0" w:line="259" w:lineRule="auto"/>
        <w:tabs>
          <w:tab w:leader="none" w:pos="19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sz w:val="20"/>
          <w:szCs w:val="20"/>
          <w:color w:val="auto"/>
        </w:rPr>
      </w:pPr>
    </w:p>
    <w:p>
      <w:pPr>
        <w:ind w:firstLine="6"/>
        <w:spacing w:after="0" w:line="274" w:lineRule="auto"/>
        <w:tabs>
          <w:tab w:leader="none" w:pos="2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firstLine="6"/>
        <w:spacing w:after="0" w:line="274" w:lineRule="auto"/>
        <w:tabs>
          <w:tab w:leader="none" w:pos="18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firstLine="6"/>
        <w:spacing w:after="0" w:line="274" w:lineRule="auto"/>
        <w:tabs>
          <w:tab w:leader="none" w:pos="2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p>
      <w:pPr>
        <w:spacing w:after="0"/>
        <w:tabs>
          <w:tab w:leader="none" w:pos="7620" w:val="left"/>
        </w:tabs>
        <w:rPr>
          <w:sz w:val="20"/>
          <w:szCs w:val="20"/>
          <w:color w:val="auto"/>
        </w:rPr>
      </w:pPr>
      <w:r>
        <w:rPr>
          <w:rFonts w:ascii="Times New Roman" w:cs="Times New Roman" w:eastAsia="Times New Roman" w:hAnsi="Times New Roman"/>
          <w:sz w:val="18"/>
          <w:szCs w:val="18"/>
          <w:color w:val="auto"/>
        </w:rPr>
        <w:t>Date: June 5, 2025</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Todd Pepmeier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15875</wp:posOffset>
            </wp:positionV>
            <wp:extent cx="35674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Todd Pepmeier</w:t>
      </w:r>
    </w:p>
    <w:p>
      <w:pPr>
        <w:spacing w:after="0" w:line="1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271780</wp:posOffset>
            </wp:positionV>
            <wp:extent cx="7134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Arrive AI Inc. (the “Registrant”) on Form 10-Q for the period ending March 31, 2025 as filed with the Securities and Exchange Commission on the date hereof (the “Report”), I, Daniel S. O’Toole, Chief Executive Officer of the Registrant, certify, pursuant to 18 U.S.C. Section 1350, as adopted pursuant to Section 906 of the Sarbanes-Oxley Act of 2002, that to my knowledge:</w:t>
      </w:r>
    </w:p>
    <w:p>
      <w:pPr>
        <w:spacing w:after="0" w:line="178" w:lineRule="exact"/>
        <w:rPr>
          <w:sz w:val="20"/>
          <w:szCs w:val="20"/>
          <w:color w:val="auto"/>
        </w:rPr>
      </w:pPr>
    </w:p>
    <w:p>
      <w:pPr>
        <w:ind w:left="260" w:hanging="254"/>
        <w:spacing w:after="0"/>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15" w:lineRule="exact"/>
        <w:rPr>
          <w:sz w:val="20"/>
          <w:szCs w:val="20"/>
          <w:color w:val="auto"/>
        </w:rPr>
      </w:pPr>
    </w:p>
    <w:p>
      <w:pPr>
        <w:spacing w:after="0"/>
        <w:tabs>
          <w:tab w:leader="none" w:pos="7520" w:val="left"/>
        </w:tabs>
        <w:rPr>
          <w:sz w:val="20"/>
          <w:szCs w:val="20"/>
          <w:color w:val="auto"/>
        </w:rPr>
      </w:pPr>
      <w:r>
        <w:rPr>
          <w:rFonts w:ascii="Times New Roman" w:cs="Times New Roman" w:eastAsia="Times New Roman" w:hAnsi="Times New Roman"/>
          <w:sz w:val="18"/>
          <w:szCs w:val="18"/>
          <w:color w:val="auto"/>
        </w:rPr>
        <w:t>Date: June 5, 2025</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Daniel S.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15875</wp:posOffset>
            </wp:positionV>
            <wp:extent cx="35674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Daniel S. O’Toole</w:t>
      </w:r>
    </w:p>
    <w:p>
      <w:pPr>
        <w:spacing w:after="0" w:line="1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271780</wp:posOffset>
            </wp:positionV>
            <wp:extent cx="7134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Arrive AI Inc. (the “Registrant”) on Form 10-Q for the period ending March 31, 2025 as filed with the Securities and Exchange Commission on the date hereof (the “Report”), I, Todd Pepmeier, Chief Financial Officer of the Registrant, certify, pursuant to 18 U.S.C. Section 1350, as adopted pursuant to Section 906 of the Sarbanes-Oxley Act of 2002, that to my knowledge:</w:t>
      </w:r>
    </w:p>
    <w:p>
      <w:pPr>
        <w:spacing w:after="0" w:line="178" w:lineRule="exact"/>
        <w:rPr>
          <w:sz w:val="20"/>
          <w:szCs w:val="20"/>
          <w:color w:val="auto"/>
        </w:rPr>
      </w:pPr>
    </w:p>
    <w:p>
      <w:pPr>
        <w:ind w:left="260" w:hanging="254"/>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15" w:lineRule="exact"/>
        <w:rPr>
          <w:sz w:val="20"/>
          <w:szCs w:val="20"/>
          <w:color w:val="auto"/>
        </w:rPr>
      </w:pPr>
    </w:p>
    <w:p>
      <w:pPr>
        <w:spacing w:after="0"/>
        <w:tabs>
          <w:tab w:leader="none" w:pos="7620" w:val="left"/>
        </w:tabs>
        <w:rPr>
          <w:sz w:val="20"/>
          <w:szCs w:val="20"/>
          <w:color w:val="auto"/>
        </w:rPr>
      </w:pPr>
      <w:r>
        <w:rPr>
          <w:rFonts w:ascii="Times New Roman" w:cs="Times New Roman" w:eastAsia="Times New Roman" w:hAnsi="Times New Roman"/>
          <w:sz w:val="18"/>
          <w:szCs w:val="18"/>
          <w:color w:val="auto"/>
        </w:rPr>
        <w:t>Date: June 5, 2025</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Todd Pepmeier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15875</wp:posOffset>
            </wp:positionV>
            <wp:extent cx="35674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Todd Pepmeier</w:t>
      </w:r>
    </w:p>
    <w:p>
      <w:pPr>
        <w:spacing w:after="0" w:line="1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271780</wp:posOffset>
            </wp:positionV>
            <wp:extent cx="7134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sectPr>
      <w:pgSz w:w="11900" w:h="16838" w:orient="portrait"/>
      <w:cols w:equalWidth="0" w:num="1">
        <w:col w:w="11240"/>
      </w:cols>
      <w:pgMar w:left="320" w:top="3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2"/>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1."/>
      <w:numFmt w:val="decimal"/>
      <w:start w:val="2"/>
    </w:lvl>
    <w:lvl w:ilvl="1">
      <w:lvlJc w:val="left"/>
      <w:lvlText w:val="-"/>
      <w:numFmt w:val="bullet"/>
      <w:start w:val="1"/>
    </w:lvl>
  </w:abstractNum>
  <w:abstractNum w:abstractNumId="5">
    <w:nsid w:val="436C6125"/>
    <w:multiLevelType w:val="hybridMultilevel"/>
    <w:lvl w:ilvl="0">
      <w:lvlJc w:val="left"/>
      <w:lvlText w:val="%1."/>
      <w:numFmt w:val="decimal"/>
      <w:start w:val="2"/>
    </w:lvl>
    <w:lvl w:ilvl="1">
      <w:lvlJc w:val="left"/>
      <w:lvlText w:val="-"/>
      <w:numFmt w:val="bullet"/>
      <w:start w:val="1"/>
    </w:lvl>
  </w:abstractNum>
  <w:abstractNum w:abstractNumId="6">
    <w:nsid w:val="628C895D"/>
    <w:multiLevelType w:val="hybridMultilevel"/>
    <w:lvl w:ilvl="0">
      <w:lvlJc w:val="left"/>
      <w:lvlText w:val="%1."/>
      <w:numFmt w:val="decimal"/>
      <w:start w:val="2"/>
    </w:lvl>
    <w:lvl w:ilvl="1">
      <w:lvlJc w:val="left"/>
      <w:lvlText w:val="-"/>
      <w:numFmt w:val="bullet"/>
      <w:start w:val="1"/>
    </w:lvl>
  </w:abstractNum>
  <w:abstractNum w:abstractNumId="7">
    <w:nsid w:val="333AB105"/>
    <w:multiLevelType w:val="hybridMultilevel"/>
    <w:lvl w:ilvl="0">
      <w:lvlJc w:val="left"/>
      <w:lvlText w:val="%1."/>
      <w:numFmt w:val="decimal"/>
      <w:start w:val="2"/>
    </w:lvl>
    <w:lvl w:ilvl="1">
      <w:lvlJc w:val="left"/>
      <w:lvlText w:val="-"/>
      <w:numFmt w:val="bullet"/>
      <w:start w:val="1"/>
    </w:lvl>
  </w:abstractNum>
  <w:abstractNum w:abstractNumId="8">
    <w:nsid w:val="721DA317"/>
    <w:multiLevelType w:val="hybridMultilevel"/>
    <w:lvl w:ilvl="0">
      <w:lvlJc w:val="left"/>
      <w:lvlText w:val="%1."/>
      <w:numFmt w:val="decimal"/>
      <w:start w:val="2"/>
    </w:lvl>
    <w:lvl w:ilvl="1">
      <w:lvlJc w:val="left"/>
      <w:lvlText w:val="-"/>
      <w:numFmt w:val="bullet"/>
      <w:start w:val="1"/>
    </w:lvl>
  </w:abstractNum>
  <w:abstractNum w:abstractNumId="9">
    <w:nsid w:val="2443A858"/>
    <w:multiLevelType w:val="hybridMultilevel"/>
    <w:lvl w:ilvl="0">
      <w:lvlJc w:val="left"/>
      <w:lvlText w:val="%1."/>
      <w:numFmt w:val="decimal"/>
      <w:start w:val="5"/>
    </w:lvl>
  </w:abstractNum>
  <w:abstractNum w:abstractNumId="10">
    <w:nsid w:val="2D1D5AE9"/>
    <w:multiLevelType w:val="hybridMultilevel"/>
    <w:lvl w:ilvl="0">
      <w:lvlJc w:val="left"/>
      <w:lvlText w:val="%1."/>
      <w:numFmt w:val="lowerLetter"/>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decimal"/>
      <w:start w:val="11"/>
    </w:lvl>
  </w:abstractNum>
  <w:abstractNum w:abstractNumId="16">
    <w:nsid w:val="B03E0C6"/>
    <w:multiLevelType w:val="hybridMultilevel"/>
    <w:lvl w:ilvl="0">
      <w:lvlJc w:val="left"/>
      <w:lvlText w:val="%1."/>
      <w:numFmt w:val="decimal"/>
      <w:start w:val="12"/>
    </w:lvl>
  </w:abstractNum>
  <w:abstractNum w:abstractNumId="17">
    <w:nsid w:val="189A769B"/>
    <w:multiLevelType w:val="hybridMultilevel"/>
    <w:lvl w:ilvl="0">
      <w:lvlJc w:val="left"/>
      <w:lvlText w:val="%1)"/>
      <w:numFmt w:val="lowerLetter"/>
      <w:start w:val="1"/>
    </w:lvl>
    <w:lvl w:ilvl="1">
      <w:lvlJc w:val="left"/>
      <w:lvlText w:val="-"/>
      <w:numFmt w:val="bullet"/>
      <w:start w:val="1"/>
    </w:lvl>
  </w:abstractNum>
  <w:abstractNum w:abstractNumId="18">
    <w:nsid w:val="54E49EB4"/>
    <w:multiLevelType w:val="hybridMultilevel"/>
    <w:lvl w:ilvl="0">
      <w:lvlJc w:val="left"/>
      <w:lvlText w:val="%1."/>
      <w:numFmt w:val="decimal"/>
      <w:start w:val="15"/>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3"/>
    </w:lvl>
  </w:abstractNum>
  <w:abstractNum w:abstractNumId="21">
    <w:nsid w:val="836C40E"/>
    <w:multiLevelType w:val="hybridMultilevel"/>
    <w:lvl w:ilvl="0">
      <w:lvlJc w:val="left"/>
      <w:lvlText w:val="●"/>
      <w:numFmt w:val="bullet"/>
      <w:start w:val="1"/>
    </w:lvl>
    <w:lvl w:ilvl="1">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lvl w:ilvl="1">
      <w:lvlJc w:val="left"/>
      <w:lvlText w:val="-"/>
      <w:numFmt w:val="bullet"/>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decimal"/>
      <w:start w:val="5"/>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5"/>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2025-06-05T15:37:31Z</dcterms:created>
  <dcterms:modified xsi:type="dcterms:W3CDTF">2025-06-05T15:37:31Z</dcterms:modified>
</cp:coreProperties>
</file>