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 2026</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393"/>
        </w:trPr>
        <w:tc>
          <w:tcPr>
            <w:tcW w:w="3760" w:type="dxa"/>
            <w:vAlign w:val="bottom"/>
          </w:tcPr>
          <w:p>
            <w:pPr>
              <w:spacing w:after="0"/>
              <w:rPr>
                <w:sz w:val="24"/>
                <w:szCs w:val="24"/>
                <w:color w:val="auto"/>
              </w:rPr>
            </w:pPr>
          </w:p>
        </w:tc>
        <w:tc>
          <w:tcPr>
            <w:tcW w:w="7480" w:type="dxa"/>
            <w:vAlign w:val="bottom"/>
            <w:gridSpan w:val="3"/>
          </w:tcPr>
          <w:p>
            <w:pPr>
              <w:jc w:val="center"/>
              <w:ind w:right="3670"/>
              <w:spacing w:after="0"/>
              <w:rPr>
                <w:sz w:val="20"/>
                <w:szCs w:val="20"/>
                <w:color w:val="auto"/>
              </w:rPr>
            </w:pPr>
            <w:r>
              <w:rPr>
                <w:rFonts w:ascii="Times New Roman" w:cs="Times New Roman" w:eastAsia="Times New Roman" w:hAnsi="Times New Roman"/>
                <w:sz w:val="32"/>
                <w:szCs w:val="32"/>
                <w:b w:val="1"/>
                <w:bCs w:val="1"/>
                <w:color w:val="auto"/>
              </w:rPr>
              <w:t>Arrive AI Inc.</w:t>
            </w:r>
          </w:p>
        </w:tc>
      </w:tr>
      <w:tr>
        <w:trPr>
          <w:trHeight w:val="234"/>
        </w:trPr>
        <w:tc>
          <w:tcPr>
            <w:tcW w:w="3760" w:type="dxa"/>
            <w:vAlign w:val="bottom"/>
          </w:tcPr>
          <w:p>
            <w:pPr>
              <w:spacing w:after="0"/>
              <w:rPr>
                <w:sz w:val="20"/>
                <w:szCs w:val="20"/>
                <w:color w:val="auto"/>
              </w:rPr>
            </w:pPr>
          </w:p>
        </w:tc>
        <w:tc>
          <w:tcPr>
            <w:tcW w:w="7480" w:type="dxa"/>
            <w:vAlign w:val="bottom"/>
            <w:gridSpan w:val="3"/>
          </w:tcPr>
          <w:p>
            <w:pPr>
              <w:jc w:val="center"/>
              <w:ind w:right="367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tc>
      </w:tr>
      <w:tr>
        <w:trPr>
          <w:trHeight w:val="414"/>
        </w:trPr>
        <w:tc>
          <w:tcPr>
            <w:tcW w:w="3760" w:type="dxa"/>
            <w:vAlign w:val="bottom"/>
          </w:tcPr>
          <w:p>
            <w:pPr>
              <w:spacing w:after="0"/>
              <w:rPr>
                <w:sz w:val="24"/>
                <w:szCs w:val="24"/>
                <w:color w:val="auto"/>
              </w:rPr>
            </w:pPr>
          </w:p>
        </w:tc>
        <w:tc>
          <w:tcPr>
            <w:tcW w:w="7480" w:type="dxa"/>
            <w:vAlign w:val="bottom"/>
            <w:gridSpan w:val="3"/>
          </w:tcPr>
          <w:p>
            <w:pPr>
              <w:jc w:val="center"/>
              <w:ind w:right="3650"/>
              <w:spacing w:after="0"/>
              <w:rPr>
                <w:sz w:val="20"/>
                <w:szCs w:val="20"/>
                <w:color w:val="auto"/>
              </w:rPr>
            </w:pPr>
            <w:r>
              <w:rPr>
                <w:rFonts w:ascii="Times New Roman" w:cs="Times New Roman" w:eastAsia="Times New Roman" w:hAnsi="Times New Roman"/>
                <w:sz w:val="18"/>
                <w:szCs w:val="18"/>
                <w:b w:val="1"/>
                <w:bCs w:val="1"/>
                <w:color w:val="auto"/>
                <w:w w:val="99"/>
              </w:rPr>
              <w:t>001-42645</w:t>
            </w:r>
          </w:p>
        </w:tc>
      </w:tr>
      <w:tr>
        <w:trPr>
          <w:trHeight w:val="234"/>
        </w:trPr>
        <w:tc>
          <w:tcPr>
            <w:tcW w:w="3760" w:type="dxa"/>
            <w:vAlign w:val="bottom"/>
          </w:tcPr>
          <w:p>
            <w:pPr>
              <w:spacing w:after="0"/>
              <w:rPr>
                <w:sz w:val="20"/>
                <w:szCs w:val="20"/>
                <w:color w:val="auto"/>
              </w:rPr>
            </w:pPr>
          </w:p>
        </w:tc>
        <w:tc>
          <w:tcPr>
            <w:tcW w:w="7480" w:type="dxa"/>
            <w:vAlign w:val="bottom"/>
            <w:gridSpan w:val="3"/>
          </w:tcPr>
          <w:p>
            <w:pPr>
              <w:jc w:val="center"/>
              <w:ind w:right="3670"/>
              <w:spacing w:after="0"/>
              <w:rPr>
                <w:sz w:val="20"/>
                <w:szCs w:val="20"/>
                <w:color w:val="auto"/>
              </w:rPr>
            </w:pPr>
            <w:r>
              <w:rPr>
                <w:rFonts w:ascii="Times New Roman" w:cs="Times New Roman" w:eastAsia="Times New Roman" w:hAnsi="Times New Roman"/>
                <w:sz w:val="18"/>
                <w:szCs w:val="18"/>
                <w:color w:val="auto"/>
              </w:rPr>
              <w:t>(Commission File Number)</w:t>
            </w:r>
          </w:p>
        </w:tc>
      </w:tr>
      <w:tr>
        <w:trPr>
          <w:trHeight w:val="432"/>
        </w:trPr>
        <w:tc>
          <w:tcPr>
            <w:tcW w:w="376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Delaware</w:t>
            </w:r>
          </w:p>
        </w:tc>
        <w:tc>
          <w:tcPr>
            <w:tcW w:w="7480" w:type="dxa"/>
            <w:vAlign w:val="bottom"/>
            <w:gridSpan w:val="3"/>
          </w:tcPr>
          <w:p>
            <w:pPr>
              <w:jc w:val="center"/>
              <w:ind w:left="1876"/>
              <w:spacing w:after="0"/>
              <w:rPr>
                <w:sz w:val="20"/>
                <w:szCs w:val="20"/>
                <w:color w:val="auto"/>
              </w:rPr>
            </w:pPr>
            <w:r>
              <w:rPr>
                <w:rFonts w:ascii="Times New Roman" w:cs="Times New Roman" w:eastAsia="Times New Roman" w:hAnsi="Times New Roman"/>
                <w:sz w:val="18"/>
                <w:szCs w:val="18"/>
                <w:color w:val="auto"/>
                <w:w w:val="98"/>
              </w:rPr>
              <w:t>85-0935006</w:t>
            </w:r>
          </w:p>
        </w:tc>
      </w:tr>
      <w:tr>
        <w:trPr>
          <w:trHeight w:val="191"/>
        </w:trPr>
        <w:tc>
          <w:tcPr>
            <w:tcW w:w="3760" w:type="dxa"/>
            <w:vAlign w:val="bottom"/>
            <w:tcBorders>
              <w:top w:val="single" w:sz="8" w:color="auto"/>
            </w:tcBorders>
          </w:tcPr>
          <w:p>
            <w:pPr>
              <w:jc w:val="center"/>
              <w:ind w:left="167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1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76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rPr>
              <w:t>of Incorporation)</w:t>
            </w: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9100 Fall View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Fishers, IN 46037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with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(463) 270-0092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4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ARAI</w:t>
            </w:r>
          </w:p>
        </w:tc>
        <w:tc>
          <w:tcPr>
            <w:tcW w:w="200" w:type="dxa"/>
            <w:vAlign w:val="bottom"/>
            <w:tcBorders>
              <w:top w:val="single" w:sz="8" w:color="CCEEFF"/>
            </w:tcBorders>
            <w:shd w:val="clear" w:color="auto" w:fill="CCEEFF"/>
          </w:tcPr>
          <w:p>
            <w:pPr>
              <w:spacing w:after="0"/>
              <w:rPr>
                <w:sz w:val="18"/>
                <w:szCs w:val="18"/>
                <w:color w:val="auto"/>
              </w:rPr>
            </w:pPr>
          </w:p>
        </w:tc>
        <w:tc>
          <w:tcPr>
            <w:tcW w:w="4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 2026, Arrive AI Inc. (the “Company”) received a deficiency letter (the “Notice”) from the Listing Qualifications Department of The Nasdaq Stock Market LLC (“Nasdaq”) notifying the Company that, based upon the closing bid price of the Company’s common stock, par value $0.0002 per share (the “Common Stock”), for the last 30 consecutive business days, the Company is not currently in compliance with the requirement to maintain a minimum bid price of $1.00 per share for continued listing on The Nasdaq Global Market, as set forth in Nasdaq Listing Rule 5450(a)(1) (the “Minimum Bid Price Requirement”).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Notice has no immediate effect on the continued listing status of the Common Stock on The Nasdaq Global Market, and, therefore, the Company’s listing remains fully effective.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is provided a compliance period of 180 calendar days from the date of the Notice, or until November 30, 2026, to regain compliance with the Minimum Bid Price Requirement. To regain compliance, the closing bid price of the Common Stock must meet or exceed $1.00 per share for a minimum of ten consecutive business days prior to November 30,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is not in compliance with the Minimum Bid Price Requirement by November 30, 2026, the Company may be afforded a second 180 calendar day compliance period. To qualify for this additional compliance period, the Company will be required to meet the continued listing requirement for market value of publicly held shares and all other initial listing standards for The Nasdaq Global Market, with the exception of the Minimum Bid Price requirement.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intends to actively monitor the closing bid price of the Common Stock and will evaluate available options to regain compliance with the Minimum Bid Price Requirement. However, there can be no assurance that the Company will regain compliance with the Minimum Bid Price Requirement during the 180-day compliance period, secure a second period of 180 days to regain compliance, or maintain compliance with the other Nasdaq listing requirements. If the Company does not regain compliance within the allotted compliance period, including any extensions that Nasdaq grants, Nasdaq will provide notice that the Common Stock will be subject to delisting. The Company would then be entitled to appeal that determination to a Nasdaq hearings panel.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ARRIVE AI,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2026</w:t>
            </w: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Daniel S. O’Toole</w:t>
            </w:r>
          </w:p>
        </w:tc>
      </w:tr>
      <w:tr>
        <w:trPr>
          <w:trHeight w:val="191"/>
        </w:trPr>
        <w:tc>
          <w:tcPr>
            <w:tcW w:w="34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 S. O’Toole</w:t>
            </w:r>
          </w:p>
        </w:tc>
      </w:tr>
      <w:tr>
        <w:trPr>
          <w:trHeight w:val="234"/>
        </w:trPr>
        <w:tc>
          <w:tcPr>
            <w:tcW w:w="3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4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2026-06-05T15:23:27Z</dcterms:created>
  <dcterms:modified xsi:type="dcterms:W3CDTF">2026-06-05T15:23:27Z</dcterms:modified>
</cp:coreProperties>
</file>