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6_edei--DocumentType_c2026100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val="false"/>
          <w:i w:val="false"/>
          <w:caps w:val="false"/>
          <w:smallCaps w:val="false"/>
          <w:sz w:val="20"/>
        </w:rPr>
        <w:t>October 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c2026"/>
      <w:bookmarkEnd w:id="4"/>
      <w:r>
        <w:rPr>
          <w:rFonts w:ascii="Times New Roman;Times;Serif" w:hAnsi="Times New Roman;Times;Serif"/>
          <w:b/>
          <w:i w:val="false"/>
          <w:caps w:val="false"/>
          <w:smallCaps w:val="false"/>
          <w:sz w:val="36"/>
        </w:rPr>
        <w:t>Arrive AI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xdx_907_edei--EntityFileNumber_c20261005"/>
      <w:bookmarkEnd w:id="5"/>
      <w:r>
        <w:rPr>
          <w:rFonts w:ascii="Times New Roman;Times;Serif" w:hAnsi="Times New Roman;Times;Serif"/>
          <w:b/>
          <w:i w:val="false"/>
          <w:caps w:val="false"/>
          <w:smallCaps w:val="false"/>
          <w:sz w:val="20"/>
        </w:rPr>
        <w:t>001-42645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p>
      <w:pPr>
        <w:pStyle w:val="TextBody"/>
        <w:bidi w:val="0"/>
        <w:spacing w:before="0" w:after="0"/>
        <w:ind w:left="0" w:right="0" w:hanging="0"/>
        <w:jc w:val="center"/>
        <w:rPr>
          <w:caps w:val="false"/>
          <w:smallCaps w:val="false"/>
        </w:rPr>
      </w:pPr>
      <w:r>
        <w:rPr>
          <w:caps w:val="false"/>
          <w:smallCaps w:val="false"/>
        </w:rPr>
        <w:t> </w:t>
      </w:r>
    </w:p>
    <w:tbl>
      <w:tblPr>
        <w:tblW w:w="4165" w:type="dxa"/>
        <w:jc w:val="left"/>
        <w:tblInd w:w="0" w:type="dxa"/>
        <w:tblLayout w:type="fixed"/>
        <w:tblCellMar>
          <w:top w:w="0" w:type="dxa"/>
          <w:left w:w="0" w:type="dxa"/>
          <w:bottom w:w="28" w:type="dxa"/>
          <w:right w:w="0" w:type="dxa"/>
        </w:tblCellMar>
      </w:tblPr>
      <w:tblGrid>
        <w:gridCol w:w="2210"/>
        <w:gridCol w:w="60"/>
        <w:gridCol w:w="1895"/>
      </w:tblGrid>
      <w:tr>
        <w:trPr/>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 w:name="xdx_903_edei--EntityIncorporationStateCo"/>
            <w:bookmarkEnd w:id="6"/>
            <w:r>
              <w:rPr>
                <w:rFonts w:ascii="Times New Roman;Times;Serif" w:hAnsi="Times New Roman;Times;Serif"/>
                <w:b w:val="false"/>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7" w:name="xdx_906_edei--EntityTaxIdentificationNum"/>
            <w:bookmarkEnd w:id="7"/>
            <w:r>
              <w:rPr>
                <w:rFonts w:ascii="Times New Roman;Times;Serif" w:hAnsi="Times New Roman;Times;Serif"/>
                <w:b w:val="false"/>
                <w:i w:val="false"/>
                <w:caps w:val="false"/>
                <w:smallCaps w:val="false"/>
                <w:sz w:val="20"/>
              </w:rPr>
              <w:t>85-0935006</w:t>
            </w:r>
          </w:p>
        </w:tc>
      </w:tr>
      <w:tr>
        <w:trPr/>
        <w:tc>
          <w:tcPr>
            <w:tcW w:w="22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9100 Fall View Drive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5_edei--EntityAddressCityOrTown_c2"/>
      <w:bookmarkEnd w:id="9"/>
      <w:r>
        <w:rPr>
          <w:rFonts w:ascii="Times New Roman;Times;Serif" w:hAnsi="Times New Roman;Times;Serif"/>
          <w:b/>
          <w:i w:val="false"/>
          <w:caps w:val="false"/>
          <w:smallCaps w:val="false"/>
          <w:sz w:val="20"/>
        </w:rPr>
        <w:t xml:space="preserve">Fishers, </w:t>
      </w:r>
      <w:bookmarkStart w:id="10" w:name="xdx_90A_edei--EntityAddressStateOrProvin"/>
      <w:bookmarkEnd w:id="10"/>
      <w:r>
        <w:rPr>
          <w:rFonts w:ascii="Times New Roman;Times;Serif" w:hAnsi="Times New Roman;Times;Serif"/>
          <w:b/>
          <w:i w:val="false"/>
          <w:caps w:val="false"/>
          <w:smallCaps w:val="false"/>
          <w:sz w:val="20"/>
        </w:rPr>
        <w:t xml:space="preserve">IN </w:t>
      </w:r>
      <w:bookmarkStart w:id="11" w:name="xdx_901_edei--EntityAddressPostalZipCode"/>
      <w:bookmarkEnd w:id="11"/>
      <w:r>
        <w:rPr>
          <w:rFonts w:ascii="Times New Roman;Times;Serif" w:hAnsi="Times New Roman;Times;Serif"/>
          <w:b/>
          <w:i w:val="false"/>
          <w:caps w:val="false"/>
          <w:smallCaps w:val="false"/>
          <w:sz w:val="20"/>
        </w:rPr>
        <w:t>46037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with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E_edei--CityAreaCode_c20261005__20"/>
      <w:bookmarkEnd w:id="12"/>
      <w:r>
        <w:rPr>
          <w:rFonts w:ascii="Times New Roman;Times;Serif" w:hAnsi="Times New Roman;Times;Serif"/>
          <w:b/>
          <w:i w:val="false"/>
          <w:caps w:val="false"/>
          <w:smallCaps w:val="false"/>
          <w:sz w:val="20"/>
        </w:rPr>
        <w:t xml:space="preserve">(463) </w:t>
      </w:r>
      <w:bookmarkStart w:id="13" w:name="xdx_90E_edei--LocalPhoneNumber_c20261005"/>
      <w:bookmarkEnd w:id="13"/>
      <w:r>
        <w:rPr>
          <w:rFonts w:ascii="Times New Roman;Times;Serif" w:hAnsi="Times New Roman;Times;Serif"/>
          <w:b/>
          <w:i w:val="false"/>
          <w:caps w:val="false"/>
          <w:smallCaps w:val="false"/>
          <w:sz w:val="20"/>
        </w:rPr>
        <w:t>270-0092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center"/>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D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7_edei--SolicitingMaterial_c202610"/>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3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8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6735" w:type="dxa"/>
        <w:jc w:val="left"/>
        <w:tblInd w:w="0" w:type="dxa"/>
        <w:tblLayout w:type="fixed"/>
        <w:tblCellMar>
          <w:top w:w="0" w:type="dxa"/>
          <w:left w:w="0" w:type="dxa"/>
          <w:bottom w:w="28" w:type="dxa"/>
          <w:right w:w="0" w:type="dxa"/>
        </w:tblCellMar>
      </w:tblPr>
      <w:tblGrid>
        <w:gridCol w:w="1490"/>
        <w:gridCol w:w="60"/>
        <w:gridCol w:w="1535"/>
        <w:gridCol w:w="60"/>
        <w:gridCol w:w="3590"/>
      </w:tblGrid>
      <w:tr>
        <w:trPr/>
        <w:tc>
          <w:tcPr>
            <w:tcW w:w="14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7_edei--Security12bTitle_c20261005"/>
            <w:bookmarkEnd w:id="18"/>
            <w:r>
              <w:rPr>
                <w:rFonts w:ascii="Times New Roman;Times;Serif" w:hAnsi="Times New Roman;Times;Serif"/>
                <w:b w:val="false"/>
                <w:i w:val="false"/>
                <w:caps w:val="false"/>
                <w:smallCaps w:val="false"/>
                <w:sz w:val="20"/>
              </w:rPr>
              <w:t>Common Stock</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B_edei--TradingSymbol_c20261005__2"/>
            <w:bookmarkEnd w:id="19"/>
            <w:r>
              <w:rPr>
                <w:rFonts w:ascii="Times New Roman;Times;Serif" w:hAnsi="Times New Roman;Times;Serif"/>
                <w:b w:val="false"/>
                <w:i w:val="false"/>
                <w:caps w:val="false"/>
                <w:smallCaps w:val="false"/>
                <w:sz w:val="20"/>
              </w:rPr>
              <w:t>ARAI</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A_edei--SecurityExchangeName_c2026"/>
            <w:bookmarkEnd w:id="20"/>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CFR§230.405) or Rule 12b-2 of the Securities Exchange Act of 1934 (17 CFR §240.12b-2).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6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E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5, 2026, Arrive AI Inc. (the “Company”) entered into a Securities Purchase Agreement (the “Purchase Agreement”) with an accredited investor (the “Purchaser”), pursuant to which the Company agreed to issue and sell to the Purchaser, in a private placement in public equity transaction (the “Private Placement” or “PIPE”), (i) 384,615 shares of the Company’s common stock, par value $0.0002 per share (the “Shares”), and (ii) a common stock purchase warrant (the “Common Warrant”) to purchase 384,615 shares of common stock (the “Warrant Shares”), for an aggregate purchase price of $250,000. The purchase price was $0.65 per Share and accompanying Common Warrant. The Private Placement closed on October 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 is immediately exercisable at an exercise price of $0.70 per share and expires on October 5, 2031. The Common Warrant may also be exercised, in whole or in part, on a cashless basis at any time during its term, in which case the holder is entitled to receive a number of Warrant Shares equal to the number otherwise issuable upon exercise multiplied by 3.33, without payment of the exercise price. The Common Warrant generally may not be exercised to the extent the holder and its affiliates would beneficially own more than 4.99% of the Company’s outstanding common stock immediately after exercise. The holder may increase or decrease this limitation, provided that it may not exceed 9.99%, and any increase will not become effective until the 61st day after notice is delivered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Purchase Agreement, the Company is required to file with the Securities and Exchange Commission, within 20 days after the closing date, a registration statement on Form S-3 (or such other form as may then be available to the Company) covering the resale by the Purchaser of the Shares and the maximum number of Warrant Shares issuable upon exercise of the Common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use the net proceeds from the Private Placement for general working capital purposes. No brokerage, finder’s fee or placement-agent commission is payable in connection with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Purchase Agreement and the Common Warrant do not purport to be complete and are qualified in their entirety by reference to the full text of the Purchase Agreement and the Common Warrant, copies of which are filed as Exhibits 10.1 and 4.1, respectively, to this Current Report on Form 8-K and are incorporated herein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of this Current Report on Form 8-K is incorporated by reference into this Item 3.02. The Shares, the Common Warrant and the Warrant Shares issuable upon exercise of the Common Warrant, were offered and sold, or will be issued, in reliance upon the exemption from registration provided by Section 4(a)(2) of the Securities Act of 1933, as amended, and Rule 506 of Regulation D promulgated thereunder. The Purchaser represented that it is an “accredited investor” as defined in Rule 501(a) of Regulation D or a “qualified institutional buyer” as defined in Rule 144A under the Securities Act. The offer and sale were made without any general solicitation or advertising. The Company received gross proceeds of $250,000 from the Private Placement, before deducting the $5,000 reimbursement of the Purchaser’s legal expenses and other offering expenses payable by the Company.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2026, the Company issued a press release announcing the Private Placement. A copy of the press release is furnished as Exhibit 99.1 to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characterized the Private Placement as a registered direct offering conducted pursuant to the Company’s effective shelf registration statement on Form S-3. The Company hereby clarifies that the Private Placement was a PIPE transaction exempt from registration under the Securities Act pursuant to Section 4(a)(2) thereof and Rule 506 of Regulation D promulgated thereunder. The Shares and the Common Warrant were not registered under the Securities Act when issued. As required by the Purchase Agreement, the Company has agreed to file with the Securities and Exchange Commission, within 20 days after the closing date, a registration statement on Form S-3 (or such other form as may then be available to the Company) covering the resale by the Purchaser of the Shares and the maximum number of Warrant Shares issuable upon exercise of the Common Warrant, as more fully described in the Purchase Agreement. Except for the foregoing correction, the information in the press release remains unchanged.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Exhibit 99.1, is being furnished and shall not be deemed “filed” for purposes of Section 18 of the Securities Exchange Act of 1934, as amended, or otherwise subject to the liabilities of that section, nor shall it be deemed incorporated by reference into any filing of the Company under the Securities Act or the Exchange Act, except as expressly set forth by specific reference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center"/>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shd w:fill="CCEEFF" w:val="clear"/>
            <w:tcMar>
              <w:bottom w:w="0" w:type="dxa"/>
            </w:tcMar>
            <w:vAlign w:val="center"/>
          </w:tcPr>
          <w:p>
            <w:pPr>
              <w:pStyle w:val="TableContents"/>
              <w:bidi w:val="0"/>
              <w:spacing w:before="0" w:after="283"/>
              <w:jc w:val="both"/>
              <w:rPr/>
            </w:pPr>
            <w:hyperlink w:anchor="ex4-1.htm">
              <w:r>
                <w:rPr>
                  <w:rStyle w:val="InternetLink"/>
                  <w:rFonts w:ascii="Times New Roman;Times;Serif" w:hAnsi="Times New Roman;Times;Serif"/>
                  <w:b w:val="false"/>
                  <w:i w:val="false"/>
                  <w:caps w:val="false"/>
                  <w:smallCaps w:val="false"/>
                  <w:sz w:val="20"/>
                </w:rPr>
                <w:t>Form of Common Stock Purchase Warrant, dated October 5, 2026.</w:t>
              </w:r>
            </w:hyperlink>
          </w:p>
        </w:tc>
      </w:tr>
      <w:tr>
        <w:trPr/>
        <w:tc>
          <w:tcPr>
            <w:tcW w:w="99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Form of Securities Purchase Agreement, dated October 5, 2026.</w:t>
              </w:r>
            </w:hyperlink>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shd w:fill="CCEEFF" w:val="clear"/>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October 6, 2026.</w:t>
              </w:r>
            </w:hyperlink>
          </w:p>
        </w:tc>
      </w:tr>
      <w:tr>
        <w:trPr/>
        <w:tc>
          <w:tcPr>
            <w:tcW w:w="99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095" w:type="dxa"/>
        <w:jc w:val="left"/>
        <w:tblInd w:w="0" w:type="dxa"/>
        <w:tblLayout w:type="fixed"/>
        <w:tblCellMar>
          <w:top w:w="0" w:type="dxa"/>
          <w:left w:w="0" w:type="dxa"/>
          <w:bottom w:w="0" w:type="dxa"/>
          <w:right w:w="0" w:type="dxa"/>
        </w:tblCellMar>
      </w:tblPr>
      <w:tblGrid>
        <w:gridCol w:w="1820"/>
        <w:gridCol w:w="320"/>
        <w:gridCol w:w="1955"/>
      </w:tblGrid>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22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9,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Daniel S. O’Toole</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S. O’Toole</w:t>
            </w:r>
          </w:p>
        </w:tc>
      </w:tr>
      <w:tr>
        <w:trPr/>
        <w:tc>
          <w:tcPr>
            <w:tcW w:w="182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3" w:name="ex4-1.htm"/>
      <w:bookmarkStart w:id="24" w:name="ksex41"/>
      <w:bookmarkEnd w:id="23"/>
      <w:bookmarkEnd w:id="24"/>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COMMON STOCK PURCHASE WARRANT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ind w:left="0" w:right="0" w:hanging="0"/>
        <w:jc w:val="both"/>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2030"/>
        <w:gridCol w:w="2270"/>
      </w:tblGrid>
      <w:tr>
        <w:trPr/>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Shares: 384,615</w:t>
            </w:r>
          </w:p>
        </w:tc>
        <w:tc>
          <w:tcPr>
            <w:tcW w:w="227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Date: October 5,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COMMON STOCK PURCHASE WARRANT (this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Issue Date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and on or prior to 5:00 p.m. (New York City time) on the date that is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anniversary of the Initial Exercise Date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Arrive AI,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384,615 shares of common stock of the Company (as subject to adjustment hereunder,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The purchase price of one Warrant Share under this Warrant shall be equal to the Exercise Price, as defined in Section 2(b).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shall have the meanings set forth in that certain Securities Purchase Agreement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dated as of the date hereof, among the Company and the Purchasers signatory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as Exhibit A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per share of Common Stock under this Warrant shall be $0.70,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firstLine="720"/>
        <w:jc w:val="center"/>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Notwithstanding anything herein to the contrary, this Warrant may be exercised, in whole or in part, at any time on or after the Initial Exercise Date and on or before the Termination Date, by means of a “cashless exercise” pursuant to which the Holder shall be entitled to receive a number of Warrant Shares equal to the number of Warrant Shares otherwise issuable upon such exercise multiplied by 3.33 (the “</w:t>
      </w:r>
      <w:r>
        <w:rPr>
          <w:rFonts w:ascii="Times New Roman;Times;Serif" w:hAnsi="Times New Roman;Times;Serif"/>
          <w:b w:val="false"/>
          <w:i w:val="false"/>
          <w:caps w:val="false"/>
          <w:smallCaps w:val="false"/>
          <w:sz w:val="20"/>
          <w:u w:val="single"/>
        </w:rPr>
        <w:t>Cashless Exercise Ratio</w:t>
      </w:r>
      <w:r>
        <w:rPr>
          <w:rFonts w:ascii="Times New Roman;Times;Serif" w:hAnsi="Times New Roman;Times;Serif"/>
          <w:b w:val="false"/>
          <w:i w:val="false"/>
          <w:caps w:val="false"/>
          <w:smallCaps w:val="false"/>
          <w:sz w:val="20"/>
        </w:rPr>
        <w:t>”), without the Holder being required to pay the Exercise Price. For the avoidance of doubt, this cashless exercise right is available at all times regardless of whether there is an effective registration statement covering the Warrant Shares. The Company agrees not to take any position contrary to this Section 2(c).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any day on which the Trading Market is open for trading, including any day on which the Trading Market is open for trading for a period of time less than the customary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are then listed or quoted on a Trading Market, the daily volume weighted average price of the Common Stock for such date (or the nearest preceding date) on the Trading Market on which the Common Stock are then listed or quoted as reported by Bloomberg L.P. (“Bloomberg”) (based on a Trading Day from 9:30 a.m. (New York City time) to 4:02 p.m. (New York City time)), (b) if the OTCQB Venture Market (the “OTCQB”) or the OTCQX Best Market (the “OTCQX”) is not a Trading Market, the volume weighted average price of the Common Stock for such date (or the nearest preceding date) on OTCQB or OTCQX as applicable, (c) if the Common Stock are not then listed or quoted for trading on OTCQB or OTCQX and if prices for the Common Stock are then reported on The Pink Open Market (the “Pink Market”) operated by OTC Markets Inc. (or a similar organization or agency succeeding to its functions of reporting prices), the most recent bid price per share of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reasonable fees and expenses of which shall be paid by the Company.</w:t>
      </w:r>
    </w:p>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75"/>
        <w:gridCol w:w="185"/>
        <w:gridCol w:w="19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a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Times New Roman;Times;Serif" w:hAnsi="Times New Roman;Times;Serif"/>
          <w:b w:val="false"/>
          <w:i w:val="false"/>
          <w:caps w:val="false"/>
          <w:smallCaps w:val="false"/>
          <w:sz w:val="20"/>
          <w:u w:val="single"/>
        </w:rPr>
        <w:t>Warrant Share Delivery Date</w:t>
      </w:r>
      <w:r>
        <w:rPr>
          <w:rFonts w:ascii="Times New Roman;Times;Serif" w:hAnsi="Times New Roman;Times;Serif"/>
          <w:b w:val="false"/>
          <w:i w:val="false"/>
          <w:caps w:val="false"/>
          <w:smallCaps w:val="false"/>
          <w:sz w:val="20"/>
        </w:rPr>
        <w:t>”), provided that payment of the aggregate Exercise Price (other than in the case of cashless exercise) is received by the Warrant Share Delivery Date. Upon delivery of the Notice of Exercise and payment of the aggregate Exercise Price, as applicable, the Holder shall be deemed for all corporate purposes to have become the holder of record of the Warrant Shares with respect to which this Warrant has been exercised, irrespective of the date of delivery of the Warrant Shares. If the Company fails for any reason to deliver to the Holder the Warrant Shares subject to a Notice of Exercise by the Warrant Share Delivery Date and the aggregate Exercise Price has been delivered (other than in the case of a cashless exercise),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the Warrant Shares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or cause to be delivered, the Warrant Shares subject to such notice(s) by 4:00 p.m. (New York City time) on the Initial Exercise Date and the Initial Exercise Date shall be the Warrant Share Delivery Date for purposes hereunder, provided that payment of the aggregate Exercise Price is received by such Warrant Share Delivery Date.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Compensation for Buy-In on Failure to Timely Deliver Warrant Shares Upon Exercise</w:t>
      </w:r>
      <w:r>
        <w:rPr>
          <w:rFonts w:ascii="Times New Roman;Times;Serif" w:hAnsi="Times New Roman;Times;Serif"/>
          <w:b w:val="false"/>
          <w:i w:val="false"/>
          <w:caps w:val="false"/>
          <w:smallCaps w:val="false"/>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(other than any such failure that is solely due to any action or inaction by the Holder with respect to such exercise), and if after such date the Holder is required by its broker to purchase (in an open market transaction or otherwise) or the Holder’s brokerage firm otherwise purchases, Common Stock to deliver in satisfaction of a sale by the Holder of the Warrant Shares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Common Stock that would have been issued had the Company timely complied with its exercise and delivery obligations hereunder. For example, if the Holder purchases Common Stock having a total purchase price of $11,000 to cover a Buy-In with respect to an attempted exercise of Warrant Shares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Warrant Shares upon exercise of the Warrant as required pursuant to the terms hereof.</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The issuance and delivery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Warrant Shares are to be issued in a name other than the name of the Holder, this Warrant when surrendered for exercise shall be accompanied by the Assignment Form attached hereto as Exhibit B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shareholder books or records in any manner which prevents the timely exercise of this Warrant,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Common Stock beneficially owned by the Holder and its Affiliates and Attribution Parties shall include the number of Warrant Shares issuable upon exercise of this Warrant with respect to which such determination is being made, but shall exclude the number of Warrant Shares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by the Holder in accordance with Section 13(d) of the Exchange Act and the rules and regulations promulgated thereunder. For purposes of this Section 2(e), in determining the number of outstanding Common Stock, a Holder may rely on the number of outstanding Common Stock as reflected in (A) the Company’s most recent periodic or annual report filed with or furnished to the Commission, as the case may be, (B) a more recent public announcement by the Company or (C) a more recent written notice by the Company or the Transfer Agent setting forth the number of Common Stock outstanding. Upon the written or oral request of a Holder, the Company shall within one Trading Day confirm orally and in writing to the Holder the number of Common Stock then outstanding. In any case, the number of outstanding Common Stock shall be determined after giving effect to the conversion or exercise of securities of the Company, including this Warrant, by the Holder or its Affiliates or Attribution Parties since the date as of which such number of outstanding Common Stock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4.99% of the number of shares of Common Stock outstanding immediately after giving effect to the issuance of Common Stock issuable upon exercise of this Warrant. The limitations contained in this paragraph shall apply to a successor holder of this Warrant. The Holder, upon notice to the Company, may increase or decrease the Beneficial Ownership Limitation provisions of this Section 2(e), provided that the Beneficial Ownership Limitation in no event exceeds 9.99% of the number of Common Stock outstanding immediately after giving effect to the issuance of Warrant Shares upon exercise of this Warrant held by the Holder and the provisions of this Section 2(e)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If the Warrant is unexercisable as a result of the Holder’s Beneficial Ownership Limitation, no alternate consideration is owing to the Holder.</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Shares Dividends and Splits</w:t>
      </w:r>
      <w:r>
        <w:rPr>
          <w:rFonts w:ascii="Times New Roman;Times;Serif" w:hAnsi="Times New Roman;Times;Serif"/>
          <w:b w:val="false"/>
          <w:i w:val="false"/>
          <w:caps w:val="false"/>
          <w:smallCaps w:val="false"/>
          <w:sz w:val="20"/>
        </w:rPr>
        <w:t>. If the Company, at any time while this Warrant is outstanding: (i) pays a stock dividend or otherwise makes a distribution or distributions on its Common Stock or any other equity or equity equivalent securities payable in Common Stock (which, for avoidance of doubt, shall not include any Warrant Shares issued by the Company upon exercise of this Warrant), (ii) subdivides outstanding Common Stock into a larger number of shares, (iii) combines (including by way of reverse stock split) outstanding Common Stock into a smaller number of shares, or (iv) issues by reclassification of Common Stock any capital stock of the Company, then in each case the Exercise Price shall be multiplied by a fraction of which the numerator shall be the number of Common Stock (excluding treasury shares, if any) outstanding immediately before such event and of which the denominator shall be the number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shareholders entitled to receive such dividend or distribution and shall become effective immediately after the effective date in the case of a subdivision, combination or re-classification.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3(a) above, if at any time the Company grants, issues or sells any Common Stock Equivalents or rights to purchase shares, warrants, securities or other property pro rata to the record holders of any class of Common Stock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Warrant Shares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Common Stock are to be determined for the grant, issue or sale of such Purchase Rights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Warrant Shares as a result of such Purchase Right to such extent) and such Purchase Right to such extent shall be held in abeyance for the Holder until such time, if ever, as its right thereto would not result in the Holder exceeding the Beneficial Ownership Limitation). To the extent that this Warrant has not been partially or completely exercised at the time of the grant, issuance or sale of such Purchase Rights, such portion of the Purchase Rights shall be held in abeyance for the benefit of the Holder until the Holder has exercised this Warrant with respect to the Warrant Shares underlying such Purchase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Warrant is outstanding, if the Company shall declare or make any dividend or other distribution of its assets (or rights to acquire its assets) to holders of Common Stock, by way of return of capital or otherwise (including, without limitation, any distribution of cash, shares or other securities, property or options by way of a dividend, spin off, reclassification, corporate rearrangement, plan of arrangement or other similar transaction)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Warrant Shares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Common Stock are to be determined for the participation in such Distribution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 with respect to the Warrant Shares underlying such Distribution.</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(excluding a merger effected solely to change the Company’s name),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more than 50% of the outstanding Common Stock, (iv) the Company, directly or indirectly, in one or more related transactions effects any reclassification, reorganization or recapitalization of the Common Stock or any compulsory share exchange pursuant to which the Common Stock are effectively converted into or exchanged for other securities, cash or property, or (v) the Company, directly or indirectly, in one or more related transactions consummates a stock purchase agreement or other business combination (including, without limitation, a reorganization, recapitalization, spin-off, merger or plan of arrangement) with another Person or group of Persons whereby such other Person or group acquires more than 50% of the outstanding Common Stock (not including any Common Stock held by the other Person or other Persons making or party to, or associated or affiliated with the other Persons making or party to, such stock purchase agreement or other business combination)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the successor or acquiring corporation or of the Company, if it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Warrant Shares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shares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shares of the Successor Entity (which Successor Entity may be the Company following such Fundamental Transaction) in such Fundamental Transaction. “</w:t>
      </w:r>
      <w:r>
        <w:rPr>
          <w:rFonts w:ascii="Times New Roman;Times;Serif" w:hAnsi="Times New Roman;Times;Serif"/>
          <w:b w:val="false"/>
          <w:i w:val="false"/>
          <w:caps w:val="false"/>
          <w:smallCaps w:val="false"/>
          <w:sz w:val="20"/>
          <w:u w:val="single"/>
        </w:rPr>
        <w:t>Black Scholes Value</w:t>
      </w:r>
      <w:r>
        <w:rPr>
          <w:rFonts w:ascii="Times New Roman;Times;Serif" w:hAnsi="Times New Roman;Times;Serif"/>
          <w:b w:val="false"/>
          <w:i w:val="false"/>
          <w:caps w:val="false"/>
          <w:smallCaps w:val="false"/>
          <w:sz w:val="20"/>
        </w:rPr>
        <w:t>” means the value of this Warrant based on the Black 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100% and the 100 day volatility obtained from the HVT function on Bloomberg (determined utilizing a 365-day annualization factor)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public announcement of the applicable Fundamental Transaction (or the consummation of the applicable Fundamental Transaction, if earlier) and ending on the Trading Day of the Holder’s request pursuant to this Section 3(d) and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(or such other consideration) within the later of (i) five (5) Trading Days of the Holder’s election and (ii) the date of consummation of the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and the other Transaction Documents in accordance with the provisions of this Section 3(d) pursuant to written agreements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Warrant Shares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 share, as the case may be. For purposes of this Section 3, the number of Common Stock deemed to be issued and outstanding as of a given date shall be the sum of the number of Common Stock (excluding treasury shares, if any)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0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shareholders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are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(unless such information is filed with the Commission, in which case a notice shall not be required)stating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180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The Company may at any time during the term of this Warrant, with the prior written consent of the Holder, reduce the then current Exercise Price to any amount for any period of time deemed appropriate by the Board of Directors of the Company unless such reduction would result in the Company violating any rules of its principal Trading Market.</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Minimum Exercise Price</w:t>
      </w:r>
      <w:r>
        <w:rPr>
          <w:rFonts w:ascii="Times New Roman;Times;Serif" w:hAnsi="Times New Roman;Times;Serif"/>
          <w:b w:val="false"/>
          <w:i w:val="false"/>
          <w:caps w:val="false"/>
          <w:smallCaps w:val="false"/>
          <w:sz w:val="20"/>
        </w:rPr>
        <w:t>. Notwithstanding anything to the contrary in this Section 3, in no event will the Exercise Price of this Warrant be adjusted to an amount that is less than the Minimum Exercise Price. As used herein, “Minimum Exercise Price” means 20% of the Nasdaq Minimum Price (as defined in Nasdaq Listing Rule 5635(d) or its successor) calculated as of the date of the Purchase Agreement as proportionately adjusted to reflect any stock dividends or splits in the manner set forth in Section 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Issue Date and shall be identical with this Warrant except as to the number of Warrant Shares issuable pursuant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Representation by the Holder</w:t>
      </w:r>
      <w:r>
        <w:rPr>
          <w:rFonts w:ascii="Times New Roman;Times;Serif" w:hAnsi="Times New Roman;Times;Serif"/>
          <w:b w:val="false"/>
          <w:i w:val="false"/>
          <w:caps w:val="false"/>
          <w:smallCaps w:val="false"/>
          <w:sz w:val="20"/>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(provided that the Holder may resell the Warrant and the Warrant Shares pursuant to an effective registration statement or otherwise in compliance with applicable federal and state securities laws).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Currency</w:t>
      </w:r>
      <w:r>
        <w:rPr>
          <w:rFonts w:ascii="Times New Roman;Times;Serif" w:hAnsi="Times New Roman;Times;Serif"/>
          <w:b w:val="false"/>
          <w:i w:val="false"/>
          <w:caps w:val="false"/>
          <w:smallCaps w:val="false"/>
          <w:sz w:val="20"/>
        </w:rPr>
        <w:t>. All dollar amounts referred to in this Warrant are in United States Dollars (“U.S. Dollars”). All amounts owing under this Warrant shall be paid in U.S. Dollars.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Rights as Shareholder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shareholder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including if the Company is for any reason unable to issue and deliver Warrant Shares upon exercise of the this Warrant as required pursuant to the terms hereof, shall the Company be required to net cash settle an exercise of this Warrant or cash settle in any other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share certificate relating to the Warrant Shares, and in case of loss, theft or destruction, of indemnity or security reasonably satisfactory to it (and the Holder’s provision of a customary indemnity to the Company and the Transfer Agent, as applicable), and upon surrender and cancellation of such Warrant or share certificate, if mutilated, the Company will make and deliver a new Warrant or share certificate of like tenor and dated as of such cancellation, in lieu of such Warrant or share certificate.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taking any action which would result in an adjustment in the number of Warrant Shares for which this Warrant is exercisable or in the Exercise Price, the Company shall use commercially reasonable efforts to obtain all such authorizations or exemptions thereof, or consents thereto, as may be necessary from any public regulatory body or bodies having jurisdiction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All questions concerning the construction, validity, enforcement and interpretation of this Warrant shall be determined in accordance with the provisions of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request or other document required or permitted to be given or delivered to the Holder by the Company shall be delivered in accordance with the notice provisions of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Warrant Shares or as a shareholder of the Company, whether such liability is asserted by the Company or by creditors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may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and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hanging="0"/>
        <w:jc w:val="both"/>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380"/>
        <w:gridCol w:w="2435"/>
        <w:gridCol w:w="75"/>
      </w:tblGrid>
      <w:tr>
        <w:trPr/>
        <w:tc>
          <w:tcPr>
            <w:tcW w:w="281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243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243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43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caps w:val="false"/>
                <w:smallCaps w:val="false"/>
                <w:sz w:val="20"/>
              </w:rPr>
              <w:t>/s/ Daniel S. O’Toole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2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Daniel S. O’Toole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24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ARRIVE AI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 lawful money of the United States;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cashless exercise of this Warrant in accordance with subsection 2(c), pursuant to which the Holder shall receive Warrant Shares based on the Cashless Exercise Ratio set forth in subsection 2(c).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 in the name of the undersigned or in such other name as is specified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shall be delivered to the following DWAC Account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The undersigned is an “accredited investor” as defined in Regulation D promulgated under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HOLDER]</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 ________________________________________________________________________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Investing Entity</w:t>
      </w:r>
      <w:r>
        <w:rPr>
          <w:rFonts w:ascii="Times New Roman;Times;Serif" w:hAnsi="Times New Roman;Times;Serif"/>
          <w:b w:val="false"/>
          <w:i w:val="false"/>
          <w:caps w:val="false"/>
          <w:smallCaps w:val="false"/>
          <w:sz w:val="20"/>
        </w:rPr>
        <w:t>: 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________________________________________________________________________________________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purchase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hanging="0"/>
        <w:jc w:val="both"/>
        <w:rPr>
          <w:caps w:val="false"/>
          <w:smallCaps w:val="false"/>
        </w:rPr>
      </w:pPr>
      <w:r>
        <w:rPr>
          <w:caps w:val="false"/>
          <w:smallCaps w:val="false"/>
        </w:rPr>
        <w:t> </w:t>
      </w:r>
    </w:p>
    <w:tbl>
      <w:tblPr>
        <w:tblW w:w="7360" w:type="dxa"/>
        <w:jc w:val="left"/>
        <w:tblInd w:w="0" w:type="dxa"/>
        <w:tblLayout w:type="fixed"/>
        <w:tblCellMar>
          <w:top w:w="0" w:type="dxa"/>
          <w:left w:w="0" w:type="dxa"/>
          <w:bottom w:w="0" w:type="dxa"/>
          <w:right w:w="0" w:type="dxa"/>
        </w:tblCellMar>
      </w:tblPr>
      <w:tblGrid>
        <w:gridCol w:w="3275"/>
        <w:gridCol w:w="60"/>
        <w:gridCol w:w="4025"/>
      </w:tblGrid>
      <w:tr>
        <w:trPr/>
        <w:tc>
          <w:tcPr>
            <w:tcW w:w="3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w:t>
            </w:r>
          </w:p>
        </w:tc>
      </w:tr>
      <w:tr>
        <w:trPr/>
        <w:tc>
          <w:tcPr>
            <w:tcW w:w="32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tc>
      </w:tr>
      <w:tr>
        <w:trPr/>
        <w:tc>
          <w:tcPr>
            <w:tcW w:w="32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w:t>
            </w:r>
          </w:p>
        </w:tc>
      </w:tr>
      <w:tr>
        <w:trPr/>
        <w:tc>
          <w:tcPr>
            <w:tcW w:w="32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w:t>
            </w:r>
          </w:p>
        </w:tc>
      </w:tr>
      <w:tr>
        <w:trPr/>
        <w:tc>
          <w:tcPr>
            <w:tcW w:w="327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Number: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w:t>
            </w:r>
          </w:p>
        </w:tc>
      </w:tr>
      <w:tr>
        <w:trPr/>
        <w:tc>
          <w:tcPr>
            <w:tcW w:w="32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 __, ______</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Holder’s Signature: _______________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Address:_______________</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right"/>
        <w:rPr>
          <w:caps w:val="false"/>
          <w:smallCaps w:val="false"/>
        </w:rPr>
      </w:pPr>
      <w:bookmarkStart w:id="25" w:name="ex10-1.htm"/>
      <w:bookmarkStart w:id="26" w:name="ksex101"/>
      <w:bookmarkEnd w:id="25"/>
      <w:bookmarkEnd w:id="26"/>
      <w:r>
        <w:rPr>
          <w:caps w:val="false"/>
          <w:smallCaps w:val="false"/>
        </w:rPr>
        <w:t> </w:t>
      </w:r>
      <w:r>
        <w:br w:type="page"/>
      </w:r>
    </w:p>
    <w:p>
      <w:pPr>
        <w:pStyle w:val="TextBody"/>
        <w:bidi w:val="0"/>
        <w:spacing w:before="0" w:after="0"/>
        <w:ind w:left="720" w:right="0" w:hanging="720"/>
        <w:jc w:val="right"/>
        <w:rPr>
          <w:rFonts w:ascii="Times New Roman;Times;Serif" w:hAnsi="Times New Roman;Times;Serif"/>
          <w:b/>
          <w:i w:val="false"/>
          <w:caps/>
          <w:sz w:val="20"/>
        </w:rPr>
      </w:pPr>
      <w:r>
        <w:rPr>
          <w:rFonts w:ascii="Times New Roman;Times;Serif" w:hAnsi="Times New Roman;Times;Serif"/>
          <w:b/>
          <w:i w:val="false"/>
          <w:caps/>
          <w:sz w:val="20"/>
        </w:rPr>
        <w:t>EXHIBIT 10.1</w:t>
      </w:r>
    </w:p>
    <w:p>
      <w:pPr>
        <w:pStyle w:val="TextBody"/>
        <w:bidi w:val="0"/>
        <w:spacing w:before="0" w:after="0"/>
        <w:ind w:left="720" w:right="0" w:hanging="720"/>
        <w:jc w:val="center"/>
        <w:rPr>
          <w:caps/>
        </w:rPr>
      </w:pPr>
      <w:r>
        <w:rPr>
          <w:caps/>
        </w:rPr>
        <w:t> </w:t>
      </w:r>
    </w:p>
    <w:p>
      <w:pPr>
        <w:pStyle w:val="TextBody"/>
        <w:bidi w:val="0"/>
        <w:spacing w:before="0" w:after="0"/>
        <w:ind w:left="720" w:right="0" w:hanging="720"/>
        <w:jc w:val="center"/>
        <w:rPr>
          <w:rFonts w:ascii="Times New Roman;Times;Serif" w:hAnsi="Times New Roman;Times;Serif"/>
          <w:b/>
          <w:i w:val="false"/>
          <w:caps/>
          <w:sz w:val="20"/>
        </w:rPr>
      </w:pPr>
      <w:r>
        <w:rPr>
          <w:rFonts w:ascii="Times New Roman;Times;Serif" w:hAnsi="Times New Roman;Times;Serif"/>
          <w:b/>
          <w:i w:val="false"/>
          <w:caps/>
          <w:sz w:val="20"/>
        </w:rPr>
        <w:t>FORM OF SECURITIES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dated as of October 5, 2026 between Arrive AI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each purchaser identified on the signature pages hereto (each, including its successors and assigns, a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Purchasers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subject to the terms and conditions set forth in this Agreement and in reliance upon Section 4(a)(2) of the Securities Act of 1933, as amended, the Company desires to issue and sell to each Purchaser, and each Purchaser, severally and not jointly, desires to purchase from the Company, (i) shares of Common Stock (as defined below)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and (ii) Common Warrants (as defined below) to purchase shares of Common Stock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and, together with the Shares and the Common Warrants,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as more fully described in this Agreement. The Shares and the Warrant Shares will be registered under the Registration Statement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in this Agreement, and for other good and valuable consideration the receipt and adequacy of which are hereby acknowledged, the Company and each Purchaser agree as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I.</w:t>
      </w:r>
      <w:r>
        <w:rPr>
          <w:rFonts w:ascii="Times New Roman;Times;Serif" w:hAnsi="Times New Roman;Times;Serif"/>
          <w:b w:val="false"/>
          <w:i w:val="false"/>
          <w:caps w:val="false"/>
          <w:smallCaps w:val="false"/>
          <w:sz w:val="20"/>
        </w:rPr>
        <w:br/>
        <w:t>DEFINITIONS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Agreement, for all purposes of this Agreement, the following terms have the meanings set forth in this Section 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Acquiring Person</w:t>
      </w:r>
      <w:r>
        <w:rPr>
          <w:rFonts w:ascii="Times New Roman;Times;Serif" w:hAnsi="Times New Roman;Times;Serif"/>
          <w:b w:val="false"/>
          <w:i w:val="false"/>
          <w:caps w:val="false"/>
          <w:smallCaps w:val="false"/>
          <w:sz w:val="20"/>
        </w:rPr>
        <w:t>” shall have the meaning ascribed to such term in Section 4.5.</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shall have the meaning ascribed to such term in Section 3.1(j).</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any day other than Saturday, Sunday or other day on which commercial banks in The City of New York are authorized or required by law to remain closed;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means the closing of the purchase and sale of the Securities pursuant to Section 2.1.</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Trading Day following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of the Company, par value $0.0002 per share, and any other class of securities into which such securities may hereafter be reclassified or changed.</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shares of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Warrants</w:t>
      </w:r>
      <w:r>
        <w:rPr>
          <w:rFonts w:ascii="Times New Roman;Times;Serif" w:hAnsi="Times New Roman;Times;Serif"/>
          <w:b w:val="false"/>
          <w:i w:val="false"/>
          <w:caps w:val="false"/>
          <w:smallCaps w:val="false"/>
          <w:sz w:val="20"/>
        </w:rPr>
        <w:t>” means, collectively, the Common Stock purchase warrants delivered to the Purchasers at the Closing in accordance with Section 2.2(a) hereof, which Common Warrants shall be exercisable on the Issue Date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xml:space="preserve">”) and shall expire on the fifth (5th) anniversary of the Initial Exercise Date,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Counsel</w:t>
      </w:r>
      <w:r>
        <w:rPr>
          <w:rFonts w:ascii="Times New Roman;Times;Serif" w:hAnsi="Times New Roman;Times;Serif"/>
          <w:b w:val="false"/>
          <w:i w:val="false"/>
          <w:caps w:val="false"/>
          <w:smallCaps w:val="false"/>
          <w:sz w:val="20"/>
        </w:rPr>
        <w:t>” means Lucosky Brookman LLP, with offices located at 101 Wood Avenue South,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Woodbridge, NJ 08830.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Schedules</w:t>
      </w:r>
      <w:r>
        <w:rPr>
          <w:rFonts w:ascii="Times New Roman;Times;Serif" w:hAnsi="Times New Roman;Times;Serif"/>
          <w:b w:val="false"/>
          <w:i w:val="false"/>
          <w:caps w:val="false"/>
          <w:smallCaps w:val="false"/>
          <w:sz w:val="20"/>
        </w:rPr>
        <w:t>” means the Disclosure Schedules of the Company delivered concurrently herewith.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Time</w:t>
      </w:r>
      <w:r>
        <w:rPr>
          <w:rFonts w:ascii="Times New Roman;Times;Serif" w:hAnsi="Times New Roman;Times;Serif"/>
          <w:b w:val="false"/>
          <w:i w:val="false"/>
          <w:caps w:val="false"/>
          <w:smallCaps w:val="false"/>
          <w:sz w:val="20"/>
        </w:rPr>
        <w:t>” means, (i) if this Agreement is signed on a day that is not a Trading Day or after 9:00 a.m. (New York City time) and before midnight (New York City time) on any Trading Day, 9:01 a.m. (New York City time) on the Trading Day immediately following the date hereof, and (ii) if this Agreement is signed between midnight (New York City time) and 9:00 a.m. (New York City time) on any Trading Day, no later than 9:01 a.m. (New York City time) on the date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shall have the meaning ascribed to such term in Section 3.1(s).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means the Foreign Corrupt Practices Act of 1977, as amended.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shall have the meaning ascribed to such term in Section 3.1(h).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shall have the meaning ascribed to such term in Section 3.1(aa).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shall have the meaning ascribed to such term in Section 3.1(p).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a lien, charge, pledge, security interest, encumbrance, right of first refusal, preemptive right or other restriction.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shall have the meaning assigned to such term in Section 3.1(b).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shall have the meaning ascribed to such term in Section 3.1(n).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 Share Purchase Price</w:t>
      </w:r>
      <w:r>
        <w:rPr>
          <w:rFonts w:ascii="Times New Roman;Times;Serif" w:hAnsi="Times New Roman;Times;Serif"/>
          <w:b w:val="false"/>
          <w:i w:val="false"/>
          <w:caps w:val="false"/>
          <w:smallCaps w:val="false"/>
          <w:sz w:val="20"/>
        </w:rPr>
        <w:t>” equals $0.65, subject to adjustment for reverse and forward stock splits, stock dividends, stock combinations and other similar transactions of the Common Stock that occur after the date of this Agreement and prior to the Closing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 action, claim, suit, investigation or proceeding (including, without limitation, an informal investigation or partial proceeding, such as a deposition), whether commenced or, to the Company’s knowledge, threatened.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Purchaser Party</w:t>
      </w:r>
      <w:r>
        <w:rPr>
          <w:rFonts w:ascii="Times New Roman;Times;Serif" w:hAnsi="Times New Roman;Times;Serif"/>
          <w:b w:val="false"/>
          <w:i w:val="false"/>
          <w:caps w:val="false"/>
          <w:smallCaps w:val="false"/>
          <w:sz w:val="20"/>
        </w:rPr>
        <w:t>” shall have the meaning ascribed to such term in Section 4.8.</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a Form S-3 Registration Statement, or such other form that is available to the Company, to be filed with the Commission which registers the resale of the Shares and the Warrant Shares by the Purchasers.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 shall have the meaning ascribed to such term in Section 3.1(e).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424</w:t>
      </w:r>
      <w:r>
        <w:rPr>
          <w:rFonts w:ascii="Times New Roman;Times;Serif" w:hAnsi="Times New Roman;Times;Serif"/>
          <w:b w:val="false"/>
          <w:i w:val="false"/>
          <w:caps w:val="false"/>
          <w:smallCaps w:val="false"/>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shall have the meaning ascribed to such term in Section 3.1(h).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means the Shares, the Common Warrants and the Warrant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means the shares of Common Stock issued or issuable to each Purchaser pursuant to this Agreement but excluding the Warrant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Short Sales</w:t>
      </w:r>
      <w:r>
        <w:rPr>
          <w:rFonts w:ascii="Times New Roman;Times;Serif" w:hAnsi="Times New Roman;Times;Serif"/>
          <w:b w:val="false"/>
          <w:i w:val="false"/>
          <w:caps w:val="false"/>
          <w:smallCaps w:val="false"/>
          <w:sz w:val="20"/>
        </w:rPr>
        <w:t>” means all “short sales” as defined in Rule 200 of Regulation SHO under the Exchange Act (but shall not be deemed to include locating and/or borrowing shares of Common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Subscription Amount</w:t>
      </w:r>
      <w:r>
        <w:rPr>
          <w:rFonts w:ascii="Times New Roman;Times;Serif" w:hAnsi="Times New Roman;Times;Serif"/>
          <w:b w:val="false"/>
          <w:i w:val="false"/>
          <w:caps w:val="false"/>
          <w:smallCaps w:val="false"/>
          <w:sz w:val="20"/>
        </w:rPr>
        <w:t>” means, as to each Purchaser, the aggregate amount to be paid for the Shares and Common Warrants purchased hereunder as specified below such Purchaser’s name on the signature page of this Agreement and next to the heading “Subscription Amount,” in United States dollars and in immediately available funds.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as defined in Rule 405 under the Securities Act and listed in Exhibit 21.1 to the Company’s Annual Report on Form 10-K for the fiscal year ended December 31, 2025, and shall, where applicable, also include any direct or indirect subsidiary of the Company formed or acquired after the date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trading.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the New York Stock Exchange (or any successors to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the Common Warrants, and all exhibits and schedules thereto and hereto and any other documents or agreements executed in connection with the transactions contemplated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Odyssey Transfer and Trust Company, with an address of 2155 Woodlane Drive, Suite 100, Woodbury, MN 55125, telephone number: (612) 453-4531 or (888) 290-1175, the current transfer agent of the Company and any successor transfer agent of the Company.</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Variable Rate Transaction</w:t>
      </w:r>
      <w:r>
        <w:rPr>
          <w:rFonts w:ascii="Times New Roman;Times;Serif" w:hAnsi="Times New Roman;Times;Serif"/>
          <w:b w:val="false"/>
          <w:i w:val="false"/>
          <w:caps w:val="false"/>
          <w:smallCaps w:val="false"/>
          <w:sz w:val="20"/>
        </w:rPr>
        <w:t>”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Comon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whereby the Company may issue securities at a future determined price regardless of whether shares pursuant to such agreement have actually been issued and regardless of whether such agreement is subsequently canceled. Any Purchaser shall be entitled to obtain injunctive relief against the Company to preclude any such issuance, which remedy shall be in addition to any right to collect damages.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means the shares of Common Stock issuable upon exercise of the Common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II.</w:t>
      </w:r>
      <w:r>
        <w:rPr>
          <w:rFonts w:ascii="Times New Roman;Times;Serif" w:hAnsi="Times New Roman;Times;Serif"/>
          <w:b w:val="false"/>
          <w:i w:val="false"/>
          <w:caps w:val="false"/>
          <w:smallCaps w:val="false"/>
          <w:sz w:val="20"/>
        </w:rPr>
        <w:br/>
        <w:t>PURCHASE AND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On the Closing Date, upon the terms and subject to the conditions set forth herein, substantially concurrent with the execution and delivery of this Agreement by the parties hereto, the Company agrees to sell, and the Purchasers, severally and not jointly, agree to purchase, up to an aggregate of $250,000 of Shares and Common Warrants. Each Purchaser shall receive Common Warrants to purchase that number of shares of Common Stock equal to the number of Shares purchased by such Purchaser (representing 100% warrant coverage, subject to adjustment as set forth in the Common Warrants). Each Common Warrant shall be exercisable for one share of Common Stock (subject to adjustment as provided therein). The Company shall deliver to each Purchaser its respective Shares and Common Warrants as determined pursuant to Section 2.2(a), and the Company and each Purchaser shall deliver the other items set forth in Section 2.2 deliverable at the Closing. Upon satisfaction of the covenants and conditions set forth in Sections 2.2 and 2.3, the Closing shall take place remotely by electronic transfer of the Closing documentation. The Company shall issue the Shares to Purchasers in restricted book entry form.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Deliveries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Closing Date (except as indicated below), the Company shall deliver or cause to be delivered to each Purchaser the following: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the Company;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certificate executed by the Secretary of the Company and dated as of the Closing Date, certifying the authenticity of (a) resolutions of the Company’s board of directors approving the transactions contemplated hereby and the execution of the Transaction Documents, (b) the currently effective amended and restated articles of incorporation, each as in effect at the Closing and attached to such certificate.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subject to the fifth sentence of Section 2.1, the Company shall have provided each Purchaser with the Company’s wire instructions, on Company letterhead and executed by the Chief Executive Officer or Chief Financial Officer;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subject to the fifth sentence of Section 2.1, a copy of the irrevocable instructions to the Transfer Agent instructing the Transfer Agent to deliver Shares equal to such Purchaser’s Subscription Amount divided by the Per Share Purchase Price, issued in the name of such Purchaser to be held in an account established with the Transfer Agent;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Common Warrant registered in the name of such Purchaser to purchase a number of Warrant Shares equal to the number of Shares purchased by such Purchaser, with a cash exercise price of $0.70 per share (subject to adjustment as provided therein), in the form attached hereto as Exhibit A.</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prior to the Closing Date, each Purchaser shall deliver or cause to be delivered to the Company, the following:</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such Purchaser;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Purchaser’s Subscription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Closing Conditions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obligations of the Company hereunder in connection with the Closing are subject to the following conditions being met: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when made and on the Closing Date of the representations and warranties of the Purchasers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each Purchaser required to be performed at or prior to the Closing Date shall have been performed;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delivery by each Purchaser of the items set forth in Section 2.2(b)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respective obligations of the Purchasers hereunder in connection with the Closing are subject to the following conditions being met: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when made and on the Closing Date of the representations and warranties of the Company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the Company required to be performed at or prior to the Closing Date shall have been performed in all material respects;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delivery by the Company of the items set forth in Section 2.2(a) of this Agreement;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there shall have been no Material Adverse Effect with respect to the Company since the date hereof;</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Company shall have filed an additional listing application with the principal Trading Market with respect to the Shares and Warrant Shares;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III.</w:t>
      </w:r>
      <w:r>
        <w:rPr>
          <w:rFonts w:ascii="Times New Roman;Times;Serif" w:hAnsi="Times New Roman;Times;Serif"/>
          <w:b w:val="false"/>
          <w:i w:val="false"/>
          <w:caps w:val="false"/>
          <w:smallCaps w:val="false"/>
          <w:sz w:val="20"/>
        </w:rPr>
        <w:br/>
        <w:t>REPRESENTATIONS AND WARRANTIES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Except as set forth in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each Purchaser: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All of the direct and indirect subsidiaries of the Company are set forth in the Company’s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provided, however, that none of the following shall be deemed, alone or in combination, to constitute, or be taken into account in determining whether there has been or would reasonably be expected to be, a Material Adverse Effect under clause (ii): (A) changes in general economic, financial market or political conditions, (B) conditions generally affecting the industries or geographic markets in which the Company and the Subsidiaries operate, (C) changes in law or GAAP after the date of this Agreement, (D) acts of war, terrorism, civil unrest, epidemics, pandemics, natural disasters or other force majeure events, or (E) actions taken or omitted to be taken as required by this Agreement or with the prior written consent of the Purchasers, except in each case to the extent such event has a materially disproportionate adverse effect on the Company and the Subsidiaries, taken as a whole, relative to similarly situated companies. o Proceeding has been instituted in any such jurisdiction revoking, limiting or curtailing or seeking to revoke, limit or curtail such power and authority or qualification.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except as set forth in the SEC Reports,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Registration Statement, (iii) the notice and/or application(s) to each applicable Trading Market for the issuance and sale of the Securities and the listing of the Shares and Warrant Shares for trading thereon in the time and manner required thereby, and (iv) such filings as are required to be made under applicable state securities laws (collectively, the “</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Issuance of the Securities; Registration</w:t>
      </w:r>
      <w:r>
        <w:rPr>
          <w:rFonts w:ascii="Times New Roman;Times;Serif" w:hAnsi="Times New Roman;Times;Serif"/>
          <w:b w:val="false"/>
          <w:i w:val="false"/>
          <w:caps w:val="false"/>
          <w:smallCaps w:val="false"/>
          <w:sz w:val="20"/>
        </w:rPr>
        <w:t>. The Securities are duly authorized and, when issued and paid for in accordance with the applicable Transaction Documents, will be duly and validly issued, fully paid and nonassessable, free and clear of all Liens imposed by the Company. The Warrant Shares, when issued in accordance with the terms of the Common Warrants, will be validly issued, fully paid and nonassessable, free and clear of all Liens imposed by the Company. The Company has reserved from its duly authorized capital stock the maximum number of shares of Common Stock issuable pursuant to this Agreement and the Common Warrants.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xml:space="preserve">. As of the date hereof, the capitalization of the Company is as set forth on Schedule 3.1(g), which Schedule 3.1(g) shall also include the number of shares of Common Stock owned beneficially, and of record, by Affiliates of the Company as of the date hereof.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and as set forth on </w:t>
      </w:r>
      <w:r>
        <w:rPr>
          <w:rFonts w:ascii="Times New Roman;Times;Serif" w:hAnsi="Times New Roman;Times;Serif"/>
          <w:b w:val="false"/>
          <w:i w:val="false"/>
          <w:caps w:val="false"/>
          <w:smallCaps w:val="false"/>
          <w:sz w:val="20"/>
          <w:u w:val="single"/>
        </w:rPr>
        <w:t>Schedule 3.1(g)</w:t>
      </w:r>
      <w:r>
        <w:rPr>
          <w:rFonts w:ascii="Times New Roman;Times;Serif" w:hAnsi="Times New Roman;Times;Serif"/>
          <w:b w:val="false"/>
          <w:i w:val="false"/>
          <w:caps w:val="false"/>
          <w:smallCaps w:val="false"/>
          <w:sz w:val="20"/>
        </w:rPr>
        <w:t xml:space="preserve">,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Except as set forth on </w:t>
      </w:r>
      <w:r>
        <w:rPr>
          <w:rFonts w:ascii="Times New Roman;Times;Serif" w:hAnsi="Times New Roman;Times;Serif"/>
          <w:b w:val="false"/>
          <w:i w:val="false"/>
          <w:caps w:val="false"/>
          <w:smallCaps w:val="false"/>
          <w:sz w:val="20"/>
          <w:u w:val="single"/>
        </w:rPr>
        <w:t>Schedule 3.1(g)</w:t>
      </w:r>
      <w:r>
        <w:rPr>
          <w:rFonts w:ascii="Times New Roman;Times;Serif" w:hAnsi="Times New Roman;Times;Serif"/>
          <w:b w:val="false"/>
          <w:i w:val="false"/>
          <w:caps w:val="false"/>
          <w:smallCaps w:val="false"/>
          <w:sz w:val="20"/>
        </w:rPr>
        <w:t xml:space="preserve">, the issuance and sale of the Securities will not obligate the Company or any Subsidiary 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Except as set forth on </w:t>
      </w:r>
      <w:r>
        <w:rPr>
          <w:rFonts w:ascii="Times New Roman;Times;Serif" w:hAnsi="Times New Roman;Times;Serif"/>
          <w:b w:val="false"/>
          <w:i w:val="false"/>
          <w:caps w:val="false"/>
          <w:smallCaps w:val="false"/>
          <w:sz w:val="20"/>
          <w:u w:val="single"/>
        </w:rPr>
        <w:t>Schedule 3.1(g)</w:t>
      </w:r>
      <w:r>
        <w:rPr>
          <w:rFonts w:ascii="Times New Roman;Times;Serif" w:hAnsi="Times New Roman;Times;Serif"/>
          <w:b w:val="false"/>
          <w:i w:val="false"/>
          <w:caps w:val="false"/>
          <w:smallCaps w:val="false"/>
          <w:sz w:val="20"/>
        </w:rPr>
        <w:t>,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applicable federal and state securities laws, and none of such outstanding shares was issued in violation of any preemptive rights or similar rights to subscribe for or purchase securities. Other than the Board of Directors’ initial approval to consummate the transactions contemplated by this Agreement and each of the other Transaction Documents, no further approval or authorization of any shareholder,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SEC Reports;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Material Changes; Undisclosed Events, Liabilities or Developments</w:t>
      </w:r>
      <w:r>
        <w:rPr>
          <w:rFonts w:ascii="Times New Roman;Times;Serif" w:hAnsi="Times New Roman;Times;Serif"/>
          <w:b w:val="false"/>
          <w:i w:val="false"/>
          <w:caps w:val="false"/>
          <w:smallCaps w:val="false"/>
          <w:sz w:val="20"/>
        </w:rPr>
        <w:t>. Since the date of the latest audited financial statements included within the SEC Reports, except as set forth 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equity compensation plans. The Company does not have pending before the Commission any request for confidential treatment of information. Except for the issuance of the Securities contemplated by this Agreement or as set forth in the SEC Reports,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that could have or reasonably be expected to result in a Material Adverse Effect. There is no Action that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Labor Relations</w:t>
      </w:r>
      <w:r>
        <w:rPr>
          <w:rFonts w:ascii="Times New Roman;Times;Serif" w:hAnsi="Times New Roman;Times;Serif"/>
          <w:b w:val="false"/>
          <w:i w:val="false"/>
          <w:caps w:val="false"/>
          <w:smallCaps w:val="false"/>
          <w:sz w:val="20"/>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that could reasonably be expected to have a Material Adverse Effect. The Company and its Subsidiaries are in compliance with all applicable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Regulatory Permits</w:t>
      </w:r>
      <w:r>
        <w:rPr>
          <w:rFonts w:ascii="Times New Roman;Times;Serif" w:hAnsi="Times New Roman;Times;Serif"/>
          <w:b w:val="false"/>
          <w:i w:val="false"/>
          <w:caps w:val="false"/>
          <w:smallCaps w:val="false"/>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and neither the Company nor any Subsidiary has received any notice of proceedings relating to the revocation or modification of any Material Permit.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in all material respects, with such exceptions as are not material and do not materially interfere with the use made or proposed to be made of such real property, improvements, equipment or personal property by the Company or such subsidiary.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currently conducted or as currently proposed to be conducted as described in the SEC Reports and which the failure to so have could have a Material Adverse Effect (collectively, the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for such expirations, terminations or abandonments, which could not reasonably be expected to have a Material Adverse Effect.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 The Company has no knowledge of facts that would preclude it from having valid license rights or clear title to the Intellectual Property Rights. The Company has no knowledge that it lacks or will be unable to obtain any rights or licenses to use all Intellectual Property Rights that are necessary to conduct its business as described in the SEC Reports.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in an amount deemed commercially reasonable.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Transactions With Affiliates and Employees</w:t>
      </w:r>
      <w:r>
        <w:rPr>
          <w:rFonts w:ascii="Times New Roman;Times;Serif" w:hAnsi="Times New Roman;Times;Serif"/>
          <w:b w:val="false"/>
          <w:i w:val="false"/>
          <w:caps w:val="false"/>
          <w:smallCaps w:val="false"/>
          <w:sz w:val="20"/>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Sarbanes-Oxley; Internal Accounting Controls</w:t>
      </w:r>
      <w:r>
        <w:rPr>
          <w:rFonts w:ascii="Times New Roman;Times;Serif" w:hAnsi="Times New Roman;Times;Serif"/>
          <w:b w:val="false"/>
          <w:i w:val="false"/>
          <w:caps w:val="false"/>
          <w:smallCaps w:val="false"/>
          <w:sz w:val="20"/>
        </w:rPr>
        <w:t>. The Company and the Subsidiaries are in compliance in all material respects with any and all applicable requirements of the Sarbanes-Oxley Act of 2002, as amended, that are effective as of the date hereof and as of the Closing Date,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13a-15(I) and 15d-15(e)) for the Company and the Subsidiaries and designed such disclosure controls and procedures to provide reasonable assurance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Investment Company</w:t>
      </w:r>
      <w:r>
        <w:rPr>
          <w:rFonts w:ascii="Times New Roman;Times;Serif" w:hAnsi="Times New Roman;Times;Serif"/>
          <w:b w:val="false"/>
          <w:i w:val="false"/>
          <w:caps w:val="false"/>
          <w:smallCaps w:val="false"/>
          <w:sz w:val="20"/>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Except as set forth in the SEC Reports, no Person has any right to cause the Company or any Subsidiary to effect the registration under the Securities Act of any securities of the Company or any Subsidiary.</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Listing and Maintenance Requirements</w:t>
      </w:r>
      <w:r>
        <w:rPr>
          <w:rFonts w:ascii="Times New Roman;Times;Serif" w:hAnsi="Times New Roman;Times;Serif"/>
          <w:b w:val="false"/>
          <w:i w:val="false"/>
          <w:caps w:val="false"/>
          <w:smallCaps w:val="false"/>
          <w:sz w:val="20"/>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set forth in the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Application of Takeover Protections</w:t>
      </w:r>
      <w:r>
        <w:rPr>
          <w:rFonts w:ascii="Times New Roman;Times;Serif" w:hAnsi="Times New Roman;Times;Serif"/>
          <w:b w:val="false"/>
          <w:i w:val="false"/>
          <w:caps w:val="false"/>
          <w:smallCaps w:val="false"/>
          <w:sz w:val="20"/>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articles of incorporation, as amended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SEC Reports.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taken as a whole, is true and correct in all material respects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sets forth as of the date hereof all outstanding secured and unsecured Indebtedness of the Company or any Subsidiary, or for which the Company or any Subsidiary has commitments. For the purposes of this Agreement,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(x) any liabilities for borrowed money or amounts owed in excess of $100,000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Accountants</w:t>
      </w:r>
      <w:r>
        <w:rPr>
          <w:rFonts w:ascii="Times New Roman;Times;Serif" w:hAnsi="Times New Roman;Times;Serif"/>
          <w:b w:val="false"/>
          <w:i w:val="false"/>
          <w:caps w:val="false"/>
          <w:smallCaps w:val="false"/>
          <w:sz w:val="20"/>
        </w:rPr>
        <w:t>. The Company’s independent registered public accounting firm is Stephano Slack LLC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ended December 31, 2026.</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Acknowledgment Regarding Purchasers’ Purchase of Securities</w:t>
      </w:r>
      <w:r>
        <w:rPr>
          <w:rFonts w:ascii="Times New Roman;Times;Serif" w:hAnsi="Times New Roman;Times;Serif"/>
          <w:b w:val="false"/>
          <w:i w:val="false"/>
          <w:caps w:val="false"/>
          <w:smallCaps w:val="false"/>
          <w:sz w:val="20"/>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Acknowledgment Regarding Purchaser’s Trading Activity</w:t>
      </w:r>
      <w:r>
        <w:rPr>
          <w:rFonts w:ascii="Times New Roman;Times;Serif" w:hAnsi="Times New Roman;Times;Serif"/>
          <w:b w:val="false"/>
          <w:i w:val="false"/>
          <w:caps w:val="false"/>
          <w:smallCaps w:val="false"/>
          <w:sz w:val="20"/>
        </w:rPr>
        <w:t>. Anything in this Agreement or elsewhere herein to the contrary notwithstanding (except for Sections 3.2 (f)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(gg) </w:t>
      </w:r>
      <w:r>
        <w:rPr>
          <w:rFonts w:ascii="Times New Roman;Times;Serif" w:hAnsi="Times New Roman;Times;Serif"/>
          <w:b w:val="false"/>
          <w:i w:val="false"/>
          <w:caps w:val="false"/>
          <w:smallCaps w:val="false"/>
          <w:sz w:val="20"/>
          <w:u w:val="single"/>
        </w:rPr>
        <w:t>Regulation M Compliance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(hh) </w:t>
      </w:r>
      <w:r>
        <w:rPr>
          <w:rFonts w:ascii="Times New Roman;Times;Serif" w:hAnsi="Times New Roman;Times;Serif"/>
          <w:b w:val="false"/>
          <w:i w:val="false"/>
          <w:caps w:val="false"/>
          <w:smallCaps w:val="false"/>
          <w:sz w:val="20"/>
          <w:u w:val="single"/>
        </w:rPr>
        <w:t>Private Placement</w:t>
      </w:r>
      <w:r>
        <w:rPr>
          <w:rFonts w:ascii="Times New Roman;Times;Serif" w:hAnsi="Times New Roman;Times;Serif"/>
          <w:b w:val="false"/>
          <w:i w:val="false"/>
          <w:caps w:val="false"/>
          <w:smallCaps w:val="false"/>
          <w:sz w:val="20"/>
        </w:rPr>
        <w:t>. Assuming the accuracy of the Purchasers’ representations and warranties set forth in Section 3.2, no registration under the Securities Act is required for the offer and sale of the Securities by the Company to the Purchasers as contemplated hereby. The issuance and sale of the Securities hereunder does not contravene the rules and regulations of the Trading Market.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Stock Option Plans</w:t>
      </w:r>
      <w:r>
        <w:rPr>
          <w:rFonts w:ascii="Times New Roman;Times;Serif" w:hAnsi="Times New Roman;Times;Serif"/>
          <w:b w:val="false"/>
          <w:i w:val="false"/>
          <w:caps w:val="false"/>
          <w:smallCaps w:val="false"/>
          <w:sz w:val="20"/>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(jj) </w:t>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(i)(x) To the Company’s knowledge, there has been no material security breach or other material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Times;Serif" w:hAnsi="Times New Roman;Times;Serif"/>
          <w:b w:val="false"/>
          <w:i w:val="false"/>
          <w:caps w:val="false"/>
          <w:smallCaps w:val="false"/>
          <w:sz w:val="20"/>
          <w:u w:val="single"/>
        </w:rPr>
        <w:t>IT Systems and Data</w:t>
      </w:r>
      <w:r>
        <w:rPr>
          <w:rFonts w:ascii="Times New Roman;Times;Serif" w:hAnsi="Times New Roman;Times;Serif"/>
          <w:b w:val="false"/>
          <w:i w:val="false"/>
          <w:caps w:val="false"/>
          <w:smallCaps w:val="false"/>
          <w:sz w:val="20"/>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commercially reasonable industry standards and practices.</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(kk) </w:t>
      </w:r>
      <w:r>
        <w:rPr>
          <w:rFonts w:ascii="Times New Roman;Times;Serif" w:hAnsi="Times New Roman;Times;Serif"/>
          <w:b w:val="false"/>
          <w:i w:val="false"/>
          <w:caps w:val="false"/>
          <w:smallCaps w:val="false"/>
          <w:sz w:val="20"/>
          <w:u w:val="single"/>
        </w:rPr>
        <w:t>Compliance with Data Privacy Laws</w:t>
      </w:r>
      <w:r>
        <w:rPr>
          <w:rFonts w:ascii="Times New Roman;Times;Serif" w:hAnsi="Times New Roman;Times;Serif"/>
          <w:b w:val="false"/>
          <w:i w:val="false"/>
          <w:caps w:val="false"/>
          <w:smallCaps w:val="false"/>
          <w:sz w:val="20"/>
        </w:rPr>
        <w:t>. (i) The Company and the Subsidiaries are, and at all times during the past three years were, in compliance with all applicable state, federal and foreign data privacy and security laws and regulations, including, as applicable, the European Union General Data Protection Regulation (“GDPR”) (EU 2016/679) (collectively, “Privacy Laws”);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(the “Policies”); (iii) the Company provides accurate notice of its applicable Policies to its customers, employees, third party vendors and representatives as required by Privacy Laws; and (iv) applicable Policies provide accurate and sufficient notice of the Company’s then-current privacy practices relating to its subject matter, and do not contain any material omissions of the Company’s then-current privacy practices, as required by Privacy Laws. “Personal Data”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To the knowledge of the Company, none of such disclosures made or contained in any of the Policies have been materially inaccurate, misleading, or deceptive in violation of any Privacy Laws and the execution, delivery and performance of the Transaction Documents will not result in a material breach of any Privacy Laws or Policies. Neither the Company nor the Subsidiaries, (i) has, to the knowledge of the Company,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(ll) </w:t>
      </w:r>
      <w:r>
        <w:rPr>
          <w:rFonts w:ascii="Times New Roman;Times;Serif" w:hAnsi="Times New Roman;Times;Serif"/>
          <w:b w:val="false"/>
          <w:i w:val="false"/>
          <w:caps w:val="false"/>
          <w:smallCaps w:val="false"/>
          <w:sz w:val="20"/>
          <w:u w:val="single"/>
        </w:rPr>
        <w:t>Office of Foreign Assets Control</w:t>
      </w:r>
      <w:r>
        <w:rPr>
          <w:rFonts w:ascii="Times New Roman;Times;Serif" w:hAnsi="Times New Roman;Times;Serif"/>
          <w:b w:val="false"/>
          <w:i w:val="false"/>
          <w:caps w:val="false"/>
          <w:smallCaps w:val="false"/>
          <w:sz w:val="20"/>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(mm) </w:t>
      </w:r>
      <w:r>
        <w:rPr>
          <w:rFonts w:ascii="Times New Roman;Times;Serif" w:hAnsi="Times New Roman;Times;Serif"/>
          <w:b w:val="false"/>
          <w:i w:val="false"/>
          <w:caps w:val="false"/>
          <w:smallCaps w:val="false"/>
          <w:sz w:val="20"/>
          <w:u w:val="single"/>
        </w:rPr>
        <w:t>U.S. Real Property Holding Corporation</w:t>
      </w:r>
      <w:r>
        <w:rPr>
          <w:rFonts w:ascii="Times New Roman;Times;Serif" w:hAnsi="Times New Roman;Times;Serif"/>
          <w:b w:val="false"/>
          <w:i w:val="false"/>
          <w:caps w:val="false"/>
          <w:smallCaps w:val="false"/>
          <w:sz w:val="20"/>
        </w:rPr>
        <w:t>. The Company is not and has never been a U.S. real property holding corporation within the meaning of Section 897 of the Internal Revenue Code of 1986, as amended, and the Company shall so certify upon Purchaser’s request.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(nn) </w:t>
      </w:r>
      <w:r>
        <w:rPr>
          <w:rFonts w:ascii="Times New Roman;Times;Serif" w:hAnsi="Times New Roman;Times;Serif"/>
          <w:b w:val="false"/>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or Affiliates is subject to the Bank Holding Company Act of 1956, as amended (the “</w:t>
      </w:r>
      <w:r>
        <w:rPr>
          <w:rFonts w:ascii="Times New Roman;Times;Serif" w:hAnsi="Times New Roman;Times;Serif"/>
          <w:b w:val="false"/>
          <w:i w:val="false"/>
          <w:caps w:val="false"/>
          <w:smallCaps w:val="false"/>
          <w:sz w:val="20"/>
          <w:u w:val="single"/>
        </w:rPr>
        <w:t>BHCA</w:t>
      </w:r>
      <w:r>
        <w:rPr>
          <w:rFonts w:ascii="Times New Roman;Times;Serif" w:hAnsi="Times New Roman;Times;Serif"/>
          <w:b w:val="false"/>
          <w:i w:val="false"/>
          <w:caps w:val="false"/>
          <w:smallCaps w:val="false"/>
          <w:sz w:val="20"/>
        </w:rPr>
        <w:t>”) and to regulation by the Board of Governors of the Federal Reserve System (the “</w:t>
      </w:r>
      <w:r>
        <w:rPr>
          <w:rFonts w:ascii="Times New Roman;Times;Serif" w:hAnsi="Times New Roman;Times;Serif"/>
          <w:b w:val="false"/>
          <w:i w:val="false"/>
          <w:caps w:val="false"/>
          <w:smallCaps w:val="false"/>
          <w:sz w:val="20"/>
          <w:u w:val="single"/>
        </w:rPr>
        <w:t>Federal Reserve</w:t>
      </w:r>
      <w:r>
        <w:rPr>
          <w:rFonts w:ascii="Times New Roman;Times;Serif" w:hAnsi="Times New Roman;Times;Serif"/>
          <w:b w:val="false"/>
          <w:i w:val="false"/>
          <w:caps w:val="false"/>
          <w:smallCaps w:val="false"/>
          <w:sz w:val="20"/>
        </w:rPr>
        <w:t>”). Neither the Company nor any of its Subsidiaries or Affiliates owns or controls, directly or indirectly, five percent (5%) or more of the outstanding shares of any class of voting securities or twenty-five (25%)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(oo) </w:t>
      </w:r>
      <w:r>
        <w:rPr>
          <w:rFonts w:ascii="Times New Roman;Times;Serif" w:hAnsi="Times New Roman;Times;Serif"/>
          <w:b w:val="false"/>
          <w:i w:val="false"/>
          <w:caps w:val="false"/>
          <w:smallCaps w:val="false"/>
          <w:sz w:val="20"/>
          <w:u w:val="single"/>
        </w:rPr>
        <w:t>Money Laundering</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(pp) </w:t>
      </w:r>
      <w:r>
        <w:rPr>
          <w:rFonts w:ascii="Times New Roman;Times;Serif" w:hAnsi="Times New Roman;Times;Serif"/>
          <w:b w:val="false"/>
          <w:i w:val="false"/>
          <w:caps w:val="false"/>
          <w:smallCaps w:val="false"/>
          <w:sz w:val="20"/>
          <w:u w:val="single"/>
        </w:rPr>
        <w:t>No General Solicitation</w:t>
      </w:r>
      <w:r>
        <w:rPr>
          <w:rFonts w:ascii="Times New Roman;Times;Serif" w:hAnsi="Times New Roman;Times;Serif"/>
          <w:b w:val="false"/>
          <w:i w:val="false"/>
          <w:caps w:val="false"/>
          <w:smallCaps w:val="false"/>
          <w:sz w:val="20"/>
        </w:rPr>
        <w:t>. Neither the Company nor any Person acting on behalf of the Company has offered or sold any of the Securities by any form of “general solicitation” or “general advertising” (as such terms are defined in Regulation D under the Securities Act). The Company has offered the Securities for sale only to the Purchasers and certain other “qualified purchasers” within the meaning of the Securities Act.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Representations and Warranties of the Purchasers</w:t>
      </w:r>
      <w:r>
        <w:rPr>
          <w:rFonts w:ascii="Times New Roman;Times;Serif" w:hAnsi="Times New Roman;Times;Serif"/>
          <w:b w:val="false"/>
          <w:i w:val="false"/>
          <w:caps w:val="false"/>
          <w:smallCaps w:val="false"/>
          <w:sz w:val="20"/>
        </w:rPr>
        <w:t>. Each Purchaser, for itself and for no other Purchaser, hereby represents and warrants as of the date hereof and as of the Closing Date to the Company as follows (unless as of a specific date therein, in which case they shall be accurate as of such date):</w:t>
      </w:r>
    </w:p>
    <w:p>
      <w:pPr>
        <w:pStyle w:val="TextBody"/>
        <w:bidi w:val="0"/>
        <w:spacing w:before="0" w:after="0"/>
        <w:ind w:left="420" w:right="0" w:firstLine="1020"/>
        <w:jc w:val="both"/>
        <w:rPr>
          <w:caps w:val="false"/>
          <w:smallCaps w:val="false"/>
        </w:rPr>
      </w:pPr>
      <w:r>
        <w:rPr>
          <w:caps w:val="false"/>
          <w:smallCaps w:val="false"/>
        </w:rPr>
        <w:t> </w:t>
      </w:r>
    </w:p>
    <w:p>
      <w:pPr>
        <w:pStyle w:val="TextBody"/>
        <w:bidi w:val="0"/>
        <w:spacing w:before="0" w:after="0"/>
        <w:ind w:left="420" w:right="0" w:firstLine="10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Authority</w:t>
      </w:r>
      <w:r>
        <w:rPr>
          <w:rFonts w:ascii="Times New Roman;Times;Serif" w:hAnsi="Times New Roman;Times;Serif"/>
          <w:b w:val="false"/>
          <w:i w:val="false"/>
          <w:caps w:val="false"/>
          <w:smallCaps w:val="false"/>
          <w:sz w:val="20"/>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420" w:right="0" w:firstLine="1020"/>
        <w:jc w:val="both"/>
        <w:rPr>
          <w:caps w:val="false"/>
          <w:smallCaps w:val="false"/>
        </w:rPr>
      </w:pPr>
      <w:r>
        <w:rPr>
          <w:caps w:val="false"/>
          <w:smallCaps w:val="false"/>
        </w:rPr>
        <w:t> </w:t>
      </w:r>
    </w:p>
    <w:p>
      <w:pPr>
        <w:pStyle w:val="TextBody"/>
        <w:bidi w:val="0"/>
        <w:spacing w:before="0" w:after="0"/>
        <w:ind w:left="420" w:right="0" w:firstLine="10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Understandings or Arrangements</w:t>
      </w:r>
      <w:r>
        <w:rPr>
          <w:rFonts w:ascii="Times New Roman;Times;Serif" w:hAnsi="Times New Roman;Times;Serif"/>
          <w:b w:val="false"/>
          <w:i w:val="false"/>
          <w:caps w:val="false"/>
          <w:smallCaps w:val="false"/>
          <w:sz w:val="20"/>
        </w:rPr>
        <w:t>. Such Purchaser is acquiring the Securities hereunder in the ordinary course of its business. Such Purchaser is acquiring such Securities as principal for his, her, 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such Securities pursuant to a registration statement or otherwise in compliance with applicable federal and state securities laws).</w:t>
      </w:r>
    </w:p>
    <w:p>
      <w:pPr>
        <w:pStyle w:val="TextBody"/>
        <w:bidi w:val="0"/>
        <w:spacing w:before="0" w:after="0"/>
        <w:ind w:left="420" w:right="0" w:firstLine="1020"/>
        <w:jc w:val="both"/>
        <w:rPr>
          <w:caps w:val="false"/>
          <w:smallCaps w:val="false"/>
        </w:rPr>
      </w:pPr>
      <w:r>
        <w:rPr>
          <w:caps w:val="false"/>
          <w:smallCaps w:val="false"/>
        </w:rPr>
        <w:t> </w:t>
      </w:r>
    </w:p>
    <w:p>
      <w:pPr>
        <w:pStyle w:val="TextBody"/>
        <w:bidi w:val="0"/>
        <w:spacing w:before="0" w:after="0"/>
        <w:ind w:left="420" w:right="0" w:firstLine="10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Purchaser Status</w:t>
      </w:r>
      <w:r>
        <w:rPr>
          <w:rFonts w:ascii="Times New Roman;Times;Serif" w:hAnsi="Times New Roman;Times;Serif"/>
          <w:b w:val="false"/>
          <w:i w:val="false"/>
          <w:caps w:val="false"/>
          <w:smallCaps w:val="false"/>
          <w:sz w:val="20"/>
        </w:rPr>
        <w:t>. At the time such Purchaser was offered the Securities, it was, and as of the date hereof it is, and on each date on which it exercises any Common Warrants, it will either be an “accredited investor” as defined in Rule 501(a)(1), (a)(2), (a)(3), (a)(7), (a)(8), (a)(9), (a)(12) or (a)(13) under the Securities Act, or a “qualified institutional buyer” as defined in Rule 144(a) of under the Securities Act.</w:t>
      </w:r>
    </w:p>
    <w:p>
      <w:pPr>
        <w:pStyle w:val="TextBody"/>
        <w:bidi w:val="0"/>
        <w:spacing w:before="0" w:after="0"/>
        <w:ind w:left="420" w:right="0" w:firstLine="1020"/>
        <w:jc w:val="both"/>
        <w:rPr>
          <w:caps w:val="false"/>
          <w:smallCaps w:val="false"/>
        </w:rPr>
      </w:pPr>
      <w:r>
        <w:rPr>
          <w:caps w:val="false"/>
          <w:smallCaps w:val="false"/>
        </w:rPr>
        <w:t> </w:t>
      </w:r>
    </w:p>
    <w:p>
      <w:pPr>
        <w:pStyle w:val="TextBody"/>
        <w:bidi w:val="0"/>
        <w:spacing w:before="0" w:after="0"/>
        <w:ind w:left="420" w:right="0" w:firstLine="10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Experience of Such Purchaser</w:t>
      </w:r>
      <w:r>
        <w:rPr>
          <w:rFonts w:ascii="Times New Roman;Times;Serif" w:hAnsi="Times New Roman;Times;Serif"/>
          <w:b w:val="false"/>
          <w:i w:val="false"/>
          <w:caps w:val="false"/>
          <w:smallCaps w:val="false"/>
          <w:sz w:val="20"/>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pStyle w:val="TextBody"/>
        <w:bidi w:val="0"/>
        <w:spacing w:before="0" w:after="0"/>
        <w:ind w:left="420" w:right="0" w:firstLine="1020"/>
        <w:jc w:val="both"/>
        <w:rPr>
          <w:caps w:val="false"/>
          <w:smallCaps w:val="false"/>
        </w:rPr>
      </w:pPr>
      <w:r>
        <w:rPr>
          <w:caps w:val="false"/>
          <w:smallCaps w:val="false"/>
        </w:rPr>
        <w:t> </w:t>
      </w:r>
    </w:p>
    <w:p>
      <w:pPr>
        <w:pStyle w:val="TextBody"/>
        <w:bidi w:val="0"/>
        <w:spacing w:before="0" w:after="0"/>
        <w:ind w:left="420" w:right="0" w:firstLine="10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pStyle w:val="TextBody"/>
        <w:bidi w:val="0"/>
        <w:spacing w:before="0" w:after="0"/>
        <w:ind w:left="420" w:right="0" w:firstLine="1020"/>
        <w:jc w:val="both"/>
        <w:rPr>
          <w:caps w:val="false"/>
          <w:smallCaps w:val="false"/>
        </w:rPr>
      </w:pPr>
      <w:r>
        <w:rPr>
          <w:caps w:val="false"/>
          <w:smallCaps w:val="false"/>
        </w:rPr>
        <w:t> </w:t>
      </w:r>
    </w:p>
    <w:p>
      <w:pPr>
        <w:pStyle w:val="TextBody"/>
        <w:bidi w:val="0"/>
        <w:spacing w:before="0" w:after="0"/>
        <w:ind w:left="420" w:right="0" w:firstLine="10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pricing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ind w:left="420" w:right="0" w:firstLine="10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420" w:right="0" w:firstLine="1020"/>
        <w:jc w:val="both"/>
        <w:rPr>
          <w:caps w:val="false"/>
          <w:smallCaps w:val="false"/>
        </w:rPr>
      </w:pPr>
      <w:r>
        <w:rPr>
          <w:caps w:val="false"/>
          <w:smallCaps w:val="false"/>
        </w:rPr>
        <w:t> </w:t>
      </w:r>
    </w:p>
    <w:p>
      <w:pPr>
        <w:pStyle w:val="TextBody"/>
        <w:bidi w:val="0"/>
        <w:spacing w:before="0" w:after="0"/>
        <w:ind w:left="420" w:right="0" w:firstLine="10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No agent, broker, investment banker, person or firm acting in a similar capacity on behalf of or under the authority of the Purchaser is or will be entitled to any broker’s or finder’s fee or any other commission or similar fee, directly or indirectly, for which the Company or any of its Affiliates after the Closing could have any liabilities in connection with this Agreement, any of the transactions contemplated by this Agreement, or on account of any action taken by the Purchaser in connection with the transactions contemplated by this Agreement.</w:t>
      </w:r>
    </w:p>
    <w:p>
      <w:pPr>
        <w:pStyle w:val="TextBody"/>
        <w:bidi w:val="0"/>
        <w:spacing w:before="0" w:after="0"/>
        <w:ind w:left="420" w:right="0" w:firstLine="1020"/>
        <w:jc w:val="both"/>
        <w:rPr>
          <w:caps w:val="false"/>
          <w:smallCaps w:val="false"/>
        </w:rPr>
      </w:pPr>
      <w:r>
        <w:rPr>
          <w:caps w:val="false"/>
          <w:smallCaps w:val="false"/>
        </w:rPr>
        <w:t> </w:t>
      </w:r>
    </w:p>
    <w:p>
      <w:pPr>
        <w:pStyle w:val="TextBody"/>
        <w:bidi w:val="0"/>
        <w:spacing w:before="0" w:after="0"/>
        <w:ind w:left="420" w:right="0" w:firstLine="10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Independent Advice</w:t>
      </w:r>
      <w:r>
        <w:rPr>
          <w:rFonts w:ascii="Times New Roman;Times;Serif" w:hAnsi="Times New Roman;Times;Serif"/>
          <w:b w:val="false"/>
          <w:i w:val="false"/>
          <w:caps w:val="false"/>
          <w:smallCaps w:val="false"/>
          <w:sz w:val="20"/>
        </w:rPr>
        <w:t>. Each Purchaser understands that nothing in this Agreement or any other materials presented by or on behalf of the Company to the Purchaser in connection with the purchase of the Securities constitutes legal, tax or investment advice.</w:t>
      </w:r>
    </w:p>
    <w:p>
      <w:pPr>
        <w:pStyle w:val="TextBody"/>
        <w:bidi w:val="0"/>
        <w:spacing w:before="0" w:after="0"/>
        <w:ind w:left="420" w:right="0" w:firstLine="1020"/>
        <w:jc w:val="both"/>
        <w:rPr>
          <w:caps w:val="false"/>
          <w:smallCaps w:val="false"/>
        </w:rPr>
      </w:pPr>
      <w:r>
        <w:rPr>
          <w:caps w:val="false"/>
          <w:smallCaps w:val="false"/>
        </w:rPr>
        <w:t> </w:t>
      </w:r>
    </w:p>
    <w:p>
      <w:pPr>
        <w:pStyle w:val="TextBody"/>
        <w:bidi w:val="0"/>
        <w:spacing w:before="0" w:after="0"/>
        <w:ind w:left="420" w:right="0" w:firstLine="10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General Solicitation</w:t>
      </w:r>
      <w:r>
        <w:rPr>
          <w:rFonts w:ascii="Times New Roman;Times;Serif" w:hAnsi="Times New Roman;Times;Serif"/>
          <w:b w:val="false"/>
          <w:i w:val="false"/>
          <w:caps w:val="false"/>
          <w:smallCaps w:val="false"/>
          <w:sz w:val="20"/>
        </w:rPr>
        <w:t>. Such Purchaser is not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IV.</w:t>
      </w:r>
      <w:r>
        <w:rPr>
          <w:rFonts w:ascii="Times New Roman;Times;Serif" w:hAnsi="Times New Roman;Times;Serif"/>
          <w:b w:val="false"/>
          <w:i w:val="false"/>
          <w:caps w:val="false"/>
          <w:smallCaps w:val="false"/>
          <w:sz w:val="20"/>
        </w:rPr>
        <w:br/>
        <w:t>OTHER AGREEMENTS OF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xml:space="preserve"> The Shares and the Warrant Shares, prior to the time of the effectiveness of the Registration Statement covering the resale of the Shares and the Warrant Shares becomes effective, the Shares and the Warrant Shares, shall bear any legend required by applicable law. If at any time following the date hereof the Registration Statement (or any subsequent registration statement registering the sale or resale of the Warrant Shares) is not effective or is not otherwise available for the sale or resale of the Shares or the Warrant Shares, the Company shall promptly notify the holders of the Common Warrants in writing that such registration statement is not then effective and thereafter shall promptly notify such holders when the registration statement is effective again and available for the sale or resale of the Shares or the Warrant Shares (it being understood and agreed that the foregoing shall not limit the ability of the Company to issue, or any Purchaser to sell, any of the Warrant Shares in compliance with applicable federal and state securities laws). Once effective, the Company shall use reasonable best efforts to keep a registration statement (including the Registration Statement) registering the issuance or resale of the Warrant Shares effective during the term of the Common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Registration Statement, Furnishing of Information</w:t>
      </w:r>
      <w:r>
        <w:rPr>
          <w:rFonts w:ascii="Times New Roman;Times;Serif" w:hAnsi="Times New Roman;Times;Serif"/>
          <w:b w:val="false"/>
          <w:i w:val="false"/>
          <w:caps w:val="false"/>
          <w:smallCaps w:val="false"/>
          <w:sz w:val="20"/>
        </w:rPr>
        <w:t>. Within twenty (20) days of the Closing Date, the Company will file the Registration Statement with the Commission covering the resale of the Shares and the maximum number of Warrant Shares issuable upon exercise of the Common Warrants. The Company will use commercially reasonable efforts to promptly respond to any comments from the Commission on the Registration Statement and obtain the effectiveness of the Registration Statement in a timely manner. Beginning on the effectiveness of the Registration Statement until the earlier of the time that (i) no Purchaser owns Securities or (ii) the Common Warrants have expired or are no longer outstanding and all Shares and Warrant Shares then held by the Purchasers may be sold without restriction or limitation pursuant to Rule 144 and without the requirement for the Company to be in compliance with Rule 144(c)(1), the Company covenants to use commercially reasonable efforts to maintain the registration of the Common Stock under Section 12(b) or 12(g) of the Exchange Act and to timely file (or obtain extensions in respect thereof and file within the applicable grace period) all reports required to be filed by the Company after the date hereof pursuant to the Exchange Act; provided, however, that nothing in this Section 4.2 shall prohibit or restrict any merger, consolidation, sale of all or substantially all assets, going-private transaction, deregistration or other strategic transaction approved by the Board of Directors and otherwise effected in compliance with applicable law.</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in a manner that would require stockholder approval prior to the closing of such other transaction unless stockholder approval is obtained before the closing of such subsequent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Securities Laws Disclosure; Publicity</w:t>
      </w:r>
      <w:r>
        <w:rPr>
          <w:rFonts w:ascii="Times New Roman;Times;Serif" w:hAnsi="Times New Roman;Times;Serif"/>
          <w:b w:val="false"/>
          <w:i w:val="false"/>
          <w:caps w:val="false"/>
          <w:smallCaps w:val="false"/>
          <w:sz w:val="20"/>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to the extent permitted by applicable law, provide the Purchasers with prior notice of such disclosure permitted under this clause (b) and reasonably cooperate with such Purchaser regarding such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Shareholder Rights Plan</w:t>
      </w:r>
      <w:r>
        <w:rPr>
          <w:rFonts w:ascii="Times New Roman;Times;Serif" w:hAnsi="Times New Roman;Times;Serif"/>
          <w:b w:val="false"/>
          <w:i w:val="false"/>
          <w:caps w:val="false"/>
          <w:smallCaps w:val="false"/>
          <w:sz w:val="20"/>
        </w:rPr>
        <w:t>. No claim will be made or enforced by the Company or, with the consent of the Company, any other Person, that any Purchaser is an “</w:t>
      </w:r>
      <w:r>
        <w:rPr>
          <w:rFonts w:ascii="Times New Roman;Times;Serif" w:hAnsi="Times New Roman;Times;Serif"/>
          <w:b w:val="false"/>
          <w:i w:val="false"/>
          <w:caps w:val="false"/>
          <w:smallCaps w:val="false"/>
          <w:sz w:val="20"/>
          <w:u w:val="single"/>
        </w:rPr>
        <w:t>Acquiring Person</w:t>
      </w:r>
      <w:r>
        <w:rPr>
          <w:rFonts w:ascii="Times New Roman;Times;Serif" w:hAnsi="Times New Roman;Times;Serif"/>
          <w:b w:val="false"/>
          <w:i w:val="false"/>
          <w:caps w:val="false"/>
          <w:smallCaps w:val="false"/>
          <w:sz w:val="20"/>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or a duty to the Company, any of its Subsidiaries or any of their respective officers, directors, employees, Affiliates or agents,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shall use the net proceeds from the sale of the Securities for general working capital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Indemnification of Purchasers</w:t>
      </w:r>
      <w:r>
        <w:rPr>
          <w:rFonts w:ascii="Times New Roman;Times;Serif" w:hAnsi="Times New Roman;Times;Serif"/>
          <w:b w:val="false"/>
          <w:i w:val="false"/>
          <w:caps w:val="false"/>
          <w:smallCaps w:val="false"/>
          <w:sz w:val="20"/>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Times;Serif" w:hAnsi="Times New Roman;Times;Serif"/>
          <w:b w:val="false"/>
          <w:i w:val="false"/>
          <w:caps w:val="false"/>
          <w:smallCaps w:val="false"/>
          <w:sz w:val="20"/>
          <w:u w:val="single"/>
        </w:rPr>
        <w:t>Purchaser Party</w:t>
      </w:r>
      <w:r>
        <w:rPr>
          <w:rFonts w:ascii="Times New Roman;Times;Serif" w:hAnsi="Times New Roman;Times;Serif"/>
          <w:b w:val="false"/>
          <w:i w:val="false"/>
          <w:caps w:val="false"/>
          <w:smallCaps w:val="false"/>
          <w:sz w:val="20"/>
        </w:rPr>
        <w:t>”) to the fullest extent permitted by applicable law,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material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based upon or arises out of a material breach of such Purchaser Party’s representations, warranties or covenants under the Transaction Documents or any agreements or understandings such Purchaser Party may have with any such shareholder or any violations by such Purchaser Party of state or federal securities laws or any conduct by such Purchaser Party which constitutes fraud, gross negligence or willful misconduct), or (c) in connection with any registration statement of the Company providing for the resale by the Purchasers of the Warrant Shares issued and issuable upon exercise of the Common Warrants, the Company will indemnify each Purchaser Party, to the fullest extent permitted by applicable law, from and against any and all losses, claims, damages, liabilities, costs (including, without limitation, reasonable attorneys’ fees) and expenses, as incurred, arising out of or relating to (i) any untrue or alleged untrue statement of a material fact contained in such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Party furnished in writing to the Company by such Purchaser Party expressly for use therein, or (ii) any violation or alleged violation by the Company of the Securities Act, the Exchange Act or any state securities law, or any rule or regulation thereunder in connection therewith.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and documented out-of-pocket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violation of applicable law, bad faith, fraud, gross negligence, or willful misconduct.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val="false"/>
          <w:i w:val="false"/>
          <w:caps w:val="false"/>
          <w:smallCaps w:val="false"/>
          <w:sz w:val="20"/>
          <w:u w:val="single"/>
        </w:rPr>
        <w:t>Reservation of Common Stock</w:t>
      </w:r>
      <w:r>
        <w:rPr>
          <w:rFonts w:ascii="Times New Roman;Times;Serif" w:hAnsi="Times New Roman;Times;Serif"/>
          <w:b w:val="false"/>
          <w:i w:val="false"/>
          <w:caps w:val="false"/>
          <w:smallCaps w:val="false"/>
          <w:sz w:val="20"/>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Warrant Shares pursuant to any exercise of the Common Warrants, but in no event less than 1,332,000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val="false"/>
          <w:i w:val="false"/>
          <w:caps w:val="false"/>
          <w:smallCaps w:val="false"/>
          <w:sz w:val="20"/>
          <w:u w:val="single"/>
        </w:rPr>
        <w:t>Listing of Common Stock</w:t>
      </w:r>
      <w:r>
        <w:rPr>
          <w:rFonts w:ascii="Times New Roman;Times;Serif" w:hAnsi="Times New Roman;Times;Serif"/>
          <w:b w:val="false"/>
          <w:i w:val="false"/>
          <w:caps w:val="false"/>
          <w:smallCaps w:val="false"/>
          <w:sz w:val="20"/>
        </w:rPr>
        <w:t>. The Company hereby agrees to use its reasonable best efforts to maintain the listing or quotation of the Common Stock on the Trading Market on which it is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val="false"/>
          <w:i w:val="false"/>
          <w:caps w:val="false"/>
          <w:smallCaps w:val="false"/>
          <w:sz w:val="20"/>
          <w:u w:val="single"/>
        </w:rPr>
        <w:t>Variable Rate Transactions</w:t>
      </w:r>
      <w:r>
        <w:rPr>
          <w:rFonts w:ascii="Times New Roman;Times;Serif" w:hAnsi="Times New Roman;Times;Serif"/>
          <w:b w:val="false"/>
          <w:i w:val="false"/>
          <w:caps w:val="false"/>
          <w:smallCaps w:val="false"/>
          <w:sz w:val="20"/>
        </w:rPr>
        <w:t>. From the date hereof until the date that is thirty (30) Trading Days following the date on which Registration Statement is declared effective by the Commission, neither the Company nor any Subsidiary shall issue, enter into any agreement to issue or announce the issuance or proposed issuance of any Variable Rate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w:t>
      </w:r>
      <w:r>
        <w:rPr>
          <w:rFonts w:ascii="Times New Roman;Times;Serif" w:hAnsi="Times New Roman;Times;Serif"/>
          <w:b w:val="false"/>
          <w:i w:val="false"/>
          <w:caps w:val="false"/>
          <w:smallCaps w:val="false"/>
          <w:sz w:val="20"/>
          <w:u w:val="single"/>
        </w:rPr>
        <w:t>Equal Treatment of Purchasers</w:t>
      </w:r>
      <w:r>
        <w:rPr>
          <w:rFonts w:ascii="Times New Roman;Times;Serif" w:hAnsi="Times New Roman;Times;Serif"/>
          <w:b w:val="false"/>
          <w:i w:val="false"/>
          <w:caps w:val="false"/>
          <w:smallCaps w:val="false"/>
          <w:sz w:val="20"/>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4.13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agents,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pStyle w:val="TextBody"/>
        <w:bidi w:val="0"/>
        <w:spacing w:before="0" w:after="0"/>
        <w:ind w:left="0" w:right="0" w:firstLine="99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990"/>
        <w:jc w:val="both"/>
        <w:rPr>
          <w:caps w:val="false"/>
          <w:smallCaps w:val="false"/>
        </w:rPr>
      </w:pPr>
      <w:r>
        <w:rPr>
          <w:caps w:val="false"/>
          <w:smallCaps w:val="false"/>
        </w:rPr>
        <w:t> </w:t>
      </w:r>
    </w:p>
    <w:p>
      <w:pPr>
        <w:pStyle w:val="TextBody"/>
        <w:bidi w:val="0"/>
        <w:spacing w:before="0" w:after="0"/>
        <w:ind w:left="0" w:right="0" w:firstLine="8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4,14 </w:t>
      </w:r>
      <w:r>
        <w:rPr>
          <w:rFonts w:ascii="Times New Roman;Times;Serif" w:hAnsi="Times New Roman;Times;Serif"/>
          <w:b w:val="false"/>
          <w:i w:val="false"/>
          <w:caps w:val="false"/>
          <w:smallCaps w:val="false"/>
          <w:sz w:val="20"/>
          <w:u w:val="single"/>
        </w:rPr>
        <w:t>Form D; Blue Sky Filings</w:t>
      </w:r>
      <w:r>
        <w:rPr>
          <w:rFonts w:ascii="Times New Roman;Times;Serif" w:hAnsi="Times New Roman;Times;Serif"/>
          <w:b w:val="false"/>
          <w:i w:val="false"/>
          <w:caps w:val="false"/>
          <w:smallCaps w:val="false"/>
          <w:sz w:val="20"/>
        </w:rPr>
        <w:t>. The Company agrees to timely file a Form D with respect to the Securities as required under Regulation D and to provide a copy thereof, promptly upon request of any Purchaser. The Company shall take such action as the Company shall reasonably determine is necessary in order to obtain an exemption for, or to qualify the Securities for, sale to the Purchasers at the Closing under applicable securities or “Blue Sky” laws of the states of the United States and shall provide evidence of such actions promptly upon request of any Purchaser.</w:t>
      </w:r>
    </w:p>
    <w:p>
      <w:pPr>
        <w:pStyle w:val="TextBody"/>
        <w:bidi w:val="0"/>
        <w:spacing w:before="0" w:after="0"/>
        <w:ind w:left="0" w:right="0" w:firstLine="81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V.</w:t>
      </w:r>
      <w:r>
        <w:rPr>
          <w:rFonts w:ascii="Times New Roman;Times;Serif" w:hAnsi="Times New Roman;Times;Serif"/>
          <w:b w:val="false"/>
          <w:i w:val="false"/>
          <w:caps w:val="false"/>
          <w:smallCaps w:val="false"/>
          <w:sz w:val="20"/>
        </w:rPr>
        <w:br/>
        <w:t>MISCELLANEOUS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Trading Day following the date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such termination will affect the right of any party to sue for any breach by any other party (or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The Purchaser shall withhold five thousand dollars ($5,000) at the Closing as a reimbursement for legal expenses. Except as expressly set forth in the Transaction Documents to the contrary, each party shall pay the fees and expenses of its advisors,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No provision of this Agreement may be waived, modified, supplemented or amended except in a written instrument signed, in the case of an amendment, by the Company and Purchasers who purchased at least 50.1% in interest of the Shares and Common Warrants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herein are for convenience only, do not constitute a part of this Agreement and shall not be deemed to limit or affect any of the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This Agreement is intended for the benefit of the parties hereto and their respective successors and permitted assigns and is not for the benefit of, nor may any provision hereof be enforced by, any other Person, except as otherwise set forth in Section 4.8.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the Transaction Documents shall be governed by and construed and enforced in accordance with the internal laws of the State of Utah,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Salt Lake County, Utah. Each party hereby irrevocably submits to the exclusive jurisdiction of the state and federal courts sitting in Salt Lake County, Utah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contained herein shall survive the Closing and the delivery of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including any electronic signature covered by the U.S. federal ESIGN Act of 2000, Uniform Electronic Transactions Act, the Electronic Signatures and Records Act or other applicable law, e.g., www.docusign.com) or other transmission method, such signature shall be deemed to have been duly and validly delivered and shall create a valid and binding obligation of the party executing (or on whose behalf such signature is executed) with the same force and effect as if such “.pdf” signature page were an original thereof.</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val="false"/>
          <w:i w:val="false"/>
          <w:caps w:val="false"/>
          <w:smallCaps w:val="false"/>
          <w:sz w:val="20"/>
          <w:u w:val="single"/>
        </w:rPr>
        <w:t>Rescission and Withdrawal Right</w:t>
      </w:r>
      <w:r>
        <w:rPr>
          <w:rFonts w:ascii="Times New Roman;Times;Serif" w:hAnsi="Times New Roman;Times;Serif"/>
          <w:b w:val="false"/>
          <w:i w:val="false"/>
          <w:caps w:val="false"/>
          <w:smallCaps w:val="false"/>
          <w:sz w:val="20"/>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case of a rescission of an exercise of a Common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Common Warrant (including, issuance of a replacement warrant certificate evidencing such restored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5.14 </w:t>
      </w:r>
      <w:r>
        <w:rPr>
          <w:rFonts w:ascii="Times New Roman;Times;Serif" w:hAnsi="Times New Roman;Times;Serif"/>
          <w:b w:val="false"/>
          <w:i w:val="false"/>
          <w:caps w:val="false"/>
          <w:smallCaps w:val="false"/>
          <w:sz w:val="20"/>
          <w:u w:val="single"/>
        </w:rPr>
        <w:t>Replacement of Securities</w:t>
      </w:r>
      <w:r>
        <w:rPr>
          <w:rFonts w:ascii="Times New Roman;Times;Serif" w:hAnsi="Times New Roman;Times;Serif"/>
          <w:b w:val="false"/>
          <w:i w:val="false"/>
          <w:caps w:val="false"/>
          <w:smallCaps w:val="false"/>
          <w:sz w:val="20"/>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5.15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5.16 </w:t>
      </w:r>
      <w:r>
        <w:rPr>
          <w:rFonts w:ascii="Times New Roman;Times;Serif" w:hAnsi="Times New Roman;Times;Serif"/>
          <w:b w:val="false"/>
          <w:i w:val="false"/>
          <w:caps w:val="false"/>
          <w:smallCaps w:val="false"/>
          <w:sz w:val="20"/>
          <w:u w:val="single"/>
        </w:rPr>
        <w:t>Payment Set Aside</w:t>
      </w:r>
      <w:r>
        <w:rPr>
          <w:rFonts w:ascii="Times New Roman;Times;Serif" w:hAnsi="Times New Roman;Times;Serif"/>
          <w:b w:val="false"/>
          <w:i w:val="false"/>
          <w:caps w:val="false"/>
          <w:smallCaps w:val="false"/>
          <w:sz w:val="20"/>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5.17 </w:t>
      </w:r>
      <w:r>
        <w:rPr>
          <w:rFonts w:ascii="Times New Roman;Times;Serif" w:hAnsi="Times New Roman;Times;Serif"/>
          <w:b w:val="false"/>
          <w:i w:val="false"/>
          <w:caps w:val="false"/>
          <w:smallCaps w:val="false"/>
          <w:sz w:val="20"/>
          <w:u w:val="single"/>
        </w:rPr>
        <w:t>Independent Nature of Purchasers’ Obligations and Rights</w:t>
      </w:r>
      <w:r>
        <w:rPr>
          <w:rFonts w:ascii="Times New Roman;Times;Serif" w:hAnsi="Times New Roman;Times;Serif"/>
          <w:b w:val="false"/>
          <w:i w:val="false"/>
          <w:caps w:val="false"/>
          <w:smallCaps w:val="false"/>
          <w:sz w:val="20"/>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Lucosky Brookman LLP. Lucosky Brookman LLP does not represent any of the Purchasers.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pStyle w:val="TextBody"/>
        <w:bidi w:val="0"/>
        <w:spacing w:before="0" w:after="0"/>
        <w:ind w:left="0" w:right="0" w:firstLine="72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5.18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63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5.19 </w:t>
      </w:r>
      <w:r>
        <w:rPr>
          <w:rFonts w:ascii="Times New Roman;Times;Serif" w:hAnsi="Times New Roman;Times;Serif"/>
          <w:b w:val="false"/>
          <w:i w:val="false"/>
          <w:caps w:val="false"/>
          <w:smallCaps w:val="false"/>
          <w:sz w:val="20"/>
          <w:u w:val="single"/>
        </w:rPr>
        <w:t>Liquidated Damages</w:t>
      </w:r>
      <w:r>
        <w:rPr>
          <w:rFonts w:ascii="Times New Roman;Times;Serif" w:hAnsi="Times New Roman;Times;Serif"/>
          <w:b w:val="false"/>
          <w:i w:val="false"/>
          <w:caps w:val="false"/>
          <w:smallCaps w:val="false"/>
          <w:sz w:val="20"/>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5.20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5.21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z w:val="20"/>
          <w:u w:val="single"/>
        </w:rPr>
        <w:t xml:space="preserve">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Securities Purchase Agreement to be duly executed by their respective authorized signatories as of the date first indicated above.</w:t>
      </w:r>
    </w:p>
    <w:p>
      <w:pPr>
        <w:pStyle w:val="TextBody"/>
        <w:bidi w:val="0"/>
        <w:spacing w:before="0" w:after="0"/>
        <w:ind w:left="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605"/>
        <w:gridCol w:w="1940"/>
        <w:gridCol w:w="75"/>
      </w:tblGrid>
      <w:tr>
        <w:trPr/>
        <w:tc>
          <w:tcPr>
            <w:tcW w:w="2545"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ARRIVE AI 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Daniel S. O’Toole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S. O’Toole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With a copy to (which shall not constitute notice): </w:t>
      </w:r>
    </w:p>
    <w:p>
      <w:pPr>
        <w:pStyle w:val="TextBody"/>
        <w:bidi w:val="0"/>
        <w:spacing w:before="0" w:after="0"/>
        <w:ind w:left="9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Lucosky Brookman LLP</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Wood Avenue South, 5th Floor</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Woodbridge, NJ 08830</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Joseph M. Lucosky, Esq.</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FOR PURCHASER FOLLOWS]</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SIGNATURE PAGES TO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Securities Purchase Agreement to be duly executed by their respective authorized signatories as of the date first indicated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Purchaser: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Purchaser</w:t>
      </w:r>
      <w:r>
        <w:rPr>
          <w:rFonts w:ascii="Times New Roman;Times;Serif" w:hAnsi="Times New Roman;Times;Serif"/>
          <w:b w:val="false"/>
          <w:i w:val="false"/>
          <w:caps w:val="false"/>
          <w:smallCaps w:val="false"/>
          <w:sz w:val="20"/>
        </w:rPr>
        <w:t>: 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Authorized Signatory: 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Amount: $250,000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384,615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Warrants: 384,615                       Beneficial Ownership Blocker ☒ 4.99% or ☐ 9.99%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EIN Number: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on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of Common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(attached)</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27" w:name="ex99-1.htm"/>
      <w:bookmarkStart w:id="28" w:name="ksex991"/>
      <w:bookmarkEnd w:id="27"/>
      <w:bookmarkEnd w:id="2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(NASDAQ:ARAI) Announces $0.65 per Share Direct Investment at 213% Premium to Market; Institutional Investor Signals Interest in Up to $10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Investor Completes a Direct Investment at $0.65 per Share – a Premium of More than 213% to Recent Trading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Investor Has Also Expressed Interest in Evaluating Up to $10 Million in Potential Additional Financing as Arrive AI Advances Its 2026 Growth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INDIANAPOLIS, IN October 6, 2026 /ACCESSWIRE/ -- Arrive AI Inc. (NASDAQ:ARAI) (“Arrive AI” or the “Company”), a physical AI and autonomous logistics infrastructure company enabling drones, robots, autonomous mobile robots (AMRs), autonomous vehicles (AVs) and human couriers to securely exchange goods, today announced a premium-priced direct investment from a specialized private investment firm based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 investment was priced at $0.65 per unit (each unit consisting of one share of common stock and one warrant), representing approximately a 213% premium to Arrive AI’s recent trading price of $0.2075 underscoring the investor’s confidence in the Company’s outlook and long-term growth potential. The financing also includes warrants exercisable at $0.70 per share, further aligning the transaction with potential future upside in Arrive AI’s common stock.</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has also expressed interest in evaluating additional financing transactions with Arrive AI of up to $10 Million, subject to market conditions, available registration capacity, regulatory requirements, definitive documentation, and Company approval. There can be no assurance that any additional financing will be completed, and any such transaction would be subject to negotiation and execution of definitive agreements on terms acceptable to both parties.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Premium-Priced Capital Reflects Outside Confidence During a Key Execution Year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 AI believes the structure of this investment is notable because it was priced at a substantial premium to the Company’s recent market price. Management views the premium pricing, warrant structure, and additional financing interest as a constructive signal as Arrive AI continues executing against its 2026 commercial growth plan.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was completed through a registered direct offering pursuant to the Company’s effective shelf registration statement on Form S-3. The initial investment amount was $250,000. Investors may review the terms and conditions of the offering and the warrants in the Company’s Current Report on Form 8-K which will be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believe this premium-priced investment sends an important signal at a pivotal time for Arrive AI,” said Piyush Phadke, Chief Financial Officer of Arrive AI. “A direct investment priced at a meaningful premium to our recent trading levels represents a strong vote of confidence in where we’re headed.”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Arrive 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 AI (NASDAQ:ARAI) is building the infrastructure for autonomous logistics through a network of intelligent delivery endpoints that enable secure, asynchronous exchange of goods. The company’s platform supports drones, ground robotics, and human couriers, solving the “last inch of the last-mile” challenge across logistics, healthcare, and enterprise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news release and statements of Arrive AI’s management in connection with this release or related events may contain “forward-looking statements” within the meaning of Section 21E of the Securities Exchange Act of 1934, as amended, and the Private Securities Litigation Reform Act of 1995. Forward-looking statements relate to future events and expected business and financial performance and often include words such as “expects,” “anticipates,” “intends,” “plans,” “believes,” “potential,” “will,” “should,” “could,” “would,” “optimistic,” or “may,” and similar expressions. These statements are based on information available as of the date of this release and reflect management’s current views and assumptions. They are not guarantees of future performance and involve known and unknown risks, uncertainties, and other factors that may be beyond the company’s control. Readers are cautioned not to place undue reliance on forward-looking statements, which speak only as of the date of this release. With respect to any potential additional financing transactions, there can be no assurance such transactions will be completed on the terms described or at all. Potential investors should review Arrive AI’s Registration Statement and other filings, including risk factors, available at the U.S. Securities and Exchange Commission website at www.sec.gov. Arrive AI undertakes no obligation to update forward-looking statements to reflect events or circumstances after the date of this release,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Tasha Jones, Marketing Communications Manager, Arrive AI, media@arriveai.com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Alliance Advisors IR, ARAI.IR@allianceadvisors.com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Arrive AI, Inc.</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35</Pages>
  <Words>29278</Words>
  <Characters>155628</Characters>
  <CharactersWithSpaces>185067</CharactersWithSpaces>
  <Paragraphs>932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