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Phadke Piyush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ARRIVE AI,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FALL VIEW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FISHERS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Arrive AI Inc.</w:t>
              </w:r>
            </w:hyperlink>
            <w:r>
              <w:rPr/>
              <w:t xml:space="preserve"> [ </w:t>
            </w:r>
            <w:r>
              <w:rPr>
                <w:rFonts w:ascii="Times;serif" w:hAnsi="Times;serif"/>
                <w:color w:val="0000FF"/>
                <w:sz w:val="24"/>
                <w:shd w:fill="FFFFFF" w:val="clear"/>
              </w:rPr>
              <w:t>ARAI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05"/>
        <w:gridCol w:w="1222"/>
        <w:gridCol w:w="1124"/>
        <w:gridCol w:w="1295"/>
        <w:gridCol w:w="1140"/>
        <w:gridCol w:w="1256"/>
        <w:gridCol w:w="1215"/>
        <w:gridCol w:w="13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issuable upon vesting of 100,000 restricted stock units ("RSUs") granted pursuant to the reporting person's employment agreement dated August 10, 2026. These RSUs vest immediately upon issuance on September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1,000,000 RSUs that vest over four years, with 25% vesting on the first anniversary of the grant date (September 10, 2027) and the remainder vesting in equal quarterly installments thereafter,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do not expire, they either vest or are canceled prior to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Piyush Phadke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53806" TargetMode="External"/><Relationship Id="rId3" Type="http://schemas.openxmlformats.org/officeDocument/2006/relationships/hyperlink" Target="http://www.sec.gov/cgi-bin/browse-edgar?action=getcompany&amp;CIK=000181827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490</Words>
  <Characters>2697</Characters>
  <CharactersWithSpaces>3130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