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k.htm"/>
      <w:bookmarkStart w:id="1" w:name="ksform10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50101__20"/>
      <w:bookmarkEnd w:id="2"/>
      <w:r>
        <w:rPr>
          <w:rFonts w:ascii="Times New Roman;Times;Serif" w:hAnsi="Times New Roman;Times;Serif"/>
          <w:b/>
          <w:i w:val="false"/>
          <w:caps w:val="false"/>
          <w:smallCaps w:val="false"/>
          <w:sz w:val="36"/>
        </w:rPr>
        <w:t>10-K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bookmarkStart w:id="3" w:name="xdx_909_edei--DocumentAnnualReport_c2025"/>
      <w:bookmarkEnd w:id="3"/>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2_edei--CurrentFiscalYearEndDate_c"/>
      <w:bookmarkStart w:id="5" w:name="xdx_90A_edei--DocumentPeriodEndDate_c202"/>
      <w:bookmarkEnd w:id="4"/>
      <w:bookmarkEnd w:id="5"/>
      <w:r>
        <w:rPr>
          <w:rFonts w:ascii="Times New Roman;Times;Serif" w:hAnsi="Times New Roman;Times;Serif"/>
          <w:b/>
          <w:i w:val="false"/>
          <w:caps w:val="false"/>
          <w:smallCaps w:val="false"/>
          <w:sz w:val="20"/>
        </w:rPr>
        <w:t xml:space="preserve">December 31, </w:t>
      </w:r>
      <w:bookmarkStart w:id="6" w:name="xdx_90A_edei--DocumentFiscalYearFocus_c2"/>
      <w:bookmarkEnd w:id="6"/>
      <w:r>
        <w:rPr>
          <w:rFonts w:ascii="Times New Roman;Times;Serif" w:hAnsi="Times New Roman;Times;Serif"/>
          <w:b/>
          <w:i w:val="false"/>
          <w:caps w:val="false"/>
          <w:smallCaps w:val="false"/>
          <w:sz w:val="20"/>
        </w:rPr>
        <w:t>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7" w:name="xdx_909_edei--DocumentTransitionReport_c"/>
      <w:bookmarkEnd w:id="7"/>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 to 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8" w:name="xdx_909_edei--EntityFileNumber_c20250101"/>
      <w:bookmarkEnd w:id="8"/>
      <w:r>
        <w:rPr>
          <w:rFonts w:ascii="Times New Roman;Times;Serif" w:hAnsi="Times New Roman;Times;Serif"/>
          <w:b/>
          <w:i w:val="false"/>
          <w:caps w:val="false"/>
          <w:smallCaps w:val="false"/>
          <w:sz w:val="20"/>
        </w:rPr>
        <w:t>001-42645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9" w:name="xdx_904_edei--EntityRegistrantName_c2025"/>
      <w:bookmarkEnd w:id="9"/>
      <w:r>
        <w:rPr>
          <w:rFonts w:ascii="Times New Roman;Times;Serif" w:hAnsi="Times New Roman;Times;Serif"/>
          <w:b/>
          <w:i w:val="false"/>
          <w:caps w:val="false"/>
          <w:smallCaps w:val="false"/>
          <w:sz w:val="36"/>
        </w:rPr>
        <w:t>Arrive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545" w:type="dxa"/>
        <w:jc w:val="left"/>
        <w:tblInd w:w="0" w:type="dxa"/>
        <w:tblLayout w:type="fixed"/>
        <w:tblCellMar>
          <w:top w:w="0" w:type="dxa"/>
          <w:left w:w="0" w:type="dxa"/>
          <w:bottom w:w="28" w:type="dxa"/>
          <w:right w:w="0" w:type="dxa"/>
        </w:tblCellMar>
      </w:tblPr>
      <w:tblGrid>
        <w:gridCol w:w="4145"/>
        <w:gridCol w:w="60"/>
        <w:gridCol w:w="4340"/>
      </w:tblGrid>
      <w:tr>
        <w:trPr/>
        <w:tc>
          <w:tcPr>
            <w:tcW w:w="4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3_edei--EntityIncorporationStateCo"/>
            <w:bookmarkEnd w:id="10"/>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5_edei--EntityTaxIdentificationNum"/>
            <w:bookmarkEnd w:id="11"/>
            <w:r>
              <w:rPr>
                <w:rFonts w:ascii="Times New Roman;Times;Serif" w:hAnsi="Times New Roman;Times;Serif"/>
                <w:b/>
                <w:i w:val="false"/>
                <w:caps w:val="false"/>
                <w:smallCaps w:val="false"/>
                <w:sz w:val="20"/>
              </w:rPr>
              <w:t>85-0935006</w:t>
            </w:r>
          </w:p>
        </w:tc>
      </w:tr>
      <w:tr>
        <w:trPr/>
        <w:tc>
          <w:tcPr>
            <w:tcW w:w="4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r>
        <w:trPr/>
        <w:tc>
          <w:tcPr>
            <w:tcW w:w="4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45"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bookmarkStart w:id="12" w:name="xdx_907_edei--EntityAddressAddressLine1_"/>
            <w:bookmarkEnd w:id="12"/>
            <w:r>
              <w:rPr>
                <w:rFonts w:ascii="Times New Roman;Times;Serif" w:hAnsi="Times New Roman;Times;Serif"/>
                <w:b/>
                <w:i w:val="false"/>
                <w:caps w:val="false"/>
                <w:smallCaps w:val="false"/>
                <w:sz w:val="20"/>
              </w:rPr>
              <w:t>9100 Fall View Drive</w:t>
            </w:r>
          </w:p>
          <w:p>
            <w:pPr>
              <w:pStyle w:val="TableContents"/>
              <w:bidi w:val="0"/>
              <w:spacing w:before="0" w:after="283"/>
              <w:jc w:val="center"/>
              <w:rPr>
                <w:rFonts w:ascii="Times New Roman;Times;Serif" w:hAnsi="Times New Roman;Times;Serif"/>
                <w:b/>
                <w:i w:val="false"/>
                <w:caps w:val="false"/>
                <w:smallCaps w:val="false"/>
                <w:sz w:val="20"/>
              </w:rPr>
            </w:pPr>
            <w:bookmarkStart w:id="13" w:name="xdx_903_edei--EntityAddressCityOrTown_c2"/>
            <w:bookmarkEnd w:id="13"/>
            <w:r>
              <w:rPr>
                <w:rFonts w:ascii="Times New Roman;Times;Serif" w:hAnsi="Times New Roman;Times;Serif"/>
                <w:b/>
                <w:i w:val="false"/>
                <w:caps w:val="false"/>
                <w:smallCaps w:val="false"/>
                <w:sz w:val="20"/>
              </w:rPr>
              <w:t xml:space="preserve">Fishers, </w:t>
            </w:r>
            <w:bookmarkStart w:id="14" w:name="xdx_906_edei--EntityAddressStateOrProvin"/>
            <w:bookmarkEnd w:id="14"/>
            <w:r>
              <w:rPr>
                <w:rFonts w:ascii="Times New Roman;Times;Serif" w:hAnsi="Times New Roman;Times;Serif"/>
                <w:b/>
                <w:i w:val="false"/>
                <w:caps w:val="false"/>
                <w:smallCaps w:val="false"/>
                <w:sz w:val="20"/>
              </w:rPr>
              <w:t xml:space="preserve">Indiana </w:t>
            </w:r>
            <w:bookmarkStart w:id="15" w:name="xdx_908_edei--EntityAddressPostalZipCode"/>
            <w:bookmarkEnd w:id="15"/>
            <w:r>
              <w:rPr>
                <w:rFonts w:ascii="Times New Roman;Times;Serif" w:hAnsi="Times New Roman;Times;Serif"/>
                <w:b/>
                <w:i w:val="false"/>
                <w:caps w:val="false"/>
                <w:smallCaps w:val="false"/>
                <w:sz w:val="20"/>
              </w:rPr>
              <w:t>46037</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6" w:name="xdx_90A_edei--CityAreaCode_c20250101__20"/>
            <w:bookmarkEnd w:id="16"/>
            <w:r>
              <w:rPr>
                <w:rFonts w:ascii="Times New Roman;Times;Serif" w:hAnsi="Times New Roman;Times;Serif"/>
                <w:b/>
                <w:i w:val="false"/>
                <w:caps w:val="false"/>
                <w:smallCaps w:val="false"/>
                <w:sz w:val="20"/>
              </w:rPr>
              <w:t xml:space="preserve">463) </w:t>
            </w:r>
            <w:bookmarkStart w:id="17" w:name="xdx_907_edei--LocalPhoneNumber_c20250101"/>
            <w:bookmarkEnd w:id="17"/>
            <w:r>
              <w:rPr>
                <w:rFonts w:ascii="Times New Roman;Times;Serif" w:hAnsi="Times New Roman;Times;Serif"/>
                <w:b/>
                <w:i w:val="false"/>
                <w:caps w:val="false"/>
                <w:smallCaps w:val="false"/>
                <w:sz w:val="20"/>
              </w:rPr>
              <w:t>270-0092</w:t>
            </w:r>
          </w:p>
        </w:tc>
      </w:tr>
      <w:tr>
        <w:trPr/>
        <w:tc>
          <w:tcPr>
            <w:tcW w:w="4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pursuant to Section 12(b) of the Act: </w:t>
      </w:r>
    </w:p>
    <w:p>
      <w:pPr>
        <w:pStyle w:val="TextBody"/>
        <w:bidi w:val="0"/>
        <w:spacing w:before="0" w:after="0"/>
        <w:ind w:left="0" w:right="0" w:hanging="0"/>
        <w:jc w:val="both"/>
        <w:rPr>
          <w:caps w:val="false"/>
          <w:smallCaps w:val="false"/>
        </w:rPr>
      </w:pPr>
      <w:r>
        <w:rPr>
          <w:caps w:val="false"/>
          <w:smallCaps w:val="false"/>
        </w:rPr>
        <w:t> </w:t>
      </w:r>
    </w:p>
    <w:tbl>
      <w:tblPr>
        <w:tblW w:w="9015" w:type="dxa"/>
        <w:jc w:val="left"/>
        <w:tblInd w:w="0" w:type="dxa"/>
        <w:tblLayout w:type="fixed"/>
        <w:tblCellMar>
          <w:top w:w="0" w:type="dxa"/>
          <w:left w:w="0" w:type="dxa"/>
          <w:bottom w:w="28" w:type="dxa"/>
          <w:right w:w="0" w:type="dxa"/>
        </w:tblCellMar>
      </w:tblPr>
      <w:tblGrid>
        <w:gridCol w:w="3575"/>
        <w:gridCol w:w="60"/>
        <w:gridCol w:w="1610"/>
        <w:gridCol w:w="60"/>
        <w:gridCol w:w="3710"/>
      </w:tblGrid>
      <w:tr>
        <w:trPr/>
        <w:tc>
          <w:tcPr>
            <w:tcW w:w="35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3_edei--Security12bTitle_c20250101"/>
            <w:bookmarkEnd w:id="18"/>
            <w:r>
              <w:rPr>
                <w:rFonts w:ascii="Times New Roman;Times;Serif" w:hAnsi="Times New Roman;Times;Serif"/>
                <w:b w:val="false"/>
                <w:i w:val="false"/>
                <w:caps w:val="false"/>
                <w:smallCaps w:val="false"/>
                <w:sz w:val="20"/>
              </w:rPr>
              <w:t>Common Stock par value $0.0002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TradingSymbol_c20250101__2"/>
            <w:bookmarkEnd w:id="19"/>
            <w:r>
              <w:rPr>
                <w:rFonts w:ascii="Times New Roman;Times;Serif" w:hAnsi="Times New Roman;Times;Serif"/>
                <w:b w:val="false"/>
                <w:i w:val="false"/>
                <w:caps w:val="false"/>
                <w:smallCaps w:val="false"/>
                <w:sz w:val="20"/>
              </w:rPr>
              <w:t>ARAI</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8_edei--SecurityExchangeName_c2025"/>
            <w:bookmarkEnd w:id="20"/>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21" w:name="xdx_907_edei--EntityWellKnownSeasonedIss"/>
      <w:bookmarkEnd w:id="21"/>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15(d) of the Act. Yes ☐ </w:t>
      </w:r>
      <w:bookmarkStart w:id="22" w:name="xdx_90D_edei--EntityVoluntaryFilers_c202"/>
      <w:bookmarkEnd w:id="22"/>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3" w:name="xdx_90B_edei--EntityCurrentReportingStat"/>
      <w:bookmarkEnd w:id="23"/>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4" w:name="xdx_90B_edei--EntityInteractiveDataCurre"/>
      <w:bookmarkEnd w:id="24"/>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5" w:name="xdx_908_edei--EntityFilerCategory_c20250"/>
            <w:bookmarkEnd w:id="25"/>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bookmarkStart w:id="26" w:name="xdx_90C_edei--EntitySmallBusiness_c20250"/>
            <w:bookmarkEnd w:id="26"/>
            <w:r>
              <w:rPr>
                <w:caps w:val="false"/>
                <w:smallCaps w:val="false"/>
              </w:rPr>
              <w:t>☒</w:t>
            </w:r>
          </w:p>
        </w:tc>
      </w:tr>
      <w:tr>
        <w:trPr/>
        <w:tc>
          <w:tcPr>
            <w:tcW w:w="183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both"/>
              <w:rPr>
                <w:caps w:val="false"/>
                <w:smallCaps w:val="false"/>
              </w:rPr>
            </w:pPr>
            <w:bookmarkStart w:id="27" w:name="xdx_904_edei--EntityEmergingGrowthCompan"/>
            <w:bookmarkEnd w:id="27"/>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8" w:name="xdx_908_edei--EntityExTransitionPeriod_c"/>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29" w:name="xdx_903_edei--IcfrAuditorAttestationFlag"/>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30" w:name="xdx_90B_edei--DocumentFinStmtErrorCorrec"/>
      <w:bookmarkEnd w:id="30"/>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31" w:name="xdx_907_edei--EntityShellCompany_dbF_c20"/>
      <w:bookmarkEnd w:id="3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common stock held by non-affiliates of the registrant on June 30, 2025, the last business day of its most recently completed second fiscal quarter, was approximately $</w:t>
      </w:r>
      <w:bookmarkStart w:id="32" w:name="xdx_905_edei--EntityPublicFloat_iI_pn6n6"/>
      <w:bookmarkEnd w:id="32"/>
      <w:r>
        <w:rPr>
          <w:rFonts w:ascii="Times New Roman;Times;Serif" w:hAnsi="Times New Roman;Times;Serif"/>
          <w:b w:val="false"/>
          <w:i w:val="false"/>
          <w:caps w:val="false"/>
          <w:smallCaps w:val="false"/>
          <w:sz w:val="20"/>
        </w:rPr>
        <w:t>99 million based on approximately 8.5 million non-affiliate shares at the closing price of the registrant’s common stock of $11.68 as reported by The Nasdaq Stock Market on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April 15, 2026, the registrant had a total of </w:t>
      </w:r>
      <w:bookmarkStart w:id="33" w:name="xdx_90F_edei--EntityCommonStockSharesOut"/>
      <w:bookmarkEnd w:id="33"/>
      <w:r>
        <w:rPr>
          <w:rFonts w:ascii="Times New Roman;Times;Serif" w:hAnsi="Times New Roman;Times;Serif"/>
          <w:b w:val="false"/>
          <w:i w:val="false"/>
          <w:caps w:val="false"/>
          <w:smallCaps w:val="false"/>
          <w:sz w:val="20"/>
        </w:rPr>
        <w:t>47,731,391 shares of its common stock, par value $</w:t>
      </w:r>
      <w:bookmarkStart w:id="34" w:name="xdx_906_edei--EntityListingParValuePerSh"/>
      <w:bookmarkEnd w:id="34"/>
      <w:r>
        <w:rPr>
          <w:rFonts w:ascii="Times New Roman;Times;Serif" w:hAnsi="Times New Roman;Times;Serif"/>
          <w:b w:val="false"/>
          <w:i w:val="false"/>
          <w:caps w:val="false"/>
          <w:smallCaps w:val="false"/>
          <w:sz w:val="20"/>
        </w:rPr>
        <w:t>0.0002 per share,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3"/>
        <w:gridCol w:w="9026"/>
        <w:gridCol w:w="456"/>
      </w:tblGrid>
      <w:tr>
        <w:trPr/>
        <w:tc>
          <w:tcPr>
            <w:tcW w:w="723" w:type="dxa"/>
            <w:tcBorders/>
            <w:vAlign w:val="center"/>
          </w:tcPr>
          <w:p>
            <w:pPr>
              <w:pStyle w:val="TableContents"/>
              <w:bidi w:val="0"/>
              <w:spacing w:before="0" w:after="283"/>
              <w:jc w:val="both"/>
              <w:rPr>
                <w:caps w:val="false"/>
                <w:smallCaps w:val="false"/>
              </w:rPr>
            </w:pPr>
            <w:r>
              <w:rPr>
                <w:caps w:val="false"/>
                <w:smallCaps w:val="false"/>
              </w:rPr>
              <w:t> </w:t>
            </w:r>
          </w:p>
        </w:tc>
        <w:tc>
          <w:tcPr>
            <w:tcW w:w="9026" w:type="dxa"/>
            <w:tcBorders/>
            <w:vAlign w:val="center"/>
          </w:tcPr>
          <w:p>
            <w:pPr>
              <w:pStyle w:val="TableContents"/>
              <w:bidi w:val="0"/>
              <w:spacing w:before="0" w:after="283"/>
              <w:jc w:val="both"/>
              <w:rPr>
                <w:caps w:val="false"/>
                <w:smallCaps w:val="false"/>
              </w:rPr>
            </w:pPr>
            <w:r>
              <w:rPr>
                <w:caps w:val="false"/>
                <w:smallCaps w:val="false"/>
              </w:rPr>
              <w:t> </w:t>
            </w:r>
          </w:p>
        </w:tc>
        <w:tc>
          <w:tcPr>
            <w:tcW w:w="4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49" w:type="dxa"/>
            <w:gridSpan w:val="2"/>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b w:val="false"/>
                  <w:i w:val="false"/>
                  <w:caps w:val="false"/>
                  <w:smallCaps w:val="false"/>
                  <w:sz w:val="20"/>
                  <w:u w:val="single"/>
                </w:rPr>
                <w:t>PART I</w:t>
              </w:r>
            </w:hyperlink>
          </w:p>
        </w:tc>
        <w:tc>
          <w:tcPr>
            <w:tcW w:w="456" w:type="dxa"/>
            <w:tcBorders/>
            <w:shd w:fill="CCEEFF" w:val="clear"/>
            <w:vAlign w:val="center"/>
          </w:tcPr>
          <w:p>
            <w:pPr>
              <w:pStyle w:val="TableContents"/>
              <w:bidi w:val="0"/>
              <w:spacing w:before="0" w:after="283"/>
              <w:jc w:val="left"/>
              <w:rPr>
                <w:sz w:val="4"/>
                <w:szCs w:val="4"/>
              </w:rPr>
            </w:pPr>
            <w:r>
              <w:rPr>
                <w:sz w:val="4"/>
                <w:szCs w:val="4"/>
              </w:rPr>
            </w:r>
          </w:p>
        </w:tc>
      </w:tr>
      <w:tr>
        <w:trPr/>
        <w:tc>
          <w:tcPr>
            <w:tcW w:w="72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026" w:type="dxa"/>
            <w:tcBorders/>
            <w:shd w:fill="CCEE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u w:val="single"/>
                </w:rPr>
                <w:t>Business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2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9026" w:type="dxa"/>
            <w:tcBorders/>
            <w:shd w:fill="FFFF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u w:val="single"/>
                </w:rPr>
                <w:t>Risk Factors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1B.</w:t>
            </w:r>
          </w:p>
        </w:tc>
        <w:tc>
          <w:tcPr>
            <w:tcW w:w="9026"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u w:val="single"/>
                </w:rPr>
                <w:t>Unresolved Staff Comments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2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1C.</w:t>
            </w:r>
          </w:p>
        </w:tc>
        <w:tc>
          <w:tcPr>
            <w:tcW w:w="9026" w:type="dxa"/>
            <w:tcBorders/>
            <w:shd w:fill="FFFF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u w:val="single"/>
                </w:rPr>
                <w:t>Cybersecurity</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026"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u w:val="single"/>
                </w:rPr>
                <w:t>Properties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2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026" w:type="dxa"/>
            <w:tcBorders/>
            <w:shd w:fill="FFFF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u w:val="single"/>
                </w:rPr>
                <w:t>Legal Proceedings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026" w:type="dxa"/>
            <w:tcBorders/>
            <w:shd w:fill="CCEE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u w:val="single"/>
                </w:rPr>
                <w:t>Mine Safety Disclosures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9749" w:type="dxa"/>
            <w:gridSpan w:val="2"/>
            <w:tcBorders/>
            <w:shd w:fill="CCEEFF" w:val="clear"/>
            <w:vAlign w:val="center"/>
          </w:tcPr>
          <w:p>
            <w:pPr>
              <w:pStyle w:val="TableContents"/>
              <w:bidi w:val="0"/>
              <w:spacing w:before="0" w:after="283"/>
              <w:jc w:val="center"/>
              <w:rPr/>
            </w:pPr>
            <w:hyperlink w:anchor="a_009">
              <w:r>
                <w:rPr>
                  <w:rStyle w:val="InternetLink"/>
                  <w:rFonts w:ascii="Times New Roman;Times;Serif" w:hAnsi="Times New Roman;Times;Serif"/>
                  <w:b w:val="false"/>
                  <w:i w:val="false"/>
                  <w:caps w:val="false"/>
                  <w:smallCaps w:val="false"/>
                  <w:sz w:val="20"/>
                  <w:u w:val="single"/>
                </w:rPr>
                <w:t>PART II</w:t>
              </w:r>
            </w:hyperlink>
          </w:p>
        </w:tc>
        <w:tc>
          <w:tcPr>
            <w:tcW w:w="456" w:type="dxa"/>
            <w:tcBorders/>
            <w:shd w:fill="CCEEFF" w:val="clear"/>
            <w:vAlign w:val="center"/>
          </w:tcPr>
          <w:p>
            <w:pPr>
              <w:pStyle w:val="TableContents"/>
              <w:bidi w:val="0"/>
              <w:spacing w:before="0" w:after="283"/>
              <w:jc w:val="left"/>
              <w:rPr>
                <w:sz w:val="4"/>
                <w:szCs w:val="4"/>
              </w:rPr>
            </w:pPr>
            <w:r>
              <w:rPr>
                <w:sz w:val="4"/>
                <w:szCs w:val="4"/>
              </w:rPr>
            </w:r>
          </w:p>
        </w:tc>
      </w:tr>
      <w:tr>
        <w:trPr/>
        <w:tc>
          <w:tcPr>
            <w:tcW w:w="72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026" w:type="dxa"/>
            <w:tcBorders/>
            <w:shd w:fill="CCEE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u w:val="single"/>
                </w:rPr>
                <w:t>Market for Registrant’s Common Equity, Related Stockholder Matters and Issuer Purchases of Equity Securities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2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026" w:type="dxa"/>
            <w:tcBorders/>
            <w:shd w:fill="FFFFFF" w:val="clear"/>
            <w:vAlign w:val="center"/>
          </w:tcPr>
          <w:p>
            <w:pPr>
              <w:pStyle w:val="TableContents"/>
              <w:bidi w:val="0"/>
              <w:spacing w:before="0" w:after="283"/>
              <w:jc w:val="both"/>
              <w:rPr/>
            </w:pPr>
            <w:hyperlink w:anchor="a_011">
              <w:r>
                <w:rPr>
                  <w:rStyle w:val="InternetLink"/>
                  <w:rFonts w:ascii="Times New Roman;Times;Serif" w:hAnsi="Times New Roman;Times;Serif"/>
                  <w:b w:val="false"/>
                  <w:i w:val="false"/>
                  <w:caps w:val="false"/>
                  <w:smallCaps w:val="false"/>
                  <w:sz w:val="20"/>
                </w:rPr>
                <w:t>[Reserved]</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9026" w:type="dxa"/>
            <w:tcBorders/>
            <w:shd w:fill="CCEEFF" w:val="clear"/>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u w:val="single"/>
                </w:rPr>
                <w:t>Management’s Discussion and Analysis of Financial Condition and Results of Operations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2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7A.</w:t>
            </w:r>
          </w:p>
        </w:tc>
        <w:tc>
          <w:tcPr>
            <w:tcW w:w="9026" w:type="dxa"/>
            <w:tcBorders/>
            <w:shd w:fill="FFFFFF" w:val="clear"/>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u w:val="single"/>
                </w:rPr>
                <w:t>Quantitative and Qualitative Disclosures about Market Risk</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9026" w:type="dxa"/>
            <w:tcBorders/>
            <w:shd w:fill="CCEEFF" w:val="clear"/>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u w:val="single"/>
                </w:rPr>
                <w:t>Financial Statements and Supplementary Data</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2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9026" w:type="dxa"/>
            <w:tcBorders/>
            <w:shd w:fill="FFFFFF" w:val="clear"/>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u w:val="single"/>
                </w:rPr>
                <w:t>Changes in and Disagreements with Accountants on Accounting and Financial Disclosure</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9A.</w:t>
            </w:r>
          </w:p>
        </w:tc>
        <w:tc>
          <w:tcPr>
            <w:tcW w:w="9026" w:type="dxa"/>
            <w:tcBorders/>
            <w:shd w:fill="CCEEFF" w:val="clear"/>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u w:val="single"/>
                </w:rPr>
                <w:t>Controls and Procedures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72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9B.</w:t>
            </w:r>
          </w:p>
        </w:tc>
        <w:tc>
          <w:tcPr>
            <w:tcW w:w="9026" w:type="dxa"/>
            <w:tcBorders/>
            <w:shd w:fill="FFFFFF" w:val="clear"/>
            <w:vAlign w:val="center"/>
          </w:tcPr>
          <w:p>
            <w:pPr>
              <w:pStyle w:val="TableContents"/>
              <w:bidi w:val="0"/>
              <w:spacing w:before="0" w:after="283"/>
              <w:jc w:val="both"/>
              <w:rPr/>
            </w:pPr>
            <w:hyperlink w:anchor="a_017">
              <w:r>
                <w:rPr>
                  <w:rStyle w:val="InternetLink"/>
                  <w:rFonts w:ascii="Times New Roman;Times;Serif" w:hAnsi="Times New Roman;Times;Serif"/>
                  <w:b w:val="false"/>
                  <w:i w:val="false"/>
                  <w:caps w:val="false"/>
                  <w:smallCaps w:val="false"/>
                  <w:sz w:val="20"/>
                  <w:u w:val="single"/>
                </w:rPr>
                <w:t>Other Information</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9C.</w:t>
            </w:r>
          </w:p>
        </w:tc>
        <w:tc>
          <w:tcPr>
            <w:tcW w:w="9026" w:type="dxa"/>
            <w:tcBorders/>
            <w:shd w:fill="CCEEFF" w:val="clear"/>
            <w:vAlign w:val="center"/>
          </w:tcPr>
          <w:p>
            <w:pPr>
              <w:pStyle w:val="TableContents"/>
              <w:bidi w:val="0"/>
              <w:spacing w:before="0" w:after="283"/>
              <w:jc w:val="both"/>
              <w:rPr/>
            </w:pPr>
            <w:hyperlink w:anchor="a_018">
              <w:r>
                <w:rPr>
                  <w:rStyle w:val="InternetLink"/>
                  <w:rFonts w:ascii="Times New Roman;Times;Serif" w:hAnsi="Times New Roman;Times;Serif"/>
                  <w:b w:val="false"/>
                  <w:i w:val="false"/>
                  <w:caps w:val="false"/>
                  <w:smallCaps w:val="false"/>
                  <w:sz w:val="20"/>
                  <w:u w:val="single"/>
                </w:rPr>
                <w:t>Disclosure Regarding Foreign Jurisdictions That Prevent Inspections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72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9749" w:type="dxa"/>
            <w:gridSpan w:val="2"/>
            <w:tcBorders/>
            <w:shd w:fill="CCEEFF" w:val="clear"/>
            <w:vAlign w:val="center"/>
          </w:tcPr>
          <w:p>
            <w:pPr>
              <w:pStyle w:val="TableContents"/>
              <w:bidi w:val="0"/>
              <w:spacing w:before="0" w:after="283"/>
              <w:jc w:val="center"/>
              <w:rPr/>
            </w:pPr>
            <w:hyperlink w:anchor="a_019">
              <w:r>
                <w:rPr>
                  <w:rStyle w:val="InternetLink"/>
                  <w:rFonts w:ascii="Times New Roman;Times;Serif" w:hAnsi="Times New Roman;Times;Serif"/>
                  <w:b w:val="false"/>
                  <w:i w:val="false"/>
                  <w:caps w:val="false"/>
                  <w:smallCaps w:val="false"/>
                  <w:sz w:val="20"/>
                  <w:u w:val="single"/>
                </w:rPr>
                <w:t>PART III</w:t>
              </w:r>
            </w:hyperlink>
          </w:p>
        </w:tc>
        <w:tc>
          <w:tcPr>
            <w:tcW w:w="456" w:type="dxa"/>
            <w:tcBorders/>
            <w:shd w:fill="CCEEFF" w:val="clear"/>
            <w:vAlign w:val="center"/>
          </w:tcPr>
          <w:p>
            <w:pPr>
              <w:pStyle w:val="TableContents"/>
              <w:bidi w:val="0"/>
              <w:spacing w:before="0" w:after="283"/>
              <w:jc w:val="left"/>
              <w:rPr>
                <w:sz w:val="4"/>
                <w:szCs w:val="4"/>
              </w:rPr>
            </w:pPr>
            <w:r>
              <w:rPr>
                <w:sz w:val="4"/>
                <w:szCs w:val="4"/>
              </w:rPr>
            </w:r>
          </w:p>
        </w:tc>
      </w:tr>
      <w:tr>
        <w:trPr/>
        <w:tc>
          <w:tcPr>
            <w:tcW w:w="72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9026" w:type="dxa"/>
            <w:tcBorders/>
            <w:shd w:fill="CCEEFF" w:val="clear"/>
            <w:vAlign w:val="center"/>
          </w:tcPr>
          <w:p>
            <w:pPr>
              <w:pStyle w:val="TableContents"/>
              <w:bidi w:val="0"/>
              <w:spacing w:before="0" w:after="283"/>
              <w:jc w:val="both"/>
              <w:rPr/>
            </w:pPr>
            <w:hyperlink w:anchor="a_020">
              <w:r>
                <w:rPr>
                  <w:rStyle w:val="InternetLink"/>
                  <w:rFonts w:ascii="Times New Roman;Times;Serif" w:hAnsi="Times New Roman;Times;Serif"/>
                  <w:b w:val="false"/>
                  <w:i w:val="false"/>
                  <w:caps w:val="false"/>
                  <w:smallCaps w:val="false"/>
                  <w:sz w:val="20"/>
                  <w:u w:val="single"/>
                </w:rPr>
                <w:t>Directors, Executive Officers and Corporate Governance</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2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9026" w:type="dxa"/>
            <w:tcBorders/>
            <w:shd w:fill="FFFFFF" w:val="clear"/>
            <w:vAlign w:val="center"/>
          </w:tcPr>
          <w:p>
            <w:pPr>
              <w:pStyle w:val="TableContents"/>
              <w:bidi w:val="0"/>
              <w:spacing w:before="0" w:after="283"/>
              <w:jc w:val="both"/>
              <w:rPr/>
            </w:pPr>
            <w:hyperlink w:anchor="a_021">
              <w:r>
                <w:rPr>
                  <w:rStyle w:val="InternetLink"/>
                  <w:rFonts w:ascii="Times New Roman;Times;Serif" w:hAnsi="Times New Roman;Times;Serif"/>
                  <w:b w:val="false"/>
                  <w:i w:val="false"/>
                  <w:caps w:val="false"/>
                  <w:smallCaps w:val="false"/>
                  <w:sz w:val="20"/>
                  <w:u w:val="single"/>
                </w:rPr>
                <w:t>Executive Compensation</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9026" w:type="dxa"/>
            <w:tcBorders/>
            <w:shd w:fill="CCEEFF" w:val="clear"/>
            <w:vAlign w:val="center"/>
          </w:tcPr>
          <w:p>
            <w:pPr>
              <w:pStyle w:val="TableContents"/>
              <w:bidi w:val="0"/>
              <w:spacing w:before="0" w:after="283"/>
              <w:jc w:val="both"/>
              <w:rPr/>
            </w:pPr>
            <w:hyperlink w:anchor="a_022">
              <w:r>
                <w:rPr>
                  <w:rStyle w:val="InternetLink"/>
                  <w:rFonts w:ascii="Times New Roman;Times;Serif" w:hAnsi="Times New Roman;Times;Serif"/>
                  <w:b w:val="false"/>
                  <w:i w:val="false"/>
                  <w:caps w:val="false"/>
                  <w:smallCaps w:val="false"/>
                  <w:sz w:val="20"/>
                  <w:u w:val="single"/>
                </w:rPr>
                <w:t>Security Ownership of Certain Beneficial Owners and Management and Related Stockholder Matters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72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9026" w:type="dxa"/>
            <w:tcBorders/>
            <w:shd w:fill="FFFFFF" w:val="clear"/>
            <w:vAlign w:val="center"/>
          </w:tcPr>
          <w:p>
            <w:pPr>
              <w:pStyle w:val="TableContents"/>
              <w:bidi w:val="0"/>
              <w:spacing w:before="0" w:after="283"/>
              <w:jc w:val="both"/>
              <w:rPr/>
            </w:pPr>
            <w:hyperlink w:anchor="a_023">
              <w:r>
                <w:rPr>
                  <w:rStyle w:val="InternetLink"/>
                  <w:rFonts w:ascii="Times New Roman;Times;Serif" w:hAnsi="Times New Roman;Times;Serif"/>
                  <w:b w:val="false"/>
                  <w:i w:val="false"/>
                  <w:caps w:val="false"/>
                  <w:smallCaps w:val="false"/>
                  <w:sz w:val="20"/>
                  <w:u w:val="single"/>
                </w:rPr>
                <w:t>Certain Relationships and Related Transactions, and Director Independence</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9026" w:type="dxa"/>
            <w:tcBorders/>
            <w:shd w:fill="CCEEFF" w:val="clear"/>
            <w:vAlign w:val="center"/>
          </w:tcPr>
          <w:p>
            <w:pPr>
              <w:pStyle w:val="TableContents"/>
              <w:bidi w:val="0"/>
              <w:spacing w:before="0" w:after="283"/>
              <w:jc w:val="both"/>
              <w:rPr/>
            </w:pPr>
            <w:hyperlink w:anchor="a_024">
              <w:r>
                <w:rPr>
                  <w:rStyle w:val="InternetLink"/>
                  <w:rFonts w:ascii="Times New Roman;Times;Serif" w:hAnsi="Times New Roman;Times;Serif"/>
                  <w:b w:val="false"/>
                  <w:i w:val="false"/>
                  <w:caps w:val="false"/>
                  <w:smallCaps w:val="false"/>
                  <w:sz w:val="20"/>
                  <w:u w:val="single"/>
                </w:rPr>
                <w:t>Principal Accounting Fees and Services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749" w:type="dxa"/>
            <w:gridSpan w:val="2"/>
            <w:tcBorders/>
            <w:shd w:fill="CCEEFF" w:val="clear"/>
            <w:vAlign w:val="center"/>
          </w:tcPr>
          <w:p>
            <w:pPr>
              <w:pStyle w:val="TableContents"/>
              <w:bidi w:val="0"/>
              <w:spacing w:before="0" w:after="283"/>
              <w:jc w:val="center"/>
              <w:rPr/>
            </w:pPr>
            <w:hyperlink w:anchor="a_025">
              <w:r>
                <w:rPr>
                  <w:rStyle w:val="InternetLink"/>
                  <w:rFonts w:ascii="Times New Roman;Times;Serif" w:hAnsi="Times New Roman;Times;Serif"/>
                  <w:b w:val="false"/>
                  <w:i w:val="false"/>
                  <w:caps w:val="false"/>
                  <w:smallCaps w:val="false"/>
                  <w:sz w:val="20"/>
                  <w:u w:val="single"/>
                </w:rPr>
                <w:t>PART IV</w:t>
              </w:r>
            </w:hyperlink>
          </w:p>
        </w:tc>
        <w:tc>
          <w:tcPr>
            <w:tcW w:w="456" w:type="dxa"/>
            <w:tcBorders/>
            <w:shd w:fill="CCEEFF" w:val="clear"/>
            <w:vAlign w:val="center"/>
          </w:tcPr>
          <w:p>
            <w:pPr>
              <w:pStyle w:val="TableContents"/>
              <w:bidi w:val="0"/>
              <w:spacing w:before="0" w:after="283"/>
              <w:jc w:val="left"/>
              <w:rPr>
                <w:sz w:val="4"/>
                <w:szCs w:val="4"/>
              </w:rPr>
            </w:pPr>
            <w:r>
              <w:rPr>
                <w:sz w:val="4"/>
                <w:szCs w:val="4"/>
              </w:rPr>
            </w:r>
          </w:p>
        </w:tc>
      </w:tr>
      <w:tr>
        <w:trPr/>
        <w:tc>
          <w:tcPr>
            <w:tcW w:w="72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9026" w:type="dxa"/>
            <w:tcBorders/>
            <w:shd w:fill="CCEEFF" w:val="clear"/>
            <w:vAlign w:val="center"/>
          </w:tcPr>
          <w:p>
            <w:pPr>
              <w:pStyle w:val="TableContents"/>
              <w:bidi w:val="0"/>
              <w:spacing w:before="0" w:after="283"/>
              <w:jc w:val="both"/>
              <w:rPr/>
            </w:pPr>
            <w:hyperlink w:anchor="a_026">
              <w:r>
                <w:rPr>
                  <w:rStyle w:val="InternetLink"/>
                  <w:rFonts w:ascii="Times New Roman;Times;Serif" w:hAnsi="Times New Roman;Times;Serif"/>
                  <w:b w:val="false"/>
                  <w:i w:val="false"/>
                  <w:caps w:val="false"/>
                  <w:smallCaps w:val="false"/>
                  <w:sz w:val="20"/>
                  <w:u w:val="single"/>
                </w:rPr>
                <w:t>Exhibits, Financial Statement Schedules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72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26" w:type="dxa"/>
            <w:tcBorders/>
            <w:shd w:fill="FFFFFF" w:val="clear"/>
            <w:vAlign w:val="center"/>
          </w:tcPr>
          <w:p>
            <w:pPr>
              <w:pStyle w:val="TableContents"/>
              <w:bidi w:val="0"/>
              <w:spacing w:before="0" w:after="283"/>
              <w:jc w:val="both"/>
              <w:rPr/>
            </w:pPr>
            <w:hyperlink w:anchor="EX_001">
              <w:r>
                <w:rPr>
                  <w:rStyle w:val="InternetLink"/>
                  <w:rFonts w:ascii="Times New Roman;Times;Serif" w:hAnsi="Times New Roman;Times;Serif"/>
                  <w:b w:val="false"/>
                  <w:i w:val="false"/>
                  <w:caps w:val="false"/>
                  <w:smallCaps w:val="false"/>
                  <w:sz w:val="20"/>
                  <w:u w:val="single"/>
                </w:rPr>
                <w:t>Exhibit Index</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w:t>
            </w:r>
          </w:p>
        </w:tc>
        <w:tc>
          <w:tcPr>
            <w:tcW w:w="9026" w:type="dxa"/>
            <w:tcBorders/>
            <w:shd w:fill="CCEEFF" w:val="clear"/>
            <w:vAlign w:val="center"/>
          </w:tcPr>
          <w:p>
            <w:pPr>
              <w:pStyle w:val="TableContents"/>
              <w:bidi w:val="0"/>
              <w:spacing w:before="0" w:after="283"/>
              <w:jc w:val="both"/>
              <w:rPr/>
            </w:pPr>
            <w:hyperlink w:anchor="a_027">
              <w:r>
                <w:rPr>
                  <w:rStyle w:val="InternetLink"/>
                  <w:rFonts w:ascii="Times New Roman;Times;Serif" w:hAnsi="Times New Roman;Times;Serif"/>
                  <w:b w:val="false"/>
                  <w:i w:val="false"/>
                  <w:caps w:val="false"/>
                  <w:smallCaps w:val="false"/>
                  <w:sz w:val="20"/>
                  <w:u w:val="single"/>
                </w:rPr>
                <w:t>Form 10-K Summary</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72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26" w:type="dxa"/>
            <w:tcBorders/>
            <w:shd w:fill="FFFFFF" w:val="clear"/>
            <w:vAlign w:val="center"/>
          </w:tcPr>
          <w:p>
            <w:pPr>
              <w:pStyle w:val="TableContents"/>
              <w:bidi w:val="0"/>
              <w:spacing w:before="0" w:after="283"/>
              <w:jc w:val="both"/>
              <w:rPr/>
            </w:pPr>
            <w:hyperlink w:anchor="a_029">
              <w:r>
                <w:rPr>
                  <w:rStyle w:val="InternetLink"/>
                  <w:rFonts w:ascii="Times New Roman;Times;Serif" w:hAnsi="Times New Roman;Times;Serif"/>
                  <w:b w:val="false"/>
                  <w:i w:val="false"/>
                  <w:caps w:val="false"/>
                  <w:smallCaps w:val="false"/>
                  <w:sz w:val="20"/>
                  <w:u w:val="single"/>
                </w:rPr>
                <w:t>Signatures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contains “forward-looking statements” within the meaning of the Private Securities Litigation Reform Act of 1995, Section 27A of the Securities Act of 1933, as amended (the “Securities Act”), and Section 21E of the Securities Exchange Act of 1934, as amended (the “Exchange Act”). We have based these forward-looking statements largely on our current expectations and projections about future events and financial trends impacting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include all statements that are not historical facts. In some cases, you can identify forward-looking statements by terms such as “may,” “will,” “should,” “could,” “would,” “expect,” “intend,” “seek,” “plan,” “anticipate,” “believe,” “estimate,” “project,” “predict,” “potential,” “might,” “forecast,” “continue,” or the negative of those terms, and similar expressions and comparable terminology intended to reference future periods. Forward-looking statements include, but are not limited to, statements about: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and enforce our intellectual property protection and the scope and duration of such protection;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third parties, including suppliers, delivery platforms, brand sponsors, software providers and service providers;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our products at a large scale;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competitive industry in which we operate, which is subject to rapid technological change;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access the full funds under the existing convertible note payable facility;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to develop our technology and scale our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and projections relating to our competitors and our industry;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adequately control the costs associated with our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current and future laws and regulations, especially those related to autonomous delivery;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cybersecurity risks to our operational systems, infrastructure, and integrated software by us or third-party vendors;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risks and uncertainties, including those listed under </w:t>
            </w:r>
            <w:r>
              <w:rPr>
                <w:rFonts w:ascii="Times New Roman;Times;Serif" w:hAnsi="Times New Roman;Times;Serif"/>
                <w:b w:val="false"/>
                <w:i/>
                <w:caps w:val="false"/>
                <w:smallCaps w:val="false"/>
                <w:sz w:val="20"/>
              </w:rPr>
              <w:t>Item 1A. Risk Factors</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the underlying assumptions prove incorrect, actual results may differ significantly from those anticipated, believed, estimated, expected, intended or planned.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or events that could cause our actual results to differ may emerge from time to time, and it is not possible for us to predict all of them. We cannot guarantee future results, levels of activity, performance or achievements. Accordingly, the forward-looking statements in this Annual Report on Form 10-K should not be regarded as representations that the results or conditions described in such statements will occur or that our objectives and plans will be achieved, and we do not assume any responsibility for the accuracy or completeness of any of these forward-looking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35" w:name="a_001"/>
      <w:bookmarkEnd w:id="35"/>
      <w:r>
        <w:rPr>
          <w:rFonts w:ascii="Times New Roman;Times;Serif" w:hAnsi="Times New Roman;Times;Serif"/>
          <w:b/>
          <w:i w:val="false"/>
          <w:caps w:val="false"/>
          <w:smallCaps w:val="false"/>
          <w:sz w:val="20"/>
          <w:u w:val="single"/>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 w:name="a_002"/>
      <w:bookmarkEnd w:id="36"/>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Annual Report on Form 10-K contains forward-looking statements within the meaning of the federal securities laws that involve risks and uncertainties. Actual results may differ materially from those expressed or implied by these forward-looking statements as a result of various factors, including those described in “Risk Factors” and “Management’s Discussion and Analysis of Financial Condition and Results of Operations,” included in this report. Readers should carefully review this Annual Report on Form 10-K in its entirety, including the financial statements and related notes. Unless the context otherwise requires, references to “Arrive AI Inc.,” “Arrive,” the “Company,” “we,” “us,” and “our” refer to Arrive AI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on April 30, 2020, in the State of Delaware under the name of Dronedek Corporation. The Company changed its name to Arrive Technology Inc. on July 27, 2023. The Company changed its name to Arrive AI Inc. on September 27, 2024. We are an early-stage technology company with a focus on designing and implementing a commercially viable smart mailbox and platform system for smart, secure, and seamless exchange of packages, goods, supplies, food, and medications between people, through the use of robots and drones. We began conducting commercial operations in 2025 and we had no revenues for prior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executed an exclusive patent license agreement on May 26, 2020, with its CEO, Daniel O’Toole, which was amended in December 2024 and March 2025, whereby Mr. O’Toole granted Arrive rights to use, sell, manufacture and otherwise commercialize certain technologies relating to secured drone delivery ALM mailboxes in exchange for license fees. Such technologies have helped jumpstart our business operations and will continue to play such a critical role in our growth that we have become heavily reliant on the right to use them. Please see a more detailed description of the terms of such agreement under “Certain Relationships and Related Party Transactions, and Director Independence” and the risks related to our reliance on such agreement under “Risks Related to Intellectual Property and Related-Party Arrangements - Our business depends on intellectual property licensed from our Chief Executive Officer” and “Risks Related to Intellectual Property and Related-Party Arrangements - We engage in related-party transactions that may create conflicts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Controlled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ceased to be a “controlled company” within the meaning of the listing rules of The Nasdaq Stock Market LLC on or around April 9, 2026, and is permitted to continue to rely on exemptions from certain Nasdaq corporate governance requirements within a year following such date, including the requirement that a majority of the Board consist of independent directors and the requirement that the compensation and nominating committees be composed entirely of independent directors. The Company currently relies on these exemptions.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these exemptions, the Company maintains an Audit and Finance Committee composed entirely of independent directors in accordance with applicable Nasdaq and SEC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 and a 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$1.235 billion of revenue during our last fiscal year, we qualify as an “emerging growth company” as defined in the Jumpstart Our Business Startups Act of 2012, or the JOBS Act. We may remain an emerging growth company for up to five years from the date of the closing of our public offering, or until such earlier time as we have more than $1.235 billion in annual revenue, the market value of our stock held by non-affiliates is more than $700 million as of the final day of our second fiscal quarter, in which case we would cease to be an “emerging growth company” as of the following final day of our fiscal year, or we issue more than $1 billion of non-convertible debt over a three-year period.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we remain an emerging growth company, we are permitted and intend to rely on certain exemptions from various public company reporting requirements, including not being required to include an attestation report on internal control over financial reporting issued by our independent registered public accounting firm pursuant to Section 404(b) of the Sarbanes-Oxley Act of 2002, reduced disclosure obligations regarding executive compensation in our periodic reports and proxy statements, and exemptions from the requirements of holding a nonbinding advisory vote on executive compensation and any golden parachute payments not previously approved. 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meaning that the market value of our stock held by non-affiliates is less than $700 million and our annual revenue was less than $100 million during our most recently completed fiscal year. We may continue to be a smaller reporting company if either (i) the market value of our stock held by non-affiliates is less than $250 million measured on the last business day of our second fiscal quarter or (ii) our annual revenue is less than $100 million during the most recently completed fiscal year and the market value of our stock held by non-affiliates is less than $700 million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For so long as we remain a smaller reporting company, we are permitted and intend to rely on exemptions from certain disclosures and other requirements that are applicable to other public companies that are not smaller reporting companies, such as providing only two years of audited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Glossary of Terms and Abbreviations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glossary of technical terms used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AP1 / AP2 / AP3 / AP4 / AP5 / AP6</w:t>
      </w:r>
      <w:r>
        <w:rPr>
          <w:rFonts w:ascii="Times New Roman;Times;Serif" w:hAnsi="Times New Roman;Times;Serif"/>
          <w:b w:val="false"/>
          <w:i w:val="false"/>
          <w:caps w:val="false"/>
          <w:smallCaps w:val="false"/>
          <w:sz w:val="20"/>
        </w:rPr>
        <w:t xml:space="preserve"> – Generations of Arrive Points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ADM</w:t>
      </w:r>
      <w:r>
        <w:rPr>
          <w:rFonts w:ascii="Times New Roman;Times;Serif" w:hAnsi="Times New Roman;Times;Serif"/>
          <w:b w:val="false"/>
          <w:i w:val="false"/>
          <w:caps w:val="false"/>
          <w:smallCaps w:val="false"/>
          <w:sz w:val="20"/>
        </w:rPr>
        <w:t xml:space="preserve"> – Automated Delivery Marketplace</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AI</w:t>
      </w:r>
      <w:r>
        <w:rPr>
          <w:rFonts w:ascii="Times New Roman;Times;Serif" w:hAnsi="Times New Roman;Times;Serif"/>
          <w:b w:val="false"/>
          <w:i w:val="false"/>
          <w:caps w:val="false"/>
          <w:smallCaps w:val="false"/>
          <w:sz w:val="20"/>
        </w:rPr>
        <w:t xml:space="preserve"> – Artificial Intelligence</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ALM</w:t>
      </w:r>
      <w:r>
        <w:rPr>
          <w:rFonts w:ascii="Times New Roman;Times;Serif" w:hAnsi="Times New Roman;Times;Serif"/>
          <w:b w:val="false"/>
          <w:i w:val="false"/>
          <w:caps w:val="false"/>
          <w:smallCaps w:val="false"/>
          <w:sz w:val="20"/>
        </w:rPr>
        <w:t xml:space="preserve"> – Autonomous Last Mile</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AMR</w:t>
      </w:r>
      <w:r>
        <w:rPr>
          <w:rFonts w:ascii="Times New Roman;Times;Serif" w:hAnsi="Times New Roman;Times;Serif"/>
          <w:b w:val="false"/>
          <w:i w:val="false"/>
          <w:caps w:val="false"/>
          <w:smallCaps w:val="false"/>
          <w:sz w:val="20"/>
        </w:rPr>
        <w:t xml:space="preserve"> – Autonomous Mobile Robot</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AUVS</w:t>
      </w:r>
      <w:r>
        <w:rPr>
          <w:rFonts w:ascii="Times New Roman;Times;Serif" w:hAnsi="Times New Roman;Times;Serif"/>
          <w:b w:val="false"/>
          <w:i w:val="false"/>
          <w:caps w:val="false"/>
          <w:smallCaps w:val="false"/>
          <w:sz w:val="20"/>
        </w:rPr>
        <w:t xml:space="preserve"> – Aerial Unmanned Vehicle Systems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Arrive Points™</w:t>
      </w:r>
      <w:r>
        <w:rPr>
          <w:rFonts w:ascii="Times New Roman;Times;Serif" w:hAnsi="Times New Roman;Times;Serif"/>
          <w:b w:val="false"/>
          <w:i w:val="false"/>
          <w:caps w:val="false"/>
          <w:smallCaps w:val="false"/>
          <w:sz w:val="20"/>
        </w:rPr>
        <w:t xml:space="preserve"> – Branded term for our product</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IoT</w:t>
      </w:r>
      <w:r>
        <w:rPr>
          <w:rFonts w:ascii="Times New Roman;Times;Serif" w:hAnsi="Times New Roman;Times;Serif"/>
          <w:b w:val="false"/>
          <w:i w:val="false"/>
          <w:caps w:val="false"/>
          <w:smallCaps w:val="false"/>
          <w:sz w:val="20"/>
        </w:rPr>
        <w:t xml:space="preserve"> – Internet of Things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ML</w:t>
      </w:r>
      <w:r>
        <w:rPr>
          <w:rFonts w:ascii="Times New Roman;Times;Serif" w:hAnsi="Times New Roman;Times;Serif"/>
          <w:b w:val="false"/>
          <w:i w:val="false"/>
          <w:caps w:val="false"/>
          <w:smallCaps w:val="false"/>
          <w:sz w:val="20"/>
        </w:rPr>
        <w:t xml:space="preserve"> – Machine Learning</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MaaS</w:t>
      </w:r>
      <w:r>
        <w:rPr>
          <w:rFonts w:ascii="Times New Roman;Times;Serif" w:hAnsi="Times New Roman;Times;Serif"/>
          <w:b w:val="false"/>
          <w:i w:val="false"/>
          <w:caps w:val="false"/>
          <w:smallCaps w:val="false"/>
          <w:sz w:val="20"/>
        </w:rPr>
        <w:t xml:space="preserve"> – Mailbox as a Service</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PHI</w:t>
      </w:r>
      <w:r>
        <w:rPr>
          <w:rFonts w:ascii="Times New Roman;Times;Serif" w:hAnsi="Times New Roman;Times;Serif"/>
          <w:b w:val="false"/>
          <w:i w:val="false"/>
          <w:caps w:val="false"/>
          <w:smallCaps w:val="false"/>
          <w:sz w:val="20"/>
        </w:rPr>
        <w:t xml:space="preserve"> – Protected Health Information</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PII</w:t>
      </w:r>
      <w:r>
        <w:rPr>
          <w:rFonts w:ascii="Times New Roman;Times;Serif" w:hAnsi="Times New Roman;Times;Serif"/>
          <w:b w:val="false"/>
          <w:i w:val="false"/>
          <w:caps w:val="false"/>
          <w:smallCaps w:val="false"/>
          <w:sz w:val="20"/>
        </w:rPr>
        <w:t xml:space="preserve"> – Personally Identifiable Information</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UAV / UAVs</w:t>
      </w:r>
      <w:r>
        <w:rPr>
          <w:rFonts w:ascii="Times New Roman;Times;Serif" w:hAnsi="Times New Roman;Times;Serif"/>
          <w:b w:val="false"/>
          <w:i w:val="false"/>
          <w:caps w:val="false"/>
          <w:smallCaps w:val="false"/>
          <w:sz w:val="20"/>
        </w:rPr>
        <w:t xml:space="preserve"> – Unmanned Aerial Vehicles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is pioneering the essential infrastructure for the Autonomous Last Mile (“ALM”) era, where the future of last-mile logistics is dominated by drones and robotic delivery systems. We are building a universal ALM network of Arrive Points™—smart lockers and mini-cross-docks—that serve as secure, asynchronous exchange points connecting drones, robots, delivery providers, retailers, and consumers.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integrated ALM Platform combines a physical Arrive Point™ Network (delivered as Network-as-a-Service), an ALM Marketplace for dynamic scheduling and transactional optimization and AI Services for data-driven insights and automation. This comprehensive ecosystem is designed to overcome the key barriers to widespread ALM adoption—interoperability, security, efficiency, and network density—while creating multiple scalable revenue streams.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much like the original iPhone and App Store catalyzed the smartphone and mobile app revolutions, Arrive AI’s platform provides the “Highest Common Denominator” infrastructure to support and accelerate rapid innovation across the entire automated last-mile industry, serving medical, pharmaceutical, retail, e-commerce, and logistics stakeholders.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patented, multi-generational Arrive Points (AP3, AP4, and upcoming AP5) deliver universal compatibility, robust chain-of-custody security, temperature assistance where required, and seamless physical-digital synchronization. By eliminating manual intervention and technical silos, we enable efficient, scalable, and fully autonomous delivery networks that preserve product integrity and unlock exceptional operational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ALM Platform for Industry Innovation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integrated ALM Platform combines a physical Arrive Point™ Network, an ALM Marketplace, and AI Services to create a comprehensive ecosystem designed to accelerate the adoption of drone and robotic delivery.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3838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8385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ALM Platform is designed to drive future revenue through three complementary pillars: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Arrive Point Network (Network-as-a-Service): This hardware-enabled network provides secure, asynchronous delivery and pickup points with features such as temperature assistance and secure chain of custody. We plan to offer access to this network through monthly and annual subscription fees, along with associated installation, support, maintenance, and infrastructure services. This turn-key Network-as-a-Service model is expected to contribute significantly to our revenue as we deploy subsequent generations of Arrive Points.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AI Services: Leveraging machine learning (ML) and artificial intelligence (AI), we intend to monetize the vast transactional and environmental data generated by our network. ML will primarily power edge computing and local processing in our fourth- and fifth generation Arrive Points (AP4 and AP5), while broader AI capabilities will derive actionable insights such as reverse logistics optimization, routing density and arbitrage, and growth forecasting. We also plan to integrate foundational AI models for enhanced device-based human interactions.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ALM Marketplace: Our software platform will enable dynamic pricing, management of “gate times,” and optimization of high-demand space across the Arrive Point network, functioning similarly to a Google AdSense-like marketplace. This will facilitate critical ecosystem functions including arrival/departure scheduling, space optimization, smart notifications, micro-weather data, local restrictions, transactional updates, and automation issue resolution. Advanced marketplace capabilities are planned for introduction with our AP5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differentiate ourselves through a comprehensive, integrated solution: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Universal Compatibility: Our multi-generational Arrive Points (AP3, AP4, AP5) are being developed to support all major drone and robotic delivery systems, addressing a key barrier to widespread ALM adoption.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End-to-End Solution: We combine advanced hardware, a robust software platform, and AI/ML capabilities to deliver a complete ecosystem for automated last-mile exchange.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 Market Validation: We have secured pilot programs with significant customers, including a regional hospital and a specialty pharmaceutical delivery company, providing valuable learning and validation as we refine our path to sustainable economics.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Five-Year Public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of last-mile delivery belongs to drones and robots. Arrive AI is building the essential ALM network and platform to enable this transformation. Our five-year plan targets deployment of 100,000 Arrive Points, achieving a revenue model of approximately 50% Network-as-a-Service and 50% Marketplace &amp; AI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86400" cy="30816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486400" cy="308165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five-year plan outlines our phased approach from early market solutions and product development through pilot programs, strategic refinement, production ramp, and ultimately network scalability. Our initial deployments focused on pilot validation and iterative learning. Revenue is expected to accelerate as we scale installations and activate subscription, marketplace, and AI service models in line with the milestones shown.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phases include transitioning from early third generation (AP3) units toward fourth- and fifth generation (AP4 and AP5) hardware that will fully enable marketplace transactional economics and advanced AI services. Our internal stretch goals reflect ambitious network effects and rapid deployment potential as the ALM ecosystem matures.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is forward-looking and subject to change without notice based on market conditions, technological advancements, strategic partnerships, and capital availability.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emerging competition 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Smart locker box and mailbox companies are also adapting to ALM trends and may pursue similar capabilities or business as Arrive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Automation providers, like drone and robotic companies and/or operators, are now also developing point solutions for last-mile delivery handoffs and may pursue similar capabilities or business as Arrive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leverages our intellectual property and technological advantages developed in AP1, AP2, AP3, AP4 and soon to be AP5, to position Arrive AI’s ALM MaaS solutions as the industry standard, anticipating that proprietary point-solutions will transition towards our broader, full-featured, universal ALM network/platform because of cost, interoperability, and customer demand for universal vs. proprietary solution lock-in.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business foundation, combined with our strategic product rollout and strong intellectual property portfolio, positions Arrive AI to lead the transformation of ALM infrastructure and the formation of an ALM platform for the emerging ALM ecosystem, in the era that will most certainly be transformed by last-mile autonomous logistics as projected by organizations like ARK Invest in their Annual Innovation Report in the Autonomous Logistics sections.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federal, state, and local environmental laws and regulations relating to, among other things, the handling and disposal of materials and waste. We are primarily engaged in office-based functions and research and development activities and do not conduct material manufacturing or industrial operations. Accordingly, we do not believe compliance with environmental laws and regulations has had, or is expected to have, a material effect on our capital expenditures, results of operations, or competitive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limited quantities of electronic and office waste, which are managed in accordance with applicable laws, primarily through third-party service providers. We are not aware of any pending or threatened environmental matters that we believe would have a material adverse effect on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Postal Reorganization Act of 1970 created the U.S. Postal Service (“USPS) as an independent establishment of the executive branch of the federal government. The Postal Accountability and Enhancement Act of 2006 amended the 1970 Act to give the re-named Postal Regulatory Commission revised oversight authority over many aspects of the USPS, including postal rates, product offerings and service standards. Once we begin our scaled operation and supply the market with Arrive’s ALM Mailboxes, a significant portion of our business will be subject to regulation and oversight by the USPS, posts in other major markets, and the governmental bodies that regulate the postal services themselves. These postal authorities have the power to regulate some of our current products and services and they sometimes also must approve many of our new or future product and service offerings before we can bring them to market. If new or future product and service offerings are not approved or there are significant conditions to approval, regulations on existing products or services are changed, posts utilize their position in the market or their role as product regulator to limit competition in areas where the posts themselves offer solutions, or if we fall out of compliance with the posts’ regulations, our financial performance could be adversely affected.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recently been heightened regulatory and enforcement focus relating to the collection, use, retention, transfer, and processing of personal data in the U.S. (at both the state and federal level), including the California Privacy Rights Act, the Virginia Consumer Data Protection Act, and other similar laws that have been or will be enacted by other jurisdictions. In addition, in the U.S., there has been increased legislative and regulatory activity related to artificial intelligence and the risks and challenges artificial intelligence poses, including the current U.S. presidential administration’s executive order to, among other things, establish artificial intelligence safety and security. An actual or alleged failure to comply with applicable U.S. or foreign data protection laws, regulations, or other data protection standards may expose us to litigation (including, in some instances, class action litigation), fines, sanctions, or other penalties, which could harm our reputation and adversely affect our business, results of operations, and financial condition. This regulatory environment is increasingly challenging, based on discretionary factors, and difficult to predict. Consequently, compliance with all applicable regulations in the various jurisdictions in which we do business may present material obligations and risks to our business, including significantly expanded compliance burdens, costs, and enforcement risks; require us to make extensive system or operational changes; or adversely affect the cost or attractiveness of the services we offer. All of these evolving compliance and operational requirements, as well as the uncertain interpretation and enforcement of laws, impose significant costs and regulatory risks that are likely to increase over time. Developing privacy legislation within the U.S. may also create limitations or added requirements on the use and collection of personal data that our ML/AI models will be built 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drones and autonomous robots for delivery has been gaining momentum in recent years due to the potential for increased efficiency, speed, and cost savings. However, the pace of adoption has been hindered by a variety of legal and regulatory barriers, including the Federal Aviation Administration’s (“FAA”) Beyond Visual Line of Sight (“BVLOS”) requirements. These regulations require operators to demonstrate that their drones can fly beyond the visual line of sight of the pilot or observer and still maintain safe operation. Meeting these requirements has been a significant challenge for many companies seeking to use drones for delivery and has slowed down the pace of adoption. Despite these challenges, many companies are investing heavily in developing and testing delivery drones and robots that can meet the FAA’s BVLOS requirements. As such, Arrive can expect continued progress in the adoption of drones and autonomous robots for delivery, albeit with careful consideration of legal and ethical implications, including compliance with BVLOS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 our early market focus involving placing our products and providing services to medical facilities, we must also comply with the HIPAA if we handle PHI in the course of our commercial business operations. Despite the need to comply with HIPAA, we are only a provider of intelligent mailboxes and do not and will not manufacture, sell or transport medical or biological products or prescriptions, we are not and will not be subject to any regulations in those areas, for example, the Federal Food, Drug, and Cosmetic Act of 1938 and the Medical Device Amendments of 1976.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 Related to the Transportation of Pharmaceutical and Biomedical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though we do not and will not manufacture, sell or transport medical or biological products or prescriptions, there are several regulations related to the transportation of pharmaceutical and biomedical products and our potential third-party service providers may be subject to such regulations, described further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21 of the Code of Federal Regulations (CFR) regulates shipping, warehousing, distribution, and record keeping of pharmaceuticals. Because of the sensitive nature of some pharmaceutical products, there are many federal, state, and local laws that dictate how to package and transport the items. There are also several different federal agencies with oversight, including the Food and Drug Administration (“FDA”), the FDA’s role is to protect the public’s health by ensuring that the items to be consumed are safe. Prescription drugs and medical devices undergo rigorous screening and testing to ensure they work as the manufacturer claims. Within the context of pharmaceuticals, this means information on the approved temperature range for shipping, warehousing, and distribution. In addition to the FDA’s temperature control requirements, there are other requirements which include hygiene, security, and recordkeeping. The packaging procedures of manufacturers and third-party transportation providers must ensure compliance with FDA’s temperature control requirements. When transporting products that require temperatures outside the normal bounds, it usually requires a particular type of vehicle or trailer. These vans and trucks are modified to allow temperature control while traveling. This helps ensure the products stay within the safe temperature range. The modifications to the trailers and vehicles often include improved gaskets, seals, and partitions that allow the transport of products in different temperature zones. The FDA also sets state licensing laws for pharmaceutical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most relevant of the FDA requirements is the cold supply chain, which is crucial to many different industries. If products go outside of their safe temperature range, it can lead to ineffective medications, vaccines, or devices. This is what makes compliance so crucial in the medical community. For most products, storage and transportation are easy so long as the temperature range remains between 55- and 77-degrees Fahrenheit, but once outside of that comfortable range, things start to become more challenging. Within the cold supply chain, there are four different steps. The first stage is where the supply is from, such as the factory or plant. The second step is the transportation stage. This stage can occur multiple times and is when the medical devices or medication are on the transport vehicle. The third step, storage, is whenever the product is in a cold storage location before arriving at its final destination. This step also has the possibility of happening more than once. The last step is arrival at the market when the products reach the buyers. This is the stage where the items remain before being sold or administered. Our Company will not guarantee the temperature of any of these items as this is a requirement applicable to manufacturers and transportation third parties in connection with their packaging procedures.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Transportation: Transporting products that require temperatures outside the normal bounds usually requires a particular type of vehicle or trailer. These vans and trucks are modified to allow temperature control while traveling. This helps ensure the products stay within the safe temperature range. The modifications to the trailers and vehicles often include improved gaskets and seals. Some even have partitions that allow the transport of products in different temperature zones.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Storage: For storage purposes, one must ensure the warehouses will remain compliant with the temperature requirements. Some warehouses have a backup generator in the event of power loss. This will make sure that temperature-sensitive products aren’t lost or damaged. Security, another critical aspect of FDA regulation, is the requirement for who can be around the products while in transit. There are rules about who can and is allowed in proximity to pharmaceuticals. Hygiene, like in restaurants, the FDA is responsible for overseeing the storage conditions of products. Anywhere that the pharmaceuticals are stored must provide adequate cleaning, proper ventilation, and safe storage practices to ensure nothing happens to the products. Recordkeeping, there is a requirement for accurate recordkeeping, which is a requirement for anybody following the FDA-approved pharmaceutical shipping regulations. This work is crucial for products to arrive protected. Being able to provide such documentation also ensures the responsible party pays the cost of any non-compliance problems, including any fines or replacements.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Department of Transportation (DOT): Several scenarios may include the involvement of the Department of Transportation in connection with the transport of pharmaceutical products. This is often in connection with the transportation of hazardous materials. Any planned delivery route must comply with all requirements for the transport of whatever item that has the hazardous materials label. Another government agency applicable to pharmaceutical transportation is the Drug Enforcement Agency (“DEA”). This group gets involved because many different medications double as controlled substances, thanks to the risk of generating addiction. These medications can be anything from painkilling opiates to medicines that address other chronic illnesses. Whatever the individual medical product is, the DEA will be involved if there is the possibility of theft.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regulations have a significant impact on the operations and responsibilities of third parties, such as those who have autonomous mobile robots (“AMRs”) and drone operations, or those imposed on medical facilities regarding control and preservation of certain medications considered perishable or which may need refrigeration. Although they are not directly applicable to our own business and future operations, these regulations related to aviation, medical and biological operations are applicable to our partners by, for example, increasing their compliance cost and financial burden, and may thereby be unwilling to transition to a smarter and more modern mailbox provider like us. Our intended operations will comply with the specific requirements for each application as defined by the third parties responsible for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AI’s intellectual property consists of patents, trademarks and trade secrets. Arrive AI’s trade secrets consist of research and development and know-how, all of which we seek to protect, in part, by confidentiality agreements. To protect Arrive AI’s intellectual property, Arrive relies on a combination of laws and regulations, as well as contractual restrictions. Federal trademark law protects Arrive AI’s registered trademarks. Arrive also relies on the protection of laws regarding unregistered copyrights for certain content Arrive creates, as well as trade secret laws to protect Arrive AI’s proprietary technology.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has 3 registered trademarks, all of which are being used in commerce, 6 allowed, and 3 pending trademarks:</w:t>
      </w:r>
    </w:p>
    <w:p>
      <w:pPr>
        <w:pStyle w:val="TextBody"/>
        <w:bidi w:val="0"/>
        <w:spacing w:before="0" w:after="0"/>
        <w:ind w:left="0" w:right="0" w:hanging="0"/>
        <w:jc w:val="both"/>
        <w:rPr>
          <w:caps w:val="false"/>
          <w:smallCaps w:val="false"/>
        </w:rPr>
      </w:pPr>
      <w:r>
        <w:rPr>
          <w:caps w:val="false"/>
          <w:smallCaps w:val="false"/>
        </w:rPr>
        <w:t> </w:t>
      </w:r>
    </w:p>
    <w:tbl>
      <w:tblPr>
        <w:tblW w:w="9015" w:type="dxa"/>
        <w:jc w:val="left"/>
        <w:tblInd w:w="0" w:type="dxa"/>
        <w:tblLayout w:type="fixed"/>
        <w:tblCellMar>
          <w:top w:w="0" w:type="dxa"/>
          <w:left w:w="0" w:type="dxa"/>
          <w:bottom w:w="28" w:type="dxa"/>
          <w:right w:w="0" w:type="dxa"/>
        </w:tblCellMar>
      </w:tblPr>
      <w:tblGrid>
        <w:gridCol w:w="320"/>
        <w:gridCol w:w="60"/>
        <w:gridCol w:w="3185"/>
        <w:gridCol w:w="60"/>
        <w:gridCol w:w="1640"/>
        <w:gridCol w:w="60"/>
        <w:gridCol w:w="905"/>
        <w:gridCol w:w="60"/>
        <w:gridCol w:w="1895"/>
        <w:gridCol w:w="60"/>
        <w:gridCol w:w="770"/>
      </w:tblGrid>
      <w:tr>
        <w:trPr/>
        <w:tc>
          <w:tcPr>
            <w:tcW w:w="3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1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Serial No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Granted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 No</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DRONEDEK (words)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18, 2019</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88522545</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29, 2021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6399323</w:t>
            </w:r>
          </w:p>
        </w:tc>
      </w:tr>
      <w:tr>
        <w:trPr/>
        <w:tc>
          <w:tcPr>
            <w:tcW w:w="3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DRONEDEK</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714500" cy="1133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14500" cy="1133475"/>
                          </a:xfrm>
                          <a:prstGeom prst="rect">
                            <a:avLst/>
                          </a:prstGeom>
                        </pic:spPr>
                      </pic:pic>
                    </a:graphicData>
                  </a:graphic>
                </wp:inline>
              </w:drawing>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December 29, 2020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90426343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5, 2022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6689433</w:t>
            </w:r>
          </w:p>
        </w:tc>
      </w:tr>
      <w:tr>
        <w:trPr/>
        <w:tc>
          <w:tcPr>
            <w:tcW w:w="3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AIRBOX</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 28, 2016</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86890454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 07, 2017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5330373</w:t>
            </w:r>
          </w:p>
        </w:tc>
      </w:tr>
      <w:tr>
        <w:trPr/>
        <w:tc>
          <w:tcPr>
            <w:tcW w:w="3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MAAS - MAILBOX AS A SERVICE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6, 2022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97399527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Allowed June 20, 2023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INCH OF THE LAST MILE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6, 2022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97399520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Allowed June 20, 2023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w:t>
            </w:r>
          </w:p>
          <w:p>
            <w:pPr>
              <w:pStyle w:val="TableContents"/>
              <w:bidi w:val="0"/>
              <w:spacing w:before="0" w:after="0"/>
              <w:ind w:left="0" w:right="0" w:hanging="0"/>
              <w:jc w:val="left"/>
              <w:rPr>
                <w:caps w:val="false"/>
                <w:smallCaps w:val="false"/>
              </w:rPr>
            </w:pPr>
            <w:r>
              <w:rPr>
                <w:caps w:val="false"/>
                <w:smallCaps w:val="false"/>
              </w:rPr>
              <w:drawing>
                <wp:inline distT="0" distB="0" distL="0" distR="0">
                  <wp:extent cx="1590675" cy="457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90675" cy="457200"/>
                          </a:xfrm>
                          <a:prstGeom prst="rect">
                            <a:avLst/>
                          </a:prstGeom>
                        </pic:spPr>
                      </pic:pic>
                    </a:graphicData>
                  </a:graphic>
                </wp:inline>
              </w:drawing>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 2022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97466319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Allowed June 20, 2023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ARRIVAL POINT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 2022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97466345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Allowed June 20, 2023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PAY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 2022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97466377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Allowed June 20, 2023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POINTS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 2022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97466382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Allowed June 20, 2023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 Beyond Delivered</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 7, 2024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98345734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Technology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 7, 2024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98345739</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1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Go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 7, 2024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98345744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has several other trademarks under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had nine (9) approved, registered, and issued United States patents as of December 31, 2025. Arrive AI has three (3) additional patent applications in the examination process by the United States Patent and Trademark Office (“USPTO”). In addition, there are seventy-seven (77) non-U.S. patent applications in process. Eight (8) National/non-US Patents have been issued (based on US Patents 2, 4, and 5), five (5) more are allowed, and 65 are pending. Most of these first group of smart/ interactive boxes were related to the original drone deliveries. From the Air Box acquisition, Arrive AI added four (4) of the granted US patents, one (1) US patent pending applications, and one (1) international patent pending in the totals below. These additional business acquisitions and technological developments are focused on receiving multiple packages and allowing multiple users. These foundational patents as well as the newly acquired technology (listed below) consisted of more than 130 patent claims for tracking packages as well as for collecting data from multiple shipping companies and the commercial and residential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 and Patents Pending: DRONEDEK was initially granted the first US Patent in 2017 with 2014 priority. A second was granted in 2019 with priority back to the original. A third was issued August 29, 2023, in connection with the expanding floor and homeowners’ recess into ground. The fourth and fifth US patents were issued in 2025. One was the Hot/Cold assist patent and the other represents a unit capable of trimode use – deliveries and shipments from a courier (human), a drone, and/or an automated robot. Arrive also owns four (4) fully-issued US patents acquired through the purchase of Airbox assets in 2023. The multi-user applications are starting to enter the National phase in twelve (12) other countries and the EU. Next generation AP4/5/6 (Arrive Point) will soon be in the provisional stage. The seventy-seven (77) non-US patent applications include the expanding floor, hot/cold assist, and multi-unit which are in national phases in 23 other countries at various levels of exam. Arrive has continued to bolster its protected features and functions with additional patents which are currently pending (see table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Optional features protected by the patents and applications include: a sensor-equipped, fully autonomous landing pad receptacle; a receptacle for receiving or sending food, medicine, groceries, or parcels; a secure receptacle on a porch, roof, window, house, building, existing edifice or mailbox post; interior temperature control (hot and cold holding section); a curved bottom to mitigate damage to the parcel from abrupt drops; infrared, ultraviolet or ozone virus and bacteria prevention including anthrax and COVID; detection of explosive materials; in-ground vaults for home owners association also known as “HOA” restrictions; mobility on trucks, boats and trailers; weather monitoring station, traffic, human and pet movement with facial recognition cameras; powered by a solar panel and/or 110-volt electrical; assist mechanism for robot/aerial unmanned vehicle systems (“AUVS”); and a charging station or battery exchange to the drones, unmanned aerial vehicles (“UAVs”), and units capable of trimode use (Couriers, Unmanned Robots, and Drones).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Patents Pending: Patents pending are based on the PCT and World Intellectual Property Organization (“WIPO”). International filings are focused on those global markets that provide the best commercial opportunity (the top 20 nations representing over 80% of the global economy). National patents for various countries have been assessed and are being examined in various stages depending on the country’s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 DRONEDEK holds three US trademarks registered, an additional eleven are allowed and ready to show use or pending approval; other marks for US and foreign applications are under consideration for protecting the brands with the transition to ARRIVE.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Licenses: DRONEDEK has an exclusive license to all the patents described herein from the inventor and CEO of Arrive, Daniel S. O’Toole. The details of the terms of use for these licenses are further described herein under the section </w:t>
      </w:r>
      <w:r>
        <w:rPr>
          <w:rFonts w:ascii="Times New Roman;Times;Serif" w:hAnsi="Times New Roman;Times;Serif"/>
          <w:b w:val="false"/>
          <w:i/>
          <w:caps w:val="false"/>
          <w:smallCaps w:val="false"/>
          <w:sz w:val="20"/>
        </w:rPr>
        <w:t>Exclusive Patent License Agreement</w:t>
      </w:r>
      <w:r>
        <w:rPr>
          <w:rFonts w:ascii="Times New Roman;Times;Serif" w:hAnsi="Times New Roman;Times;Serif"/>
          <w:b w:val="false"/>
          <w:i w:val="false"/>
          <w:caps w:val="false"/>
          <w:smallCaps w:val="false"/>
          <w:sz w:val="20"/>
        </w:rPr>
        <w:t>. New patent applications emerging from the engineers and technicians with Arrive AI are protected by language and IP agreements in the handbook and employee intake documents and hiring process.</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
        <w:gridCol w:w="60"/>
        <w:gridCol w:w="1133"/>
        <w:gridCol w:w="60"/>
        <w:gridCol w:w="877"/>
        <w:gridCol w:w="60"/>
        <w:gridCol w:w="749"/>
        <w:gridCol w:w="60"/>
        <w:gridCol w:w="1635"/>
        <w:gridCol w:w="60"/>
        <w:gridCol w:w="1970"/>
        <w:gridCol w:w="60"/>
        <w:gridCol w:w="1365"/>
        <w:gridCol w:w="60"/>
        <w:gridCol w:w="1511"/>
      </w:tblGrid>
      <w:tr>
        <w:trPr/>
        <w:tc>
          <w:tcPr>
            <w:tcW w:w="5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574" w:type="dxa"/>
            <w:gridSpan w:val="7"/>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DD</w:t>
            </w:r>
            <w:r>
              <w:rPr>
                <w:rFonts w:ascii="Times New Roman;Times;Serif" w:hAnsi="Times New Roman;Times;Serif"/>
                <w:b w:val="false"/>
                <w:i w:val="false"/>
                <w:caps w:val="false"/>
                <w:smallCaps w:val="false"/>
                <w:sz w:val="20"/>
              </w:rPr>
              <w:t xml:space="preserve"> - Original Development by Dronedek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966"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w:t>
            </w:r>
            <w:r>
              <w:rPr>
                <w:rFonts w:ascii="Times New Roman;Times;Serif" w:hAnsi="Times New Roman;Times;Serif"/>
                <w:b w:val="false"/>
                <w:i w:val="false"/>
                <w:caps w:val="false"/>
                <w:smallCaps w:val="false"/>
                <w:sz w:val="20"/>
              </w:rPr>
              <w:t xml:space="preserve"> - Acquired from AirBox</w:t>
            </w:r>
          </w:p>
        </w:tc>
      </w:tr>
      <w:tr>
        <w:trPr/>
        <w:tc>
          <w:tcPr>
            <w:tcW w:w="5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574" w:type="dxa"/>
            <w:gridSpan w:val="7"/>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966" w:type="dxa"/>
            <w:gridSpan w:val="5"/>
            <w:tcBorders/>
            <w:vAlign w:val="center"/>
          </w:tcPr>
          <w:p>
            <w:pPr>
              <w:pStyle w:val="TableContents"/>
              <w:bidi w:val="0"/>
              <w:spacing w:before="0" w:after="283"/>
              <w:jc w:val="center"/>
              <w:rPr>
                <w:caps w:val="false"/>
                <w:smallCaps w:val="false"/>
              </w:rPr>
            </w:pPr>
            <w:r>
              <w:rPr>
                <w:caps w:val="false"/>
                <w:smallCaps w:val="false"/>
              </w:rPr>
              <w:t> </w:t>
            </w:r>
          </w:p>
        </w:tc>
      </w:tr>
      <w:tr>
        <w:trPr/>
        <w:tc>
          <w:tcPr>
            <w:tcW w:w="5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SERIAL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5" w:type="dxa"/>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PATENT or</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Publication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1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ANTICIPATED EXPIRATION DATE</w:t>
            </w:r>
          </w:p>
        </w:tc>
      </w:tr>
      <w:tr>
        <w:trPr/>
        <w:tc>
          <w:tcPr>
            <w:tcW w:w="5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DD1</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7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14/565,418</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12/09/2014</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6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9,840,340</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97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Drone Docking Station and Delivery System</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3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 in U.S. 12/12/2017</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5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12/09/2034</w:t>
            </w:r>
          </w:p>
        </w:tc>
      </w:tr>
      <w:tr>
        <w:trPr/>
        <w:tc>
          <w:tcPr>
            <w:tcW w:w="5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3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7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63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97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6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DD2</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7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15/328,027</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11/21/2015</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6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10,457,421</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97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Drone Docking Station and Delivery System</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3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 in U.S. 10/29/2019</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5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11/21/2035</w:t>
            </w:r>
          </w:p>
        </w:tc>
      </w:tr>
      <w:tr>
        <w:trPr/>
        <w:tc>
          <w:tcPr>
            <w:tcW w:w="5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3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7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63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97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6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DD3</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7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17233624</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04/19/2021</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6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11,738,883</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97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Floor/Accordion drone docking station</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3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 in U.S. 08/29/2023</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5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04/19/2040</w:t>
            </w:r>
          </w:p>
        </w:tc>
      </w:tr>
      <w:tr>
        <w:trPr/>
        <w:tc>
          <w:tcPr>
            <w:tcW w:w="5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3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7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63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97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6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DD3A</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3" w:type="dxa"/>
            <w:tcBorders/>
            <w:shd w:fill="CCEEFF" w:val="cle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countries plus the EU</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77" w:type="dxa"/>
            <w:tcBorders/>
            <w:shd w:fill="CCEEFF" w:val="cle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PCT/US21/</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27879</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04/19/2021</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635" w:type="dxa"/>
            <w:tcBorders/>
            <w:shd w:fill="CCEEFF" w:val="cle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 2021 -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216397</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97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Floor/Accordion drone docking station</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365" w:type="dxa"/>
            <w:tcBorders/>
            <w:shd w:fill="CCEEFF" w:val="cle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Internationally</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Ready for National stage - 23 countries</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5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04/19/2040</w:t>
            </w:r>
          </w:p>
        </w:tc>
      </w:tr>
      <w:tr>
        <w:trPr/>
        <w:tc>
          <w:tcPr>
            <w:tcW w:w="5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3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7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63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97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6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DD4</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7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17233635</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04/19/2021</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6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12,304,671</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97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 and Cold Section drone docking station Temperature Controlled Device</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365" w:type="dxa"/>
            <w:tcBorders/>
            <w:shd w:fill="CCEEFF" w:val="cle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 in U.S.</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05/20/2025</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511" w:type="dxa"/>
            <w:tcBorders/>
            <w:shd w:fill="CCEEFF" w:val="cle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04/19/2040</w:t>
            </w:r>
          </w:p>
        </w:tc>
      </w:tr>
      <w:tr>
        <w:trPr/>
        <w:tc>
          <w:tcPr>
            <w:tcW w:w="5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3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7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63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97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6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DD4A</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3" w:type="dxa"/>
            <w:tcBorders/>
            <w:shd w:fill="CCEEFF" w:val="cle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countries plus the EU</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77" w:type="dxa"/>
            <w:tcBorders/>
            <w:shd w:fill="CCEEFF" w:val="cle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PCT/US21/</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27895</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04/19/2021</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6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WO2021 - 216407A1</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97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 and Cold Section drone docking station Temperature Controlled Device</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365" w:type="dxa"/>
            <w:tcBorders/>
            <w:shd w:fill="CCEEFF" w:val="cle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Internationally</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Ready for National stage - 23 countries</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5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04/19/2040</w:t>
            </w:r>
          </w:p>
        </w:tc>
      </w:tr>
      <w:tr>
        <w:trPr/>
        <w:tc>
          <w:tcPr>
            <w:tcW w:w="5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3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7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63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97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6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DD4B</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7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19/173,731</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07/25/2023</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6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2025-0325133</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970" w:type="dxa"/>
            <w:tcBorders/>
            <w:shd w:fill="CCEEFF" w:val="cle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CIP Hot and Cold Section Drone</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Docking Station Temperature Controlled Device</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3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in U.S.</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5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07/25/2043</w:t>
            </w:r>
          </w:p>
        </w:tc>
      </w:tr>
      <w:tr>
        <w:trPr/>
        <w:tc>
          <w:tcPr>
            <w:tcW w:w="5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3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7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63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97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6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DD5</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7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18208803</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06/12/2023</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6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12,591,840</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97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CIP Device and system for an autonomous mobile robot, drone, and/or courier to deliver, hold, protect, and return parcels for multi-users in both residential and commercial applications</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3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in U.S. as of 12/31/2025</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5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06/12/2043</w:t>
            </w:r>
          </w:p>
        </w:tc>
      </w:tr>
      <w:tr>
        <w:trPr/>
        <w:tc>
          <w:tcPr>
            <w:tcW w:w="5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3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7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63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97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6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DD5A</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3" w:type="dxa"/>
            <w:tcBorders/>
            <w:shd w:fill="CCEEFF" w:val="cle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countries plus the EU</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77" w:type="dxa"/>
            <w:tcBorders/>
            <w:shd w:fill="CCEEFF" w:val="cle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PCT/US23/</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25086</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06/12/2023</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635" w:type="dxa"/>
            <w:tcBorders/>
            <w:shd w:fill="CCEEFF" w:val="cle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WO2023244549A1</w:t>
            </w:r>
          </w:p>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97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CIP Device and system for an autonomous mobile robot, drone, and/or courier to deliver, hold, protect, and return parcels for multi-users in both residential and commercial applications</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365" w:type="dxa"/>
            <w:tcBorders/>
            <w:shd w:fill="CCEEFF" w:val="cle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Internationally</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Ready for National stage - 24 countries</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5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06/12/2043</w:t>
            </w:r>
          </w:p>
        </w:tc>
      </w:tr>
      <w:tr>
        <w:trPr/>
        <w:tc>
          <w:tcPr>
            <w:tcW w:w="5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3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7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9"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63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97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6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4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DD6</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13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7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18226016</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07/25/2023</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63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12,387,072</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970" w:type="dxa"/>
            <w:tcBorders/>
            <w:shd w:fill="CCEEFF" w:val="cle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CIP A Smart Mailbox receptacle</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platform to ship packages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goods from a Trimodal system</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includes a courier service, an</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automated vehicle</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robot, and/or an unmanned drone</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3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 in US 08/12/2025</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51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07/25/2043</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10"/>
        <w:gridCol w:w="60"/>
        <w:gridCol w:w="350"/>
        <w:gridCol w:w="60"/>
        <w:gridCol w:w="918"/>
        <w:gridCol w:w="60"/>
        <w:gridCol w:w="739"/>
        <w:gridCol w:w="60"/>
        <w:gridCol w:w="1107"/>
        <w:gridCol w:w="60"/>
        <w:gridCol w:w="3984"/>
        <w:gridCol w:w="60"/>
        <w:gridCol w:w="1520"/>
        <w:gridCol w:w="60"/>
        <w:gridCol w:w="757"/>
      </w:tblGrid>
      <w:tr>
        <w:trPr/>
        <w:tc>
          <w:tcPr>
            <w:tcW w:w="410" w:type="dxa"/>
            <w:tcBorders/>
            <w:shd w:fill="CCEEFF" w:val="clear"/>
            <w:vAlign w:val="center"/>
          </w:tcPr>
          <w:p>
            <w:pPr>
              <w:pStyle w:val="TableContents"/>
              <w:bidi w:val="0"/>
              <w:spacing w:before="0" w:after="283"/>
              <w:jc w:val="center"/>
              <w:rPr>
                <w:b/>
                <w:sz w:val="20"/>
              </w:rPr>
            </w:pPr>
            <w:r>
              <w:rPr>
                <w:b/>
                <w:sz w:val="20"/>
              </w:rPr>
              <w:t>AB1</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sz w:val="20"/>
              </w:rPr>
            </w:pPr>
            <w:r>
              <w:rPr>
                <w:sz w:val="20"/>
              </w:rPr>
              <w:t>U.S.</w:t>
            </w:r>
          </w:p>
        </w:tc>
        <w:tc>
          <w:tcPr>
            <w:tcW w:w="60" w:type="dxa"/>
            <w:tcBorders/>
            <w:shd w:fill="CCEEFF" w:val="clear"/>
            <w:vAlign w:val="center"/>
          </w:tcPr>
          <w:p>
            <w:pPr>
              <w:pStyle w:val="TableContents"/>
              <w:bidi w:val="0"/>
              <w:spacing w:before="0" w:after="283"/>
              <w:jc w:val="center"/>
              <w:rPr/>
            </w:pPr>
            <w:r>
              <w:rPr/>
              <w:t> </w:t>
            </w:r>
          </w:p>
        </w:tc>
        <w:tc>
          <w:tcPr>
            <w:tcW w:w="918" w:type="dxa"/>
            <w:tcBorders/>
            <w:shd w:fill="CCEEFF" w:val="clear"/>
            <w:vAlign w:val="center"/>
          </w:tcPr>
          <w:p>
            <w:pPr>
              <w:pStyle w:val="TableContents"/>
              <w:bidi w:val="0"/>
              <w:spacing w:before="0" w:after="283"/>
              <w:jc w:val="center"/>
              <w:rPr>
                <w:sz w:val="20"/>
              </w:rPr>
            </w:pPr>
            <w:r>
              <w:rPr>
                <w:sz w:val="20"/>
              </w:rPr>
              <w:t>15018696</w:t>
            </w:r>
          </w:p>
        </w:tc>
        <w:tc>
          <w:tcPr>
            <w:tcW w:w="60" w:type="dxa"/>
            <w:tcBorders/>
            <w:shd w:fill="CCEEFF" w:val="clear"/>
            <w:vAlign w:val="center"/>
          </w:tcPr>
          <w:p>
            <w:pPr>
              <w:pStyle w:val="TableContents"/>
              <w:bidi w:val="0"/>
              <w:spacing w:before="0" w:after="283"/>
              <w:jc w:val="center"/>
              <w:rPr/>
            </w:pPr>
            <w:r>
              <w:rPr/>
              <w:t> </w:t>
            </w:r>
          </w:p>
        </w:tc>
        <w:tc>
          <w:tcPr>
            <w:tcW w:w="739" w:type="dxa"/>
            <w:tcBorders/>
            <w:shd w:fill="CCEEFF" w:val="clear"/>
            <w:vAlign w:val="center"/>
          </w:tcPr>
          <w:p>
            <w:pPr>
              <w:pStyle w:val="TableContents"/>
              <w:bidi w:val="0"/>
              <w:spacing w:before="0" w:after="283"/>
              <w:jc w:val="center"/>
              <w:rPr>
                <w:sz w:val="20"/>
              </w:rPr>
            </w:pPr>
            <w:r>
              <w:rPr>
                <w:sz w:val="20"/>
              </w:rPr>
              <w:t>02/08/2016</w:t>
            </w:r>
          </w:p>
        </w:tc>
        <w:tc>
          <w:tcPr>
            <w:tcW w:w="60" w:type="dxa"/>
            <w:tcBorders/>
            <w:shd w:fill="CCEEFF" w:val="clear"/>
            <w:vAlign w:val="center"/>
          </w:tcPr>
          <w:p>
            <w:pPr>
              <w:pStyle w:val="TableContents"/>
              <w:bidi w:val="0"/>
              <w:spacing w:before="0" w:after="283"/>
              <w:jc w:val="center"/>
              <w:rPr/>
            </w:pPr>
            <w:r>
              <w:rPr/>
              <w:t> </w:t>
            </w:r>
          </w:p>
        </w:tc>
        <w:tc>
          <w:tcPr>
            <w:tcW w:w="1107" w:type="dxa"/>
            <w:tcBorders/>
            <w:shd w:fill="CCEEFF" w:val="clear"/>
            <w:vAlign w:val="center"/>
          </w:tcPr>
          <w:p>
            <w:pPr>
              <w:pStyle w:val="TableContents"/>
              <w:bidi w:val="0"/>
              <w:spacing w:before="0" w:after="283"/>
              <w:jc w:val="center"/>
              <w:rPr>
                <w:sz w:val="20"/>
              </w:rPr>
            </w:pPr>
            <w:r>
              <w:rPr>
                <w:sz w:val="20"/>
              </w:rPr>
              <w:t>US 10,210,475</w:t>
            </w:r>
          </w:p>
        </w:tc>
        <w:tc>
          <w:tcPr>
            <w:tcW w:w="60" w:type="dxa"/>
            <w:tcBorders/>
            <w:shd w:fill="CCEEFF" w:val="clear"/>
            <w:vAlign w:val="center"/>
          </w:tcPr>
          <w:p>
            <w:pPr>
              <w:pStyle w:val="TableContents"/>
              <w:bidi w:val="0"/>
              <w:spacing w:before="0" w:after="283"/>
              <w:jc w:val="center"/>
              <w:rPr/>
            </w:pPr>
            <w:r>
              <w:rPr/>
              <w:t> </w:t>
            </w:r>
          </w:p>
        </w:tc>
        <w:tc>
          <w:tcPr>
            <w:tcW w:w="3984" w:type="dxa"/>
            <w:tcBorders/>
            <w:shd w:fill="CCEEFF" w:val="clear"/>
            <w:vAlign w:val="center"/>
          </w:tcPr>
          <w:p>
            <w:pPr>
              <w:pStyle w:val="TableContents"/>
              <w:bidi w:val="0"/>
              <w:spacing w:before="0" w:after="283"/>
              <w:jc w:val="center"/>
              <w:rPr>
                <w:sz w:val="20"/>
              </w:rPr>
            </w:pPr>
            <w:r>
              <w:rPr>
                <w:sz w:val="20"/>
              </w:rPr>
              <w:t>Air Box - Systems, devices, and/or methods for managing drone deliveries</w:t>
            </w:r>
          </w:p>
        </w:tc>
        <w:tc>
          <w:tcPr>
            <w:tcW w:w="60" w:type="dxa"/>
            <w:tcBorders/>
            <w:shd w:fill="CCEEFF" w:val="clear"/>
            <w:vAlign w:val="center"/>
          </w:tcPr>
          <w:p>
            <w:pPr>
              <w:pStyle w:val="TableContents"/>
              <w:bidi w:val="0"/>
              <w:spacing w:before="0" w:after="283"/>
              <w:jc w:val="center"/>
              <w:rPr/>
            </w:pPr>
            <w:r>
              <w:rPr/>
              <w:t> </w:t>
            </w:r>
          </w:p>
        </w:tc>
        <w:tc>
          <w:tcPr>
            <w:tcW w:w="1520" w:type="dxa"/>
            <w:tcBorders/>
            <w:shd w:fill="CCEEFF" w:val="cle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 in US</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1/30/2019</w:t>
            </w:r>
          </w:p>
        </w:tc>
        <w:tc>
          <w:tcPr>
            <w:tcW w:w="60" w:type="dxa"/>
            <w:tcBorders/>
            <w:shd w:fill="CCEEFF" w:val="clear"/>
            <w:vAlign w:val="center"/>
          </w:tcPr>
          <w:p>
            <w:pPr>
              <w:pStyle w:val="TableContents"/>
              <w:bidi w:val="0"/>
              <w:spacing w:before="0" w:after="283"/>
              <w:jc w:val="center"/>
              <w:rPr/>
            </w:pPr>
            <w:r>
              <w:rPr/>
              <w:t> </w:t>
            </w:r>
          </w:p>
        </w:tc>
        <w:tc>
          <w:tcPr>
            <w:tcW w:w="757" w:type="dxa"/>
            <w:tcBorders/>
            <w:shd w:fill="CCEEFF" w:val="clear"/>
            <w:vAlign w:val="center"/>
          </w:tcPr>
          <w:p>
            <w:pPr>
              <w:pStyle w:val="TableContents"/>
              <w:bidi w:val="0"/>
              <w:spacing w:before="0" w:after="283"/>
              <w:jc w:val="center"/>
              <w:rPr>
                <w:sz w:val="20"/>
              </w:rPr>
            </w:pPr>
            <w:r>
              <w:rPr>
                <w:sz w:val="20"/>
              </w:rPr>
              <w:t>02/08/2036</w:t>
            </w:r>
          </w:p>
        </w:tc>
      </w:tr>
      <w:tr>
        <w:trPr/>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98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center"/>
              <w:rPr/>
            </w:pPr>
            <w:r>
              <w:rPr/>
              <w:t> </w:t>
            </w:r>
          </w:p>
        </w:tc>
      </w:tr>
      <w:tr>
        <w:trPr/>
        <w:tc>
          <w:tcPr>
            <w:tcW w:w="410" w:type="dxa"/>
            <w:tcBorders/>
            <w:shd w:fill="CCEEFF" w:val="clear"/>
            <w:vAlign w:val="center"/>
          </w:tcPr>
          <w:p>
            <w:pPr>
              <w:pStyle w:val="TableContents"/>
              <w:bidi w:val="0"/>
              <w:spacing w:before="0" w:after="283"/>
              <w:jc w:val="center"/>
              <w:rPr>
                <w:b/>
                <w:sz w:val="20"/>
              </w:rPr>
            </w:pPr>
            <w:r>
              <w:rPr>
                <w:b/>
                <w:sz w:val="20"/>
              </w:rPr>
              <w:t>AB2</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sz w:val="20"/>
              </w:rPr>
            </w:pPr>
            <w:r>
              <w:rPr>
                <w:sz w:val="20"/>
              </w:rPr>
              <w:t>U.S.</w:t>
            </w:r>
          </w:p>
        </w:tc>
        <w:tc>
          <w:tcPr>
            <w:tcW w:w="60"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center"/>
              <w:rPr>
                <w:sz w:val="20"/>
              </w:rPr>
            </w:pPr>
            <w:r>
              <w:rPr>
                <w:sz w:val="20"/>
              </w:rPr>
              <w:t>16846280</w:t>
            </w:r>
          </w:p>
        </w:tc>
        <w:tc>
          <w:tcPr>
            <w:tcW w:w="60"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center"/>
              <w:rPr>
                <w:sz w:val="20"/>
              </w:rPr>
            </w:pPr>
            <w:r>
              <w:rPr>
                <w:sz w:val="20"/>
              </w:rPr>
              <w:t>04/11/2020</w:t>
            </w:r>
          </w:p>
        </w:tc>
        <w:tc>
          <w:tcPr>
            <w:tcW w:w="60"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center"/>
              <w:rPr>
                <w:sz w:val="20"/>
              </w:rPr>
            </w:pPr>
            <w:r>
              <w:rPr>
                <w:sz w:val="20"/>
              </w:rPr>
              <w:t>US 11,905,013</w:t>
            </w:r>
          </w:p>
        </w:tc>
        <w:tc>
          <w:tcPr>
            <w:tcW w:w="60" w:type="dxa"/>
            <w:tcBorders/>
            <w:shd w:fill="CCEEFF" w:val="clear"/>
            <w:vAlign w:val="center"/>
          </w:tcPr>
          <w:p>
            <w:pPr>
              <w:pStyle w:val="TableContents"/>
              <w:bidi w:val="0"/>
              <w:spacing w:before="0" w:after="283"/>
              <w:jc w:val="left"/>
              <w:rPr/>
            </w:pPr>
            <w:r>
              <w:rPr/>
              <w:t> </w:t>
            </w:r>
          </w:p>
        </w:tc>
        <w:tc>
          <w:tcPr>
            <w:tcW w:w="3984" w:type="dxa"/>
            <w:tcBorders/>
            <w:shd w:fill="CCEEFF" w:val="clear"/>
            <w:vAlign w:val="center"/>
          </w:tcPr>
          <w:p>
            <w:pPr>
              <w:pStyle w:val="TableContents"/>
              <w:bidi w:val="0"/>
              <w:spacing w:before="0" w:after="283"/>
              <w:jc w:val="center"/>
              <w:rPr>
                <w:sz w:val="20"/>
              </w:rPr>
            </w:pPr>
            <w:r>
              <w:rPr>
                <w:sz w:val="20"/>
              </w:rPr>
              <w:t>Air Box - Systems, Devices, and/or Methods for Managing Drone Tethering</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 in US</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02/20/2024</w:t>
            </w:r>
          </w:p>
        </w:tc>
        <w:tc>
          <w:tcPr>
            <w:tcW w:w="60"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center"/>
              <w:rPr>
                <w:sz w:val="20"/>
              </w:rPr>
            </w:pPr>
            <w:r>
              <w:rPr>
                <w:sz w:val="20"/>
              </w:rPr>
              <w:t>04/11/2040</w:t>
            </w:r>
          </w:p>
        </w:tc>
      </w:tr>
      <w:tr>
        <w:trPr/>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98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center"/>
              <w:rPr/>
            </w:pPr>
            <w:r>
              <w:rPr/>
              <w:t> </w:t>
            </w:r>
          </w:p>
        </w:tc>
      </w:tr>
      <w:tr>
        <w:trPr/>
        <w:tc>
          <w:tcPr>
            <w:tcW w:w="410" w:type="dxa"/>
            <w:tcBorders/>
            <w:shd w:fill="CCEEFF" w:val="clear"/>
            <w:vAlign w:val="center"/>
          </w:tcPr>
          <w:p>
            <w:pPr>
              <w:pStyle w:val="TableContents"/>
              <w:bidi w:val="0"/>
              <w:spacing w:before="0" w:after="283"/>
              <w:jc w:val="center"/>
              <w:rPr>
                <w:b/>
                <w:sz w:val="20"/>
              </w:rPr>
            </w:pPr>
            <w:r>
              <w:rPr>
                <w:b/>
                <w:sz w:val="20"/>
              </w:rPr>
              <w:t>AB3</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sz w:val="20"/>
              </w:rPr>
            </w:pPr>
            <w:r>
              <w:rPr>
                <w:sz w:val="20"/>
              </w:rPr>
              <w:t>U.S.</w:t>
            </w:r>
          </w:p>
        </w:tc>
        <w:tc>
          <w:tcPr>
            <w:tcW w:w="60"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center"/>
              <w:rPr>
                <w:sz w:val="20"/>
              </w:rPr>
            </w:pPr>
            <w:r>
              <w:rPr>
                <w:sz w:val="20"/>
              </w:rPr>
              <w:t>18/078,985</w:t>
            </w:r>
          </w:p>
        </w:tc>
        <w:tc>
          <w:tcPr>
            <w:tcW w:w="60"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center"/>
              <w:rPr>
                <w:sz w:val="20"/>
              </w:rPr>
            </w:pPr>
            <w:r>
              <w:rPr>
                <w:sz w:val="20"/>
              </w:rPr>
              <w:t>12/11/2022</w:t>
            </w:r>
          </w:p>
        </w:tc>
        <w:tc>
          <w:tcPr>
            <w:tcW w:w="60"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center"/>
              <w:rPr>
                <w:sz w:val="20"/>
              </w:rPr>
            </w:pPr>
            <w:r>
              <w:rPr>
                <w:sz w:val="20"/>
              </w:rPr>
              <w:t>12,369,736</w:t>
            </w:r>
          </w:p>
        </w:tc>
        <w:tc>
          <w:tcPr>
            <w:tcW w:w="60" w:type="dxa"/>
            <w:tcBorders/>
            <w:shd w:fill="CCEEFF" w:val="clear"/>
            <w:vAlign w:val="center"/>
          </w:tcPr>
          <w:p>
            <w:pPr>
              <w:pStyle w:val="TableContents"/>
              <w:bidi w:val="0"/>
              <w:spacing w:before="0" w:after="283"/>
              <w:jc w:val="left"/>
              <w:rPr/>
            </w:pPr>
            <w:r>
              <w:rPr/>
              <w:t> </w:t>
            </w:r>
          </w:p>
        </w:tc>
        <w:tc>
          <w:tcPr>
            <w:tcW w:w="3984" w:type="dxa"/>
            <w:tcBorders/>
            <w:shd w:fill="CCEEFF" w:val="clear"/>
            <w:vAlign w:val="center"/>
          </w:tcPr>
          <w:p>
            <w:pPr>
              <w:pStyle w:val="TableContents"/>
              <w:bidi w:val="0"/>
              <w:spacing w:before="0" w:after="283"/>
              <w:jc w:val="center"/>
              <w:rPr>
                <w:sz w:val="20"/>
              </w:rPr>
            </w:pPr>
            <w:r>
              <w:rPr>
                <w:sz w:val="20"/>
              </w:rPr>
              <w:t>Air Box CIP - Systems, Devices, and/or Methods for Managing Drone Deliveries</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 in US 07/29/2025.</w:t>
            </w:r>
          </w:p>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center"/>
              <w:rPr>
                <w:sz w:val="20"/>
              </w:rPr>
            </w:pPr>
            <w:r>
              <w:rPr>
                <w:sz w:val="20"/>
              </w:rPr>
              <w:t>12/11/2042</w:t>
            </w:r>
          </w:p>
        </w:tc>
      </w:tr>
      <w:tr>
        <w:trPr/>
        <w:tc>
          <w:tcPr>
            <w:tcW w:w="4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98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center"/>
              <w:rPr/>
            </w:pPr>
            <w:r>
              <w:rPr/>
              <w:t> </w:t>
            </w:r>
          </w:p>
        </w:tc>
      </w:tr>
      <w:tr>
        <w:trPr/>
        <w:tc>
          <w:tcPr>
            <w:tcW w:w="410" w:type="dxa"/>
            <w:tcBorders/>
            <w:shd w:fill="CCEEFF" w:val="clear"/>
            <w:vAlign w:val="center"/>
          </w:tcPr>
          <w:p>
            <w:pPr>
              <w:pStyle w:val="TableContents"/>
              <w:bidi w:val="0"/>
              <w:spacing w:before="0" w:after="283"/>
              <w:jc w:val="center"/>
              <w:rPr>
                <w:b/>
                <w:sz w:val="20"/>
              </w:rPr>
            </w:pPr>
            <w:r>
              <w:rPr>
                <w:b/>
                <w:sz w:val="20"/>
              </w:rPr>
              <w:t>AB4</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sz w:val="20"/>
              </w:rPr>
            </w:pPr>
            <w:r>
              <w:rPr>
                <w:sz w:val="20"/>
              </w:rPr>
              <w:t>U.S.</w:t>
            </w:r>
          </w:p>
        </w:tc>
        <w:tc>
          <w:tcPr>
            <w:tcW w:w="60"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center"/>
              <w:rPr>
                <w:sz w:val="20"/>
              </w:rPr>
            </w:pPr>
            <w:r>
              <w:rPr>
                <w:sz w:val="20"/>
              </w:rPr>
              <w:t>16/054,305</w:t>
            </w:r>
          </w:p>
        </w:tc>
        <w:tc>
          <w:tcPr>
            <w:tcW w:w="60"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center"/>
              <w:rPr>
                <w:sz w:val="20"/>
              </w:rPr>
            </w:pPr>
            <w:r>
              <w:rPr>
                <w:sz w:val="20"/>
              </w:rPr>
              <w:t>08/3/2018</w:t>
            </w:r>
          </w:p>
        </w:tc>
        <w:tc>
          <w:tcPr>
            <w:tcW w:w="60"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center"/>
              <w:rPr>
                <w:sz w:val="20"/>
              </w:rPr>
            </w:pPr>
            <w:r>
              <w:rPr>
                <w:sz w:val="20"/>
              </w:rPr>
              <w:t>US 11,556,887</w:t>
            </w:r>
          </w:p>
        </w:tc>
        <w:tc>
          <w:tcPr>
            <w:tcW w:w="60" w:type="dxa"/>
            <w:tcBorders/>
            <w:shd w:fill="CCEEFF" w:val="clear"/>
            <w:vAlign w:val="center"/>
          </w:tcPr>
          <w:p>
            <w:pPr>
              <w:pStyle w:val="TableContents"/>
              <w:bidi w:val="0"/>
              <w:spacing w:before="0" w:after="283"/>
              <w:jc w:val="left"/>
              <w:rPr/>
            </w:pPr>
            <w:r>
              <w:rPr/>
              <w:t> </w:t>
            </w:r>
          </w:p>
        </w:tc>
        <w:tc>
          <w:tcPr>
            <w:tcW w:w="3984" w:type="dxa"/>
            <w:tcBorders/>
            <w:shd w:fill="CCEEFF" w:val="clear"/>
            <w:vAlign w:val="center"/>
          </w:tcPr>
          <w:p>
            <w:pPr>
              <w:pStyle w:val="TableContents"/>
              <w:bidi w:val="0"/>
              <w:spacing w:before="0" w:after="283"/>
              <w:jc w:val="center"/>
              <w:rPr>
                <w:sz w:val="20"/>
              </w:rPr>
            </w:pPr>
            <w:r>
              <w:rPr>
                <w:sz w:val="20"/>
              </w:rPr>
              <w:t>Air Box -Systems, devices, and/or methods for managing drone deliveries.</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 in U.S.</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01/17/2023</w:t>
            </w:r>
          </w:p>
        </w:tc>
        <w:tc>
          <w:tcPr>
            <w:tcW w:w="60"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center"/>
              <w:rPr>
                <w:sz w:val="20"/>
              </w:rPr>
            </w:pPr>
            <w:r>
              <w:rPr>
                <w:sz w:val="20"/>
              </w:rPr>
              <w:t>08/03/2038</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5"/>
        <w:gridCol w:w="195"/>
        <w:gridCol w:w="9905"/>
      </w:tblGrid>
      <w:tr>
        <w:trPr/>
        <w:tc>
          <w:tcPr>
            <w:tcW w:w="105"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195"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Anticipated expiration is the terminology used since maintenance fees are required to be paid to assure the full amount of twenty years. Management is not aware of any circumstances that would prevent the timely payment of the maintenance fees as they become due.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1"/>
        <w:gridCol w:w="181"/>
        <w:gridCol w:w="9933"/>
      </w:tblGrid>
      <w:tr>
        <w:trPr/>
        <w:tc>
          <w:tcPr>
            <w:tcW w:w="9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18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Maintenance fees are payments to keep the patents active (alive). These payments are made to the patenting agency for that country or nation. For example, in the U.S., the regulatory action and fees are made to the USPTO. For other countries, the payment of fees is commonly paid to the patent regulatory office, specific for each country, where the patent application was originally examined, approved, and issued. </w:t>
            </w:r>
          </w:p>
        </w:tc>
      </w:tr>
      <w:tr>
        <w:trPr/>
        <w:tc>
          <w:tcPr>
            <w:tcW w:w="9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18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regulatory maintenance fee (often called an annuity) is paid every year for most countries. However, for patents issued from the USPTO, the maintenance fee for each of the issued patent is due at 3 to 3.5 years, then at 7 to 7.5 years, and finally 11 to 11.5 years, respectively, after the date of issue with no early payment options. In the event of a late payment, there is a “six-month grace period” to reactivate a late, unintentional, missed payment of the fee, but a surcharge will be incurred during such grace period at 3.5 to 4 years, 7.5 to 8 years, and 11.5 to 12 years, respectively, after the date of issue. </w:t>
            </w:r>
          </w:p>
        </w:tc>
      </w:tr>
      <w:tr>
        <w:trPr/>
        <w:tc>
          <w:tcPr>
            <w:tcW w:w="9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181" w:type="dxa"/>
            <w:tcBorders/>
            <w:vAlign w:val="center"/>
          </w:tcPr>
          <w:p>
            <w:pPr>
              <w:pStyle w:val="TableContents"/>
              <w:bidi w:val="0"/>
              <w:spacing w:before="0" w:after="283"/>
              <w:jc w:val="both"/>
              <w:rPr>
                <w:caps w:val="false"/>
                <w:smallCaps w:val="false"/>
              </w:rPr>
            </w:pPr>
            <w:r>
              <w:rPr>
                <w:caps w:val="false"/>
                <w:smallCaps w:val="false"/>
              </w:rPr>
              <w:t xml:space="preserve">● </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be responsible for paying patent issue fee, maintenance fees, and annuity fees due on each patent granted, transferred, or licensed to it.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Arrive had 41 full-time employees. The Company also has approximately 10 part-time contract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public company, and our Annual Reports on Form 10-K, Quarterly Reports on Form 10-Q, Current Reports on Form 8-K and any amendments to such reports are filed with the SEC. We are subject to the informational requirements of the Exchange Act and file or furnish reports, proxy statements, and other information with the Securities and Exchange Commission (the “SEC”). Such reports and other information filed by us with the SEC will be available free of charge on our website at www.arriveai.com when such reports are available on the SEC’s website. The SEC maintains a website that contains reports, proxy and information statements, and other information that issuers file electronically with the SEC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Our website is </w:t>
      </w:r>
      <w:r>
        <w:rPr>
          <w:rFonts w:ascii="Times New Roman;Times;Serif" w:hAnsi="Times New Roman;Times;Serif"/>
          <w:b w:val="false"/>
          <w:i w:val="false"/>
          <w:caps w:val="false"/>
          <w:smallCaps w:val="false"/>
          <w:sz w:val="20"/>
          <w:u w:val="single"/>
        </w:rPr>
        <w:t>www.arriveai.com</w:t>
      </w:r>
      <w:r>
        <w:rPr>
          <w:rFonts w:ascii="Times New Roman;Times;Serif" w:hAnsi="Times New Roman;Times;Serif"/>
          <w:b w:val="false"/>
          <w:i w:val="false"/>
          <w:caps w:val="false"/>
          <w:smallCaps w:val="false"/>
          <w:sz w:val="20"/>
        </w:rPr>
        <w:t>, and we can be contacted at (463) 270-0092.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the websites referred to above are not incorporated into this filing. Further, our references to the URLs for these websites are intended to be inactive textual references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 w:name="a_003"/>
      <w:bookmarkEnd w:id="37"/>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common stock involves a high degree of risk. You should carefully consider the following risks, together with all other information contained in this Annual Report on Form 10-K, including our financial statements and related notes and “Management’s Discussion and Analysis of Financial Condition and Results of Operations.” If any of the following risks occur, our business, financial condition, results of operations, and prospects could be materially and adversely affected. In that event, the market price of our common stock could decline, and you could lose all or part of your investment. These risks are not the only ones we face. Additional risks and uncertainties not presently known to us or that we currently deem immaterial may also materially affect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principal risks that could adversely affect our business, financial condition, results of operations, and the market price of our common stock. This summary does not contain all of the information that may be important to you. You should read it together with the full discussion of each risk factor set forth below, as well as our financial statements and related notes and the other information contained in this Annual Report on Form 10-K.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Early-Stage Commercial Operations and Financial Condition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are an early-stage commercial company with a limited operating history and a history of losses.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have experienced negative operating cash flow and will require additional capital.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will need to raise substantial additional funds in the future, which funds may not be available or, if available, may not be available on acceptable terms.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Raising additional capital may directly or indirectly cause dilution to our existing stockholders or restrict our commercial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are highly dependent on our management team, and the loss of key personnel could materially adversely affect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insurance coverage may not adequately protect us against future operating risks.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accounting standards and subjective assumptions, estimates and judgments by management related to complex accounting matters could significantly affect our financial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development is a long, expensive and uncertain process.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Rapid technological changes may adversely affect the market acceptance of our products and services and could adversely affect our business, financial condition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may face competition from other Smart Mailbox for Automation companies, many of which have substantially greater resources.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 the drone and mobile robot automated delivery and pickup services do not experience significant growth, if we cannot create and expand our customer base, or if our products and these services do not achieve broad acceptance, then we may not be able to achieve our anticipated level of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 our marketing efforts are unsuccessful, we may not generate sufficient revenue to become profitable.</w:t>
            </w:r>
          </w:p>
        </w:tc>
      </w:tr>
    </w:tbl>
    <w:p>
      <w:pPr>
        <w:pStyle w:val="TextBody"/>
        <w:bidi w:val="0"/>
        <w:spacing w:before="0" w:after="0"/>
        <w:ind w:left="480" w:right="0" w:hanging="2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Streeterville Purchase Agreement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Triggering Events May Require Substantial Monthly Cash Repayments That Could Materially Impair Our Liquidity.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may not have access to the full $40 million commitment pursuant to the securities purchase agreement with Streeterville Capital,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Repayment mechanics could result in substantial dilution and downward pressure on our stock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Hedging or other market activities may adversely affect our stock price.</w:t>
            </w:r>
          </w:p>
        </w:tc>
      </w:tr>
    </w:tbl>
    <w:p>
      <w:pPr>
        <w:pStyle w:val="TextBody"/>
        <w:bidi w:val="0"/>
        <w:spacing w:before="0" w:after="0"/>
        <w:ind w:left="480" w:right="0" w:hanging="2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Intellectual Property and Related-Party Arrangements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business depends on intellectual property licensed from our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may become reliant on our intellectual property; failure to protect our intellectual property could negatively affect our business, financial condition or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may be forced to litigate to defend our intellectual property rights, or to defend against claims by third parties against us relating to intellectual property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companies may claim that we infringe their intellectual property, which could materially increase our costs and harm our ability to generate future revenue and profit.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engage in related-party transactions with our officers, directors or significant stockholders that may create actual or potential conflicts of interest.</w:t>
            </w:r>
          </w:p>
        </w:tc>
      </w:tr>
    </w:tbl>
    <w:p>
      <w:pPr>
        <w:pStyle w:val="TextBody"/>
        <w:bidi w:val="0"/>
        <w:spacing w:before="0" w:after="0"/>
        <w:ind w:left="480" w:right="0" w:hanging="2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Technology, AI Initiatives, and SaaS Platform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commercial operations will be exposed to the risk of rapid technological advancements in the development and deployment of our products, which could render our existing infrastructure obsolete and adversely impact our financial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adoption, use, and commercialization of AI technology, and the continued rapid pace of developments in the AI field, are inherently uncertain. Failure by our potential customers to continue to adopt infrastructure to support AI use cases in their systems, or our ability to keep up with evolving AI infrastructure requirements, could have a material adverse effect on our business, financial condition,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may not be successful in our artificial intelligence initiatives, which could adversely affect our business, reputation, or financial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may face a shortage of talent or professionals with the appropriate experience and training in AI technology.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SaaS model exposes us to recurring revenue risks.</w:t>
            </w:r>
          </w:p>
        </w:tc>
      </w:tr>
    </w:tbl>
    <w:p>
      <w:pPr>
        <w:pStyle w:val="TextBody"/>
        <w:bidi w:val="0"/>
        <w:spacing w:before="0" w:after="0"/>
        <w:ind w:left="480" w:right="0" w:hanging="2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Development and Quality Control Risks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significant failure or deterioration in our quality control systems could have a material adverse effect on our business and operating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may experience physical breaches of security at our facilities; any security breaches could result in loss of sensitive information as well as loss as a result of any such breach.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technology may contain third-party open-source software components, third-party commercial software, and proprietary software that we develop in-house. Failure to comply with the terms of these underlying software licenses could restrict our ability to provide our offered products and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Failures in internet infrastructure or interference with internet or Wi-Fi access could cause prospective users to believe that our systems are unreliable, potentially leading our customers to decline to renew their subscriptions.</w:t>
            </w:r>
          </w:p>
        </w:tc>
      </w:tr>
    </w:tbl>
    <w:p>
      <w:pPr>
        <w:pStyle w:val="TextBody"/>
        <w:bidi w:val="0"/>
        <w:spacing w:before="0" w:after="0"/>
        <w:ind w:left="480" w:right="0" w:hanging="2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Third Parties and Supply Chain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Company’s future performance depends in part on support from third-party software developers.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dependence on suppliers and service partners for the parts and components in our Arrive Points and for automation operational needs of our customers once we start conducting commercial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 we or our future third-party service providers experience a security breach, or if unauthorized parties otherwise obtain access to our potential customers’ data, our reputation may be harmed, demand for services may be reduced, and we may incur significant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certain of the components and services included in our products there may be a limited number of suppliers we can rely upon and if we are unable to obtain these components and services when needed we could experience delays in the manufacturing of our products and delivering our services, and our financial results could be adversely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may pursue strategic transactions in the future, which could be difficult to implement, disrupt our business or change our business profile significantly.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software platform may be at risk of unexpected technical failure due to the unavailability of third-party information and infrastructure services such as communications, data processing, compute, software as a service (“SaaS”), and other information and infrastructure services or technical issues with our third party dependent data and software platform.</w:t>
            </w:r>
          </w:p>
        </w:tc>
      </w:tr>
    </w:tbl>
    <w:p>
      <w:pPr>
        <w:pStyle w:val="TextBody"/>
        <w:bidi w:val="0"/>
        <w:spacing w:before="0" w:after="0"/>
        <w:ind w:left="480" w:right="0" w:hanging="2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Information Systems, Privacy and Cybersecurity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disruption of our information technology systems could impair our operations, harm our reputation, and have a material adverse effect on our business, financial condition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Cybersecurity threats and data breaches could result in unauthorized access to our systems and data, financial losses, reputational harm, legal liability, and disruption to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are subject to evolving and expanding privacy and data security laws and regulations. Compliance with these requirements is costly, and any failure to comply could result in material liability, regulatory penalties, and harm to our business.</w:t>
            </w:r>
          </w:p>
        </w:tc>
      </w:tr>
    </w:tbl>
    <w:p>
      <w:pPr>
        <w:pStyle w:val="TextBody"/>
        <w:bidi w:val="0"/>
        <w:spacing w:before="0" w:after="0"/>
        <w:ind w:left="480" w:right="0" w:hanging="2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Regulation and Compliance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in highly regulated businesses requires significant resources.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growth of our business will be subject to potential new and changing federal, state, and local laws and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support of automated delivery strategies and technologies by other companies using our smart mailboxes for automation is dependent upon our ability to successfully mitigate unique technological, operational, and regulatory risks.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will be subject to rapidly changing and increasingly stringent laws, regulations, industry standards, and other obligations relating to privacy, data protection, and data security. The restrictions and costs imposed by these requirements, or our actual or perceived failure to comply with them, could harm our business and commercial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and our future third-party suppliers must comply with environmental, health and safety laws and regulations, which can be expensive and restrict how we do, or interrupt,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future business partners and customers’ operation of drones and mobile robotics in work, campus, residential, suburban, and urban environments may be subject to regulation and operational risks, such as accidental collisions and transmission interference, which may limit demand for our smart mailbox service in such environments and harm our business and operating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Company is subject to ongoing litigation and may be subject to more including securities litigation, which is expensive and could divert management attention, including securities class action and derivative lawsuits which could result in substantial costs.</w:t>
            </w:r>
          </w:p>
        </w:tc>
      </w:tr>
    </w:tbl>
    <w:p>
      <w:pPr>
        <w:pStyle w:val="TextBody"/>
        <w:bidi w:val="0"/>
        <w:spacing w:before="0" w:after="0"/>
        <w:ind w:left="480" w:right="0" w:hanging="2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Public Company Status and Common Stock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public trading market may not continue to be liquid and the market price of our shares of common stock may be volatile.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may be diluted by future issuances of preferred stock or additional common stock in connection with our incentive plans, acquisitions or otherwise; future sales of such shares in the public market, or the expectations that such sales may occur, could lower our stock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Failure to maintain Nasdaq listing could harm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have identified material weaknesses in our internal control over financial reporting. If we are unable to remediate these material weaknesses or if we identify additional material weaknesses in the future, we may not be able to accurately or timely report our financial results, which could result in a loss of investor confidence and adversely affect our stock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There is substantial doubt about our ability to continue as a going concern. If we are unable to continue as a going concern, our stockholders would likely lose all or a substantial portion of their investment.</w:t>
            </w:r>
          </w:p>
        </w:tc>
      </w:tr>
    </w:tbl>
    <w:p>
      <w:pPr>
        <w:pStyle w:val="TextBody"/>
        <w:bidi w:val="0"/>
        <w:spacing w:before="0" w:after="0"/>
        <w:ind w:left="480" w:right="0" w:hanging="2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Economic and Geopolitical Risks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growth and financial health are subject to a number of economic risks including extreme volatility in securities prices.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ongoing conflict between Ukraine and Russia could adversely affect our business, consolidated financial condition,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Geopolitical conditions, including direct or indirect acts of war or terrorism, could have an adverse effect on our operations and financial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may be exposed to the effects of changing energy prices, and interruptions in supplies of this commodity.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Early-Stage Commercial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early-stage commercial company with a limited operating history and a history of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in 2020 and began generating limited commercial revenue in 2025. For the twelve months ending December 31, 2025, we reported $113,250 in revenue. For fiscal years prior to 2025, we generated no revenue. We have incurred significant operating losses since inception and expect to continue incurring losses as we expand product development, sales, marketing, compliance, and infrastructure. Our limited operating history makes it difficult to evaluate our business model, predict future performance, and assess the long-term viability of our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successfully scale our commercial operations, achieve sufficient market adoption, or generate sustainable revenue. If we fail to achieve profitability, the value of our business and our common stock could decline substantially. As a result of the foregoing, an investment in our common stock necessarily involves uncertainty about the stability of our operating results.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experienced negative operating cash flow and will require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historically generated negative operating cash flow and may continue to do so. We had negative operating cash flow of $(8,253,348) for the twelve months ended December 31, 2025, and $(2,289,273) for the twelve months ended December 31, 2024. As of December 31, 2025, the Company had $2,104,004 cash on hand to support an average cash burn rate of approximately $1,000,000 per month. As discussed in the going-concern risk factor below and Note 4 to the financial statements, there is substantial doubt about our ability to continue as a going concern. Our business plan requires substantial capital expenditures, including product development, regulatory compliance, commercialization, hiring, and infrastructure buildout. If we cannot raise capital on acceptable terms, or at all, we may be required to delay or scale back operations, which could materially adversely affect our business. There can be no assurance that we will be able to generate positive cash flow from our operations, that additional capital or other types of financing will be available when needed or that these financings will be on terms favorable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to raise substantial additional funds in the future, which funds may not be available or, if available, may not be available on acceptable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Changing circumstances may cause us to consume capital more rapidly than we currently anticipate. The continued growth of our business, including the development, regulatory approval and commercialization of our products, will significantly increase our expenses going forward, regardless of our ability to generate revenue. As a result, we are required to seek substantial additional funds to continue our business and scale our commercial operations. Our future capital requirements will depend on many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developing our products and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regulatory clearance or approvals;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commercializing our products and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 in our development priorities;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generated by sales of our products and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expanding our sales and marketing infrastructure for commercialization of our products and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 in our plans regarding the manner in which we choose to commercialize any product or service in the United States or internationally;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ongoing compliance with regulatory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we incur in connection with potential litigation or governmental investigations;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to develop additional intellectual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anticipated or unanticipated capital expenditures;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general and administrative expenses.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raise additional funds in the future to support our commercial operations. If we are required to secure additional financing, such additional fundraising efforts may divert our management from our day-to-day activities. If we are unable to raise additional capital in sufficient amounts or on terms acceptable to us, we may be prevented from carrying out our business plan. This would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capital may directly or indirectly cause dilution to our existing stockholders or restrict our commercial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additional capital through a variety of means, including through equity, debt financings, or other sources.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financing may also result in imposition of debt covenants, increased fixed payment obligations or other restrictions that may adversely affect our ability to conduct our business.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are not favorable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highly dependent on our management team, and the loss of key personnel could materially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heavily on the continued services of our senior management team, particularly our Chief Executive Officer, who has been instrumental in developing our intellectual property, capital raising efforts, strategic partnerships, and operational leadership. We compete for highly skilled personnel in artificial intelligence, robotics, automation systems, SaaS development, cybersecurity, and emerging technologies. Competition for such talent is intense, and compensation costs may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lose key personnel and are unable to replace them in a timely manner, our product development, customer relationships, strategic direction, and capital-raising efforts could suffer. Leadership transitions may also result in disruption, loss of institutional knowledge, reduced morale, and strategic uncertainty. The loss of the services of any senior executive or other key personnel, or the inability to recruit and retain qualified personnel in the future, could have a material adverse effect on our business, financial condition or results of operations. In addition, to attract and retain personnel with appropriate skills and knowledge to support our business, we may offer a variety of benefits, which could reduce our earnings or have a material adverse effect on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coverage may not adequately protect us against future operating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insurance coverage that we believe is customary for companies at our stage, including general liability and directors’ and officers’ insurance. However, our policies contain exclusions and coverage limits that may not fully protect us from claims relating to product liability, cybersecurity incidents, intellectual property disputes, regulatory investigations, workplace incidents, or other operational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Insurance coverage for emerging technology companies, including those operating in AI-enabled and automation-adjacent industries, may be expensive, limited, or unavailable. If we were to incur substantial liability and such damages were not covered by insurance or were in excess of policy limits, or if we were to incur such liability at a time when we are not able to obtain liability insurance, our business, results of operations and financial condition could be materially adversely affected. Additionally, the cost of insurance coverage may increase as our operations scale, and such increase may have a negative impact on our business and financial position. Our limited commercial operating history in an emerging area may make it difficult to obtain insurance policies at competitive rates. Insurance that is otherwise readily available, such as workers’ compensation, general liability, title insurance and directors’ and officers’ insurance, is more difficult for us to find and more expensive because of our involvement in emerging areas. There are no guarantees that we will be able to find insurance coverage at otherwise competitive, or even economically viable terms.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accounting standards and subjective assumptions, estimates and judgments by management related to complex accounting matters could significantly affect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principles generally accepted in the United States (“U.S. GAAP”) and related pronouncements, implementation guidelines and interpretations with regard to a wide variety of matters that are relevant to our business, such as, but not limited to, revenue recognition, stock-based compensation, trade promotions, and income taxes, are highly complex and involve many subjective assumptions, estimates and judgments by our management. Changes to these rules or their interpretation or changes in underlying assumptions, estimates or judgments by our management could significantly change our reported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development is a long, expensive and uncertain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 development process is a costly, complex and time-consuming process, and investments in product development often involve a long wait until a return, if any, can be achieved on such an investment. We might face difficulties or delays in the development process that will result in our inability to timely offer products that satisfy the market, which might allow competing companies offering similar products and services to emerge during the development and certification process. We anticipate making significant investments in research and development relating to our products and services, but such investments are inherently speculative and require substantial capital expenditures. Any unforeseen technical obstacles and challenges that we encounter in the research and development process could result in delays in or the abandonment of product commercialization, which may substantially increase development costs to be able to manufacture products and services which would be competitive and sustainable for our potential customers, and these potential costs may negatively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Rapid technological changes may adversely affect the market acceptance of our products and services and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Smart Mailbox for Automation (“SMA”) market is subject to technological changes, introduction of new products, change in customer demands and evolving industry standards. Our future success will depend upon our ability to keep pace with technological developments and to timely address the increasingly sophisticated needs of our customers by supporting existing and new technologies and by developing and introducing enhancements to our current products and new products in our future commercial operations. We may not be successful in developing and marketing our products in response to technological change, evolving industry standards or customer requirements. In addition, we may experience difficulties internally or in conjunction with key vendors and partners that could delay or prevent successful development, introduction and sale of our products. Our services may not adequately meet the requirements of the market and may not achieve any significant degree of market acceptance. If release dates of our new products or services are delayed or, if when released, they fail to achieve market acceptance, our business, operating results and financial condition may be adversely affected as we would incur additional costs associated with developing products that would effectively obtain market acceptance and demand, in addition to any other potential costs incurred to find viable alternatives in the event any of our future third party providers fail to keep up with the market demand for our potential products and services or become obsolete in the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competition from other Smart Mailbox for Automation companies, many of which have substantially greater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SMA industry is evolving rapidly and is highly competitive. There are many Smart Lockerbox and Smart Mailbox companies. What largely distinguishes our offerings is our focus and patents for Smart Mailboxes that support Automation, like drones and mobile robotics, in the delivery and pickup from our mailboxes. Our direct competitors include, but are not limited to, Matternet, and Valqari. Carriers like FedEx and UPS and retailers like Walmart and CVS have automation efforts underway as well but they are prospective customers for us. Some of these competitive firms have substantially greater financial, management, research and marketing resources than we have. Our Smart Mailbox for Automation business may also face competition from smaller businesses. Our competitors may be able to provide customers with different or greater capabilities or benefits than we can provide in areas such as technical qualifications, past contract performance, geographic presence, price and the availability of key professional personnel, including those with security clearances. Furthermore, our competitors may be able to utilize their substantially greater resources and economies of scale to develop competing products, services, and technologies more efficiently, divert sales away from us by winning broader contracts, or hire away our employees by offering more lucrative compensation packages. The market for drone and robotic delivery is expanding, and competition is intensifying, which both provides an opportunity for our Smart Mailboxes but also may create additional competitors to enter the market, and current competitors expand their product and service lines. In order to secure contracts successfully when competing with larger, well-financed companies, we may be forced to agree to contractual terms that provide for lower aggregate payments to us over the life of our future contracts, which could adversely affect our margins as we scale our commercial operations. In addition, larger diversified competitors serving as prime contractors may be able to supply underlying products and services from affiliated entities, which would prevent us from competing for subcontracting opportunities on these contracts. Our failure to compete effectively with respect to any of these or other factors could have a material adverse effect on our business, prospects, financial condition or operating results.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drone and mobile robot automated delivery and pickup services do not experience significant growth, if we cannot create and expand our customer base, or if our products and these services do not achieve broad acceptance, then we may not be able to achieve our anticipated level of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accurately predict the future growth rates or sizes of the markets for our products and future services. Demand for our products and services may not increase, or may decrease, either generally or in specific markets, for particular types of products and services or during particular time periods. We believe the SMA, drone, and mobile robotics markets for automated delivery and pickup are all nascent, and we cannot assure you that our continued efforts to further increase our sales to customers will be successful. The expansion of these markets in general, and the market for our products and services in particular, depends on a number of factors, including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satisfaction with drone delivery and pickup as an alternative solution;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satisfaction with mobile robotic delivery and pickup as an alternative solution;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technologically reduce the friction of handoffs between people, robots, and drones;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performance and reliability of our products and products offered by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perceptions regarding the effectiveness and value of our system and its inter-operability with drone, robotic, and customers’ business and operational systems;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timely automation regulatory approvals, including: access to airspace and wireless spectrum;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efforts and publicity regarding these types of systems and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and services, and our automation partners’ products and services, may not adequately address market requirements and may not continue to gain market acceptance. If these types of systems generally, or our products and services specifically, do not gain wide market acceptance, then we may not be able to achieve our anticipated level of growth, and our revenue and results of operations would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marketing efforts are unsuccessful, we may not generate sufficient revenue to become 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depends on our gaining market acceptance and regular production orders for our products and services. We plan to bring our technology and services to market with an initial focused market target of medical operations such as: hospitals, labs, clinics, doctors, pharmacies, and large assisted living businesses, which will then further expand to other market segments as we aim to eventually achieve ubiquity and business and residential density necessary for a future of pervasive automated logistics for everyone; we will use methods initially such as direct sales; automation partners as channel sales, tradeshows, publicized innovation research and projects with bellwether customers, white-papers, and targeted digital marketing campaigns and organic (search engine optimization, blogs). In the event we are not successful in obtaining a significant volume of early strategic innovation customers’ orders for our products and services, then we will face significant obstacles in expanding our business into an early adopters and mainstream market where the majority of future revenue would come from. We cannot give any assurance that our marketing efforts will be successful. If they are not, revenue may not be sufficient to cover our fixed costs and we may not become 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Streeterville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Triggering Events May Require Substantial Monthly Cash Repayments That Could Materially Impair Our Liquidity</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Pre-paid Purchase Agreements with Streeterville Capital, LLC, certain triggering events may obligate the Company to make mandatory monthly cash repayments of $550,000 under Pre-paid purchase agreement 1, $550,000 under Pre-paid purchase agreement 2, $412,500 under Pre-paid purchase #3, and $1,375,000 under Pre-paid purchase #4, for a total of $2,887,500, plus all accrued and unpaid interest, beginning as soon as three Trading Days after the applicable trigger date. These triggering events include: (i) our volume weighted average price (VWAP) falling below the Floor Price of $0.25 per share for at least five Trading Days within any seven consecutive Trading Day period (a “Floor Price Trigger”), or (ii) our issuance of 90% or more of the Common Shares available under the applicable Exchange Cap (an “Exchange Cap Trigger”). There can be no assurance that our stock price will remain above the Floor Price or that we will not approach the Exchange Cap limit. If either triggering event occurs, we may be required to make substantial recurring cash payments that we may be unable to fund from existing cash reserves or operations, which could force us to seek additional financing on unfavorable terms, curtail business operations, or otherwise materially and adversely affect our financial condition and liquidity. While these repayment obligations may cease if our VWAP subsequently exceeds 120% of the Floor Price for five consecutive Trading Days (in the case of a Floor Price Trigger) or the Exchange Cap no longer applies (in the case of an Exchange Cap Trigger), there is no guarantee that either relief condition will occur in a timely manner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have access to the full $40 million commitment pursuant to the securities purchase agreement with Streeterville Capital,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2025, we entered into a securities purchase agreement with Streeterville Capital, LLC pursuant to which Streeterville committed, subject to conditions, to purchase up to $40 million of our common stock through Pre-Paid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Streeterville’s obligation to fund Pre-Paid Purchases is subject to conditions, including that our market capitalization meet specified thresholds (including a $100 million minimum), that an effective registration statement be available for resale of shares, that our book value meets a specified threshold ($4 million), a limitation on total outstanding indebtedness and that other customary conditions be satisfied. If we do not satisfy these conditions, we may not have access to committed capital when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Streeterville’s beneficial ownership is subject to a 9.99% limitation, which may limit the number of shares issuable at a given time and restrict our access to funds.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Repayment mechanics could result in substantial dilution and downward pressure on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Streeterville has discretion to receive repayment of Pre-Paid Purchases in shares of common stock. Under certain circumstances, including events of default or specified market conditions, shares may be issued pursuant to a formula with a floor as low as $0.25 per share. If our stock price declines or we trigger certain conditions, we may be required to issue a significantly larger number of shares, resulting in substantial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issuable under the Streeterville Purchase Agreement may exceed currently registered amounts, and additional shares may need to be registered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Hedging or other market activities may adversely affect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Streeterville or its counterparties may engage in hedging or other transactions involving our common stock. Such activities, whether or not intended to reduce risk exposure, may create downward pressure on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Intellectual Property and Related-Party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on intellectual property licensed from our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patents licensed pursuant to our Exclusive Patent License Agreement. If we materially breach the Exclusive Patent License Agreement and fail to cure such breach timely and to Mr. O’Toole’s satisfaction, such license agreement will transition to a non-exclusive license agreement, and our business operation may be adversely affected or even essentially terminated. In the event that we are sixty (60) days late in any payment after it becomes due, or materially default in performing any of the other terms under the Exclusive Patent License Agreement otherwise, Mr. O’Toole has the right to give us a notice of such default and to ultimately transition to a non-exclusive license agreement if we fail to cure such default within sixty (60) days after such notice to Mr. O’Toole’s satisfaction. In the event that Mr. O’Toole terminates the Exclusive Patent License Agreement, our business would be adversely affected and we may essentially terminate some or all of our operations. If that occurs, investors could potentially lose a portion of or even the entire amount of their investment in our Company. In the second amendment executed on March 10, 2025, Mr. O’Toole also agreed that the Company could engage in the use, sale or other commercialization of the technologies otherwise licensed to us and we could sell related products with other technology agreements, provided however, the sale of remaining Mr. O’Toole’s-based inventory sold by Arrive AI may continue for up to 90 days post-termination of the O’Toole’s technology-based products. Because the licensor is our Chief Executive Officer, termination or dispute under the agreement could create additional operational and governance complications.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reliant on our intellectual property; failure to protect our intellectual property could negatively affect our business, financial condition or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will depend in part on our ability to use and develop new technologies that are accepted by the market in which we plan to operate. We may be vulnerable to competitors who develop competing technology, whether independently or as a result of acquiring access to the proprietary products and trade secrets of acquired businesses. In addition, effective future patent, copyright and trade secret protection may be unavailable or limited in the U.S. Our patents are usually protected for a term of twenty years, but in the event we fail to adequately maintain them, for example, a late payment of the maintenance fees due, we can face surcharges or even suspension of those patents. Failure to adequately maintain and enhance protection over our proprietary techniques and processes, as well as over our unregistered intellectual property, including policies, procedures and training manuals, could have a material adverse effect on our business, financial condition or results of operations, if any such cost or additional expense related to finding a viable solution to protect our intellectual property is high and our expected income is not sufficient to cover such potential cost or expense.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forced to litigate to defend our intellectual property rights, or to defend against claims by third parties against us relating to intellectual property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forced to litigate, to enforce or defend our intellectual property rights, to protect our trade secrets or to determine the validity and scope of other parties’ proprietary rights. Any such litigation could be very costly and could distract our management from focusing on operating our business. The existence and/or outcome of any such litigation could harm our business and commercial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companies may claim that we infringe their intellectual property, which could materially increase our costs and harm our ability to generate future revenue and profit.</w:t>
      </w:r>
    </w:p>
    <w:p>
      <w:pPr>
        <w:pStyle w:val="TextBody"/>
        <w:bidi w:val="0"/>
        <w:jc w:val="both"/>
        <w:rPr>
          <w:caps w:val="false"/>
          <w:smallCaps w:val="false"/>
        </w:rPr>
      </w:pPr>
      <w:r>
        <w:rPr>
          <w:caps w:val="false"/>
          <w:smallCaps w:val="false"/>
        </w:rPr>
        <w:t> </w:t>
      </w:r>
    </w:p>
    <w:p>
      <w:pPr>
        <w:pStyle w:val="TextBody"/>
        <w:bidi w:val="0"/>
        <w:jc w:val="both"/>
        <w:rPr/>
      </w:pPr>
      <w:r>
        <w:rPr/>
        <w:t>We do not believe that our technologies will infringe on the proprietary rights of any third party but claims of infringement are becoming increasingly common and third parties may assert infringement claims against us. It may be difficult or impossible to identify, prior to receipt of notice from a third party, the trade secrets, patent position or other intellectual property rights of a third party, either in the United States or in foreign jurisdictions. Any such assertion may result in litigation or may require us to obtain a license for the intellectual property rights of third parties. If we are required to obtain licenses to use any third-party technology, we would have to pay royalties, which may significantly reduce any profit on our products and the services we plan to offer to our potential customers. In addition, any such litigation could be expensive and disruptive to our ability to generate revenue or enter into new market opportunities. If any of our products or services were found to infringe other parties’ proprietary rights and we are unable to come to terms regarding a license with such parties, we may be forced to modify our products to make them non-infringing or to cease production of such products altogether.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engage in related-party transactions with our officers, directors or significant stockholders that may create actual or potential conflicts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related-party arrangements, including intellectual property licensing and facility leasing. We may decide to make investments in one or more businesses affiliated with our officers, directors or significant stockholders. Such investment opportunities may compete with other opportunities for our investment dollars. Although we will not specifically focus on, or target, any particular transaction with any affiliates or affiliated entities, we would pursue such a transaction if we determined that such an affiliated investment was attractive from a risk-adjusted return perspective, and such transaction were approved by a majority of our independent and disinterested directors. Any such activity would involve actual or potential conflicts of interest. Although we are confident that we can navigate these conflicts consistent with best practices and applicable law, the existence or appearance of such conflicts of interest could make our publicly traded securities less attractive and thereby reduce their trading prices.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Technology, AI Initiatives, and SaaS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commercial operations will be exposed to the risk of rapid technological advancements in the development and deployment of our products, which could render our existing infrastructure obsolete and adversely impact our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is characterized by rapid technological change, with companies continually developing and deploying new equipment and techniques to enhance computational efficiency and reduce energy consumption. These advancements may outpace our ability to adapt, maintain, and upgrade our equipment, thereby negatively affecting our competitive position and operational efficiency. As a result, we may be required to make significant capital investments to acquire and implement new technology to maintain our competitiveness. If we are unable to anticipate or adapt to such advancements, or if we fail to allocate our resources efficiently, we may be forced to rely on outdated equipment that becomes increasingly inefficient and expensive to maintain. Additionally, there is a risk that our competitors, who may have greater financial resources and flexibility, will be better positioned to adopt emerging technologies and gain a competitive advantage. This could result in a decline in our market share, revenue, and profitability. Inability to manage these risks could have a material adverse effect on our business,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adoption, use, and commercialization of AI technology, and the continued rapid pace of developments in the AI field, are inherently uncertain. Failure by our potential customers to continue to adopt infrastructure to support AI use cases in their systems, or our ability to keep up with evolving AI infrastructure requirements,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growth strategy, we seek to attract and acquire customers focused on AI. We foresee emerging demand from companies that are dedicated to providing infrastructure for AI use cases, AI-dedicated data centers, and larger enterprises, as they begin to build systems to meet their unique requirements. However, AI has been developing at a rapid pace, and continues to evolve and change. If we are unable to keep up with the changing AI landscape or in developing products to meet our customers’ evolving AI needs, or if the AI landscape does not develop to the extent we or our customers expect, our business, and financial results may be adversely impacted. Additionally, our efforts in developing new AI infrastructure technology solutions are inherently risky and may not always succeed. We may incur significant costs and expect significant delays in developing new products or new generations of existing products to adapt to the changing AI landscape, and may not achieve a return on investment or capitalize on the opportunities presented by demand for AI solutions. Moreover, while AI-adoption is likely to continue and may accelerate, the long-term trajectory of this technological trend is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successful in our artificial intelligence initiatives, which could adversely affect our business, reputation, or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of generative artificial intelligence (“AI”) technologies is complex, and there are technical challenges associated with achieving the desired level of accuracy, efficiency, and reliability. The algorithms and models utilized in generative AI systems may have limitations, including biases, errors, or inability to handle certain data types or scenarios. Furthermore, there is a risk of system failures, disruptions, or vulnerabilities that could compromise the integrity, security, or privacy of the generated content. These limitations or failures could result in reputational damage, legal liabilities, or loss of user confidence.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make investments in AI initiatives, including generative AI, to, among other things, develop new products, and develop new features for existing products. There are significant risks involved in development and deploying AI and there can be no assurance that the usage of AI will enhance our products or services or be beneficial to our business, including our efficiency or profitability. For example, our AI-related efforts may give rise to risks related to accuracy, intellectual property infringement or misappropriation, data privacy, and cybersecurity, among others. In addition, these risks include the possibility of new or enhanced governmental or regulatory scrutiny, litigation, or other legal liability, ethical concerns, negative consumer perceptions as to automation and AI, or other complications that could adversely affect our business, reputation, or financial results. Further, we face significant competition from other companies that are developing their own AI products and technologies. Those other companies may develop AI products and technologies that are similar or superior to our technologies or are more cost-effective to develop and deploy. We cannot guarantee that third parties will not use such AI technologies for improper purposes, including through the dissemination of inaccurate content, intellectual property infringement or misappropriation, furthering cybersecurity attacks, data privacy violations, or to develop competing technologies. As such, it is not possible to predict all of the risks related to the use of AI and changes in laws, rules, directives, and regulations governing the use of AI may adversely affect our ability to develop and use AI or subject us to legal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a shortage of talent or professionals with the appropriate experience and training in AI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companies face intense competition for skilled data scientists, machine learning engineers, and AI researchers. A shortage of qualified talent could hinder our product development, delay innovation, or raise our labor costs significantly. Like many AI companies, we may be highly dependent on the expertise of a few key individuals who are critical to our intellectual property and model development. Losing these individuals could significantly impact the company’s competitive 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SaaS model exposes us to recurring revenue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Mailbox-as-a-Service model depends on customer adoption, subscription renewals, and predictable recurring revenue. Customer churn, pricing pressure, service outages, or inability to forecast accurately could materially affect results. We rely on third-party cloud providers, and disruptions or pricing changes by such providers could adversely impact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Development and Quality Control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failure or deterioration in our quality control systems could have a material adverse effect on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quality and safety of our products and services will be critical to the success of our business and future commercial operations. As such, it is imperative that our and our future service providers’ quality control systems operate effectively and successfully. Quality control systems can be negatively impacted by the design of the quality control systems, the quality training programs and adherence by employees to quality control guidelines. Although we strive to ensure that all of our service providers have implemented and adhere to high-quality control systems, any significant failure or deterioration of such quality control systems could have a material adverse effect on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offer complex hardware and software products and services that can be affected by design and manufacturing defects. Sophisticated operating system software and applications, such as those to be offered by the Company, often have issues that can unexpectedly interfere with the intended operation of hardware or software products. Defects can also exist in components and products the Company will purchase from third parties. Component defects could make the Company’s products unsafe and create a risk of environmental or property damage and personal injury. In addition, the Company’s service offerings could have quality issues and may from time to time experience outages, service slowdowns or errors. As a result, the Company’s services may from time to time not perform as anticipated and may not meet customer expectations. There can be no assurance the Company will be able to detect and fix all issues and defects in the hardware, software and services it offers. Failure to do so can result in widespread technical and performance issues affecting the Company’s future products and services. In addition, the Company can be exposed to product liability claims, recalls, product replacements or modifications, write-offs of inventory, property, plant and equipment, and/or intangible assets, and significant warranty and other expenses, including litigation costs and regulatory fines. Quality problems can also adversely affect the experience for users of the Company’s products and services, and result in harm to the Company’s reputation, loss of competitive advantage, poor market acceptance, reduced demand for products and services, delay in new product and service introductions and lost sales.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Rectifying product defects can incur substantial costs, and identifying suitable remedies may prove difficult. Moreover, errors or defects could result in financial damage to our customers, potentially leading to litigation. Product liability lawsuits, regardless of the outcome, may entail significant time and expenses for defense.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experience physical breaches of security at our facilities, any security breaches could result in loss of sensitive information as well as loss as a result of any such breach.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physical security breach at one of our facilities could result in a significant loss of available products, expose us to additional liability under applicable regulations and to potentially costly litigation or increase expenses relating to the resolution and future prevention of these breaches and may deter potential customers from choosing our products and services, any of which could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technology may contain third-party open-source software components, third-party commercial software, and proprietary software that we develop in-house. Failure to comply with the terms of these underlying software licenses could restrict our ability to provide our offered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use a combination of software modules licensed to us by third-party authors under “open source” licenses, third-party commercial software, and internally developed code in our platform. Although open-source software provides flexibility and cost advantages, use and distribution of open-source software may entail greater risks than use of third-party commercial software. Open-source licensors generally do not provide support, warranties, indemnification, or other contractual protections regarding infringement claims or the quality of the code. In addition, the public availability of such open-source code may make it easier for others to compromise our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open-source licenses contain requirements that we make available the source code for any modifications or derivative works we create using that open-source software, or that we grant other licenses to our intellectual property. If we combine our proprietary code with open-source software in certain ways, we could, under specific open-source licenses, be required to release the source code of our proprietary software to the public. Such disclosure could allow competitors to develop similar offerings with less development effort or time, resulting in a potential loss of our competitive advantages. Alternatively, to avoid the public release of the affected portions of our source code, we could be required to expend substantial time and resources to re-engineer some or all of our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monitor our use of open-source software to avoid subjecting our technology to conditions we do not intend, the terms of many open-source licenses have not been interpreted by U.S. or foreign courts. As a result, there is a risk these licenses could be construed in ways that impose unanticipated conditions or restrictions on our ability to provide or distribute our technology. From time to time, companies that incorporate open-source software into their solutions have faced claims challenging the ownership of that software. Consequently, we could be subject to lawsuits by parties claiming ownership of what we believe to be open-source software.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we cannot assure you that our processes for controlling our use of all third-party and open-source software in our technology will be effective. If we are found to have breached or failed to comply fully with the terms and conditions of an open-source or commercial software license, we could face infringement or other liability. We might also be required to seek costly licenses from third parties on terms that are not economically feasible, to re-engineer our technology, to discontinue or delay the provision of our offerings if re-engineering could not be accomplished on a timely basis, or to make generally available-in source code form-our proprietary code. Any of these outcomes could adversely affect our business, financial condition, and results of operations, and could cause the value of our securities to decline or become worthless.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Failures in internet infrastructure or interference with internet or Wi-Fi access could cause prospective users to believe that our systems are unreliable, potentially leading our customers to decline to renew their subscriptions.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depends on our users’ internet access. Increasing numbers of users on our platform and increasing bandwidth requirements may degrade the performance of our products or platform due to capacity constraints and other internet infrastructure limitations. If internet service providers and other third parties providing internet services have outages or deteriorations in their quality of service, our users may not have access to our platform or may experience a decrease in the quality of our products. Furthermore, as the rate of adoption of new technologies increases, the networks our platform relies on may not be able to sufficiently adapt to any increased demand for our products. Frequent or persistent interruptions, including those from increased AI-driven demand or other capacity constraints, could cause prospective users to believe that our platform is unreliable, leading them to switch to any competitors, which could materially adversely affect our business, financial condition, results of operations, and prospects. Users who access our platform must have an internet or Wi-Fi connection to use our products. Currently, this access is provided by a limited number of companies. These providers could take measures that degrade, disrupt, or increase the cost of user access to third-party services, including our platform, by charging increased fees to third parties or the users of third-party services, any of which would make our platform less attractive to customers and reduce our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Information Systems, Privacy and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disruption of our information technology systems could impair our operations, harm our reputation, and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technology systems are critical to every aspect of our business. We use a variety of technology systems to collect, process, transmit and store significant amounts of confidential information relating to our customers, employees, business operations, plans and strategies, and to manage our customer relationships and general ledger. Our computer systems, data management processes and internal controls, as well as those of our third-party service providers, are integral to our operational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IT systems may be disrupted by a wide range of events, including equipment failures, power outages, shutdowns, human errors, natural disasters, damaging weather events, public health crises such as pandemics or epidemics, civil unrest, terrorism, workplace violence, or other events outside our control. We may also experience disruptions during the implementation, upgrade or subsequent operation of new IT systems, including as we work to integrate or support legacy systems. Upgrades to our IT systems may be expensive undertakings, may not succeed, or may be abandoned entirely. If upgraded or replacement systems fail to operate as intended or are unable to support our growth, our business operations could be severely disrupted and we could be required to make significant additional expenditures to remedy any such failure. Disruptions experienced by our suppliers, subcontractors, service providers and customers could similarly impair our ability to deliver services. The impact of any such disruptions is difficult to predict but could lead to operational delays, diversion of management attention and resources, loss of customers, or other detrimental impacts on our operations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IT systems may be susceptible to disruption from physical security threats to our facilities and personnel. Any breach of the physical security of our premises could result in loss of equipment, exposure of confidential data, and reputational harm, as well as potential regulatory liability. Insurance coverage may not be available for losses resulting from IT disruptions, or where available, such losses may exceed applicable policy limits.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threats and data breaches could result in unauthorized access to our systems and data, financial losses, reputational harm, legal liability, and disruption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and evolving cybersecurity risks. In the ordinary course of our business, we collect and store sensitive data, including proprietary business information, intellectual property, and personally identifiable information (“PII”) of our customers and employees. We also use computer systems embedded in our products and services. This data and these systems are subject to the risk of unauthorized access, modification, exfiltration, destruction, or denial of access from a broad range of actors and methods, including computer viruses, malicious or destructive code, phishing and social engineering attacks, ransomware, crypto mining attacks, denial-of-service attacks, supply chain compromises of third-party systems and software, and other security breaches. Cybersecurity threats can originate from uncoordinated individual actors, organized criminal groups, and sophisticated state-sponsored organizations deploying advanced persistent threats. Because the techniques used to cause security breaches change frequently and often are not identified until after they have been launched, we may be unable to proactively address emerging threats or implement adequate preventive measures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rely on third-party providers, including cloud storage and infrastructure providers, whose security practices we do not directly control. We may provide confidential, proprietary and personal information to these third parties when necessary to pursue business objectives. Although we seek assurances from such providers and, where appropriate, monitor their security practices, the confidentiality of data held or processed by third parties may be compromised despite those efforts. The risk extends to the subcontractors and vendors those providers in turn engage.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misconduct or error represents a further source of risk. Our systems and the confidential information stored on them may be compromised by improper employee actions, carelessness in the handling of sensitive data, or inadvertent disclosure of PII to unintended recipients. In addition, errors or biases in our machine learning and AI models could affect the integrity of operational data and metrics we use to manage our business. If our performance metrics prove inaccurate or our algorithms produce unreliable outputs, our understanding of our business performance could be materially impaired, which could harm our longer-term strategy and financial results.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cybersecurity incident could result in one or more of the following: unauthorized access to, disclosure, modification, misuse, loss, or destruction of company, customer, or third-party data or systems; theft of sensitive, regulated, or confidential data including personal information and intellectual property; the loss of access to critical data or systems through ransomware or other destructive means; business delays, service disruptions, or denials of service; reputational damage and loss of customer confidence; litigation with third parties; regulatory investigations, penalties and fines; and increased costs of cybersecurity protection and remediation. Data breaches occur across companies of all sizes and levels of sophistication, including companies with far greater resources and security measures than our own. The aftermath of a breach can be costly, time-consuming and damaging to our reputation, regardless of the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experienced any cyber-attacks or other cybersecurity incidents that, individually or in the aggregate, have resulted in a material adverse effect on our business, operating results or financial condition. However, as cybersecurity threats continue to evolve and grow in sophistication, we may be required to devote additional resources to develop, implement and maintain protective measures, which could have a material adverse effect on our business, financial condition or results of operations. The potential liabilities associated with a material incident could exceed the insurance coverage we maintain.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evolving and expanding privacy and data security laws and regulations. Compliance with these requirements is costly, and any failure to comply could result in material liability, regulatory penalties, and harm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collect, store, use, transmit and otherwise process significant amounts of personally identifiable information (“PII”) and other sensitive data through our platform and smart mailbox network. Privacy and data security have become significant regulatory and commercial issues, and the legal framework governing the handling of personal information continues to expand and evolve rapidly at the federal, state and international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the Federal Trade Commission and state regulators enforce data privacy obligations as unfair or deceptive acts or practices under the Federal Trade Commission Act and analogous state laws. At the state level, the California Consumer Privacy Act of 2018 (the “CCPA”), as amended and expanded by the California Privacy Rights Act of 2020 (the “CPRA”, effective January 1, 2023), imposes significant obligations on covered businesses, including requirements to disclose data collection, use and sharing practices; respond to consumer requests to access, delete, correct or opt out of certain uses of their personal information; and enter into specific contractual provisions with service providers that process California resident data. The CPRA also restricts the retention of personal information, expands the types of data breaches subject to private rights of action, increases penalties for violations involving consumers under the age of 16, and established the California Privacy Protection Agency to administer and enforce the law. Aspects of the CCPA and CPRA and their interpretation and enforcement remain uncertain and subject to ongoing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growing number of other states have enacted or are enacting comprehensive privacy legislation that may apply to our business, including Virginia’s Consumer Data Protection Act, Colorado’s Privacy Act, and laws in numerous additional states, each of which may differ from the CCPA and CPRA in scope, definitions, individual rights, and enforcement mechanisms. All U.S. states and the District of Columbia have enacted data breach notification laws that may require us to notify customers, employees, regulators or the public in the event of unauthorized access to or disclosure of personal or confidential information experienced by us or our service providers. These notification obligations vary by state, are subject to frequent amendment, and compliance following a widespread breach may be complex and costly. In addition to government regulation, privacy advocates and industry groups have proposed, and may continue to propose, self-regulatory standards that may legally or contractually apply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expand our operations internationally, we may become subject to additional data protection requirements in the jurisdictions in which we operate or have customers, including the General Data Protection Regulation 2016/679 (the “GDPR”) and the UK General Data Protection Regulation and Data Protection Act of 2018 in Europe, as well as comparable laws in other jurisdictions. These international requirements can be more restrictive and rigorous than U.S. standards, may impose significant penalties, and may impose additional obligations on the cross-border transfer of personal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compliance with applicable privacy and data security laws and regulations are significant and require ongoing management attention. Failure or perceived failure to comply with any applicable requirement could result in regulatory inquiries, investigations, proceedings or enforcement actions by governmental entities; civil litigation, including class action lawsuits, which may seek statutory damages and could result in significant monetary judgments; fines and civil or criminal penalties; demands that we modify or cease existing business practices; restrictions on our ability to operate in certain jurisdictions or offer certain products or services; negative publicity; and erosion of customer and investor trust. Even in the absence of actual non-compliance, the perception of inadequate data protection practices could reduce demand for our products and services and harm our competitive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maintenance of the systems, controls and processes necessary to satisfy these requirements is costly and requires continuous monitoring and updating as applicable laws evolve and as efforts to circumvent security measures grow more sophisticated. Our third-party vendors and service providers process data on our behalf and have access to our information systems, and we may be held responsible for their failures. Although we seek contractual protections from our service providers, those protections may not be sufficient to fully protect us from liability arising from a breach or compliance failure by a third party. Despite our efforts, the possibility of a data breach, privacy violation, or compliance failure cannot be eliminated entirely, and any such event could have a material adverse effect on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Regulation and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in highly regulated businesses requires significant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highly regulated businesses. As a result, we expect a significant amount of our management’s time and external resources to be used to comply with the laws, regulations and guidelines that impact our business, and changes thereto, and such compliance may place a significant burden on our management and other resources. Additionally, we may be subject to a variety of local laws, regulations and guidelines in each of the jurisdictions in which we plan to operate, which may differ among these various jurisdictions. Complying with multiple regulatory regimes will require additional resources and may impair our ability to expand into certain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growth of our business will be subject to potential new and changing federal, state, and local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majority of regulations directly affect our potential third-party service providers, such regulations may also ultimately affect our business as our third-party service providers may not be able to comply or may incur additional costs in order to be in compliance with such regulations, which in turn would result in additional expenses for our Company. Additionally, changes in applicable federal, state, and local regulations, including zoning restrictions, environmental requirements, Federal Aviation Administration (the “FAA”) and the Federal Communications Commission (the “FCC”) compliance, security requirements, or permitting requirements and fees, could restrict the products and services we may offer or impose additional compliance costs on us. Violations of applicable laws, or allegations of such violations, could disrupt our future business and result in a material adverse effect on our commercial operations and financial results. We cannot predict the nature of any future laws, regulations, interpretations or applications, including local, state or federal, and it is possible that regulations may be enacted in the future that will be materially adverse to our business or which would have materially significant costs of compliance which could negatively impact our business and commercial operations.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support of automated delivery strategies and technologies by other companies using our smart mailboxes for automation, is dependent upon our ability to successfully mitigate unique technological, operational, and regulatory risks.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Automated and autonomous delivery and pickup are new and evolving capabilities and markets, which makes it difficult to predict their acceptance, growth, the magnitude and timing of necessary investments, and other trends. This aspect of our business strategy and our partners’ and customers’ strategies who utilize our SMA services may be subject to a variety of risks inherent with the development of new technologies, including the ability to continue to develop automated and autonomous delivery and pickup software and hardware; access to sufficient capital; our ability to develop and maintain necessary partnerships; risks related to the manufacture of automated and autonomous devices; and significant competition from other companies, some of which may have more resources and capital to devote to automated and autonomous delivery and pickup technologies than we do. In addition, we may face risks related to the commercial deployment of our SMA technology and services and associated automated and autonomous delivery and pickup devices on our targeted timeline or at all, including consumer acceptance; achievement of adequate safety and other performance standards; and compliance with uncertain, evolving, and potentially conflicting federal and state regulations. To the extent accidents, cybersecurity breaches, or other adverse events associated with our autonomous delivery devices occur, we could be subject to liability, government scrutiny, further regulation, and reputational damage. Any of the foregoing could adversely impact our results of operations, financial condition, and growth prospects.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subject to rapidly changing and increasingly stringent laws, regulations, industry standards, and other obligations relating to privacy, data protection, and data security. The restrictions and costs imposed by these requirements, or our actual or perceived failure to comply with them, could harm our business and commercial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collecting, using, and disclosing personal information of customers, personnel, business contacts, and others in the course of operating our business. These activities will or may become regulated by a variety of domestic and foreign laws and regulations relating to privacy, data protection, and data security, which are complex, rapidly evolving, and increasingly stringent.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legislatures have begun to adopt comprehensive privacy laws. For example, the California Consumer Privacy Act of 2018, which took effect on January 1, 2020, gives California residents expanded rights related to their personal information, including the right to access and delete their personal information, and receive detailed information about how their personal information is used and shared. Similar laws have been passed or been proposed in other states and at the federal level, reflecting a trend toward more stringent privacy legislation in the United States. The enactment of such laws could have potentially conflicting requirements that would make compliance challenging.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 our early market focus involving placing our products and providing services to medical facilities, we must also comply with the Health Insurance Portability and Accountability Act (HIPAA) if we handle protected health information (PHI) in the course of our commercial business operations. HIPAA imposes strict requirements for the use, disclosure, and safeguarding of PHI, including specific administrative, physical, and technical safeguards to protect the confidentiality, integrity, and availability of PHI. Failure to comply with HIPAA can result in severe penalties, including substantial fines and even criminal charges. Therefore, we may need to take appropriate measures to ensure our HIPAA compliance and protect the privacy and security of PHI in our possession. Any non-compliance with HIPAA could result in regulatory action, loss of customer trust, negative publicity, and financial damage.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the services we provide to our customers involve the processing, storage, or transmission of their data, and we may be required to comply with certain industry standards and regulations, such as SOC 2 (Service Organization Controls 2). SOC 2 is a widely recognized auditing standard developed by the American Institute of Certified Public Accountants (AICPA) that evaluates the effectiveness of a service provider’s controls over the security, availability, processing integrity, confidentiality, and privacy of customers’ data. To maintain SOC 2 compliance, we must undergo regular audits and assessments by independent auditors to demonstrate that our controls are designed and operating effectively to achieve the desired outcomes. Any deficiencies identified during the audit could result in remediation requirements, reputational damage, and potential impacts on our customers. Any non-compliance with SOC 2 could result in harm to our business, including regulatory action, loss of customer trust, negative publicity, and financial damage.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our best efforts, we may not be successful in complying with the rapidly evolving privacy, data protection, and data security requirements discussed above. Any actual or perceived non-compliance with such requirements could result in litigation and proceedings against us by governmental entities or individuals, fines, civil or criminal penalties, limited ability or inability to operate our business, offer services, or market our platform in certain jurisdictions, negative publicity and harm to our brand and reputation. Such occurrences could have a material adverse effect on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and our future third-party suppliers must comply with environmental, health and safety laws and regulations, which can be expensive and restrict how we do, or interrupt, our business.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activities and our third-party manufacturers’ and suppliers’ activities involve the generation, use, storage and disposal of hazardous materials. For example, we may work with refrigerant substances used in our temperature-controlled Arrive Points to preserve a steady temperature and protect the products temporarily stored within them. Our future operations may also produce waste products. Accordingly, we and our third-party manufacturers and future suppliers are subject to federal, state, local and foreign environmental, health and safety laws and regulations, and permitting and licensing requirements, including those governing the use, manufacture, storage, handling, transportation, disposal of, and exposure to, these products or materials, as well as worker health and safety. We cannot eliminate the risk of contamination or injury resulting from such products or materials. We also cannot guarantee that the procedures utilized by our third-party manufacturers for handling and disposing of hazardous materials comply with all applicable environmental, health and safety laws and regulations. As a result, we may be held liable for any resulting damages, costs or liabilities, including clean-up costs and liabilities, which could be significant, or our commercialization, research and development efforts and business operations may be restricted or interrupted. Environmental, health and safety laws and regulations are complex, change frequently and have tended to become more stringent. Compliance with such laws and regulations is expensive, and current or future environmental, health and safety laws and regulations may restrict our operations. If we do not comply with applicable environmental health and safety laws and regulations, and permitting and licensing requirements, we may be subject to fines, penalties, a suspension of our business or other sanctions. Changes in the technology regulatory environment, technological advances that render our technologies obsolete, availability of resources product trials, acceptance of technologies into the community, and competition from larger, more well-funded companies could also restrict our operations or adversely affect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business partners and customers’ operation of drones and mobile robotics in work, campus, residential, suburban, and urban environments may be subject to regulation and operational risks, such as accidental collisions and transmission interference, which may limit demand for our smart mailbox service in such environments and harm our business and operating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 campus, residential, suburban, and urban environments may present certain challenges to our smart mailbox service partners and customers. Automation may accidentally collide with other aircraft, robots, persons or property, which could result in injury, death or property damage and significantly damage the reputation of and support for automation in general. As the usage of drone and robot automation has increased by casual users and by businesses, the danger of such collisions and other risks have increased. Furthermore, the incorporation of our new technology into our smart mailboxes for automation may increase the demand for the number of vehicles operating simultaneously in a given area and with this increase has come an increase in the risk of accidental collision. In addition, obstructions to effective transmissions in urban and other environments, such as large buildings, may limit the ability of the operator to utilize the aircraft for its intended purpose. The risks or limitations of operating drones and robots in urban and other environments may limit their value to partners and customers, which may limit demand for our smart mailbox services and consequently materially harm our business and operating results.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 is subject to ongoing litigation and may be subject to more including securities litigation, which is expensive and could divert management attention, including securities class action and derivative lawsuits which could result in substantial costs.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detail under the “Item 3. Legal Proceedings” section, we are subject to ongoing litigations, including an employment action which we are vigorously defending ourselves against. In addition, following the completion of our direct listing, our share price may be volatile and, in the past, companies that have experienced volatility in the market price of their stock or shares have been subject to securities litigation, including class action litigation. The Company may be the target of this type of litigation in the future. Litigation of this type and our ongoing litigation could result in substantial costs and diversion of management’s attention and resources, which could have a material adverse effect on our business, financial condition, and results of operations. Any adverse determination in litigation could also subject the Company to significant liabilities. Even if the lawsuits are without merit, defending against these claims can result in substantial costs and divert management time and resources. An adverse judgment could result in monetary damages, which could have a negative, and sometimes insurmountable impact on our liquidity and financial condition. We can neither assure that we will prevail in our ongoing litigation, nor predict whether any such lawsuits will be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Public Company Status and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public trading market may not continue to be liquid and the market price of our shares of common stock may be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market for our shares of common stock may not be sustained, which could depress the market price of our shares of common stock and could affect the ability of our stockholders to sell our shares of common stock. In the absence of an active public trading market, investors may not be able to liquidate their investments in our shares of common stock. An inactive market may also impair our ability to raise capital by selling our shares of common stock, our ability to motivate our employees through equity incentive awards and our ability to acquire other companies, products or technologies by using our shares of common stock as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market price of our shares of common stock may fluctuate significantly in response to various factors, some of which are beyond our control. In the absence of a prior active public trading market for our common stock, if the price of our common stock or our market capitalization falls below those required by Nasdaq’s eligibility standards, we may not be able to satisfy the ongoing listing criteria and may be required to delist.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the public price of our common stock is above the level that investors determine is reasonable for our common stock, some investors may attempt to short our common stock, which would create additional downward pressure on the public price of our common stock. To the extent that there is a lack of consumer awareness among retail investors, such a lack of consumer awareness could reduce the value of our common stock and cause volatility in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price of our common stock also could be subject to wide fluctuations in response to the risk factors described in this Annual Report on Form 10-K and others beyond our control,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caps w:val="false"/>
                <w:smallCaps w:val="false"/>
              </w:rPr>
            </w:pPr>
            <w:r>
              <w:rPr>
                <w:caps w:val="false"/>
                <w:smallCaps w:val="false"/>
              </w:rPr>
              <w:t>●</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publicly owned and available for trading;</w:t>
            </w:r>
          </w:p>
        </w:tc>
      </w:tr>
      <w:tr>
        <w:trPr/>
        <w:tc>
          <w:tcPr>
            <w:tcW w:w="216" w:type="dxa"/>
            <w:tcBorders/>
            <w:vAlign w:val="center"/>
          </w:tcPr>
          <w:p>
            <w:pPr>
              <w:pStyle w:val="TableContents"/>
              <w:bidi w:val="0"/>
              <w:spacing w:before="0" w:after="283"/>
              <w:jc w:val="left"/>
              <w:rPr>
                <w:caps w:val="false"/>
                <w:smallCaps w:val="false"/>
              </w:rPr>
            </w:pPr>
            <w:r>
              <w:rPr>
                <w:caps w:val="false"/>
                <w:smallCaps w:val="false"/>
              </w:rPr>
              <w:t>●</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performance of the equity markets and/or publicly-listed companies that offer competing services and products;</w:t>
            </w:r>
          </w:p>
        </w:tc>
      </w:tr>
      <w:tr>
        <w:trPr/>
        <w:tc>
          <w:tcPr>
            <w:tcW w:w="216" w:type="dxa"/>
            <w:tcBorders/>
            <w:vAlign w:val="center"/>
          </w:tcPr>
          <w:p>
            <w:pPr>
              <w:pStyle w:val="TableContents"/>
              <w:bidi w:val="0"/>
              <w:spacing w:before="0" w:after="283"/>
              <w:jc w:val="left"/>
              <w:rPr>
                <w:caps w:val="false"/>
                <w:smallCaps w:val="false"/>
              </w:rPr>
            </w:pPr>
            <w:r>
              <w:rPr>
                <w:caps w:val="false"/>
                <w:smallCaps w:val="false"/>
              </w:rPr>
              <w:t>●</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revenue or other operating metrics;</w:t>
            </w:r>
          </w:p>
        </w:tc>
      </w:tr>
      <w:tr>
        <w:trPr/>
        <w:tc>
          <w:tcPr>
            <w:tcW w:w="216" w:type="dxa"/>
            <w:tcBorders/>
            <w:vAlign w:val="center"/>
          </w:tcPr>
          <w:p>
            <w:pPr>
              <w:pStyle w:val="TableContents"/>
              <w:bidi w:val="0"/>
              <w:spacing w:before="0" w:after="283"/>
              <w:jc w:val="left"/>
              <w:rPr>
                <w:caps w:val="false"/>
                <w:smallCaps w:val="false"/>
              </w:rPr>
            </w:pPr>
            <w:r>
              <w:rPr>
                <w:caps w:val="false"/>
                <w:smallCaps w:val="false"/>
              </w:rPr>
              <w:t>●</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actual or anticipated operating performance and the operating performance of our competitors;</w:t>
            </w:r>
          </w:p>
        </w:tc>
      </w:tr>
      <w:tr>
        <w:trPr/>
        <w:tc>
          <w:tcPr>
            <w:tcW w:w="216" w:type="dxa"/>
            <w:tcBorders/>
            <w:vAlign w:val="center"/>
          </w:tcPr>
          <w:p>
            <w:pPr>
              <w:pStyle w:val="TableContents"/>
              <w:bidi w:val="0"/>
              <w:spacing w:before="0" w:after="283"/>
              <w:jc w:val="left"/>
              <w:rPr>
                <w:caps w:val="false"/>
                <w:smallCaps w:val="false"/>
              </w:rPr>
            </w:pPr>
            <w:r>
              <w:rPr>
                <w:caps w:val="false"/>
                <w:smallCaps w:val="false"/>
              </w:rPr>
              <w:t>●</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financial projections we provide to the public or our failure to meet these projections;</w:t>
            </w:r>
          </w:p>
        </w:tc>
      </w:tr>
      <w:tr>
        <w:trPr/>
        <w:tc>
          <w:tcPr>
            <w:tcW w:w="216"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securities analysts to initiate or maintain coverage of us, changes in financial estimates by any securities analysts who follow our company, or our failure to meet the estimates or the expectations of investors;</w:t>
            </w:r>
          </w:p>
        </w:tc>
      </w:tr>
      <w:tr>
        <w:trPr/>
        <w:tc>
          <w:tcPr>
            <w:tcW w:w="216" w:type="dxa"/>
            <w:tcBorders/>
            <w:vAlign w:val="center"/>
          </w:tcPr>
          <w:p>
            <w:pPr>
              <w:pStyle w:val="TableContents"/>
              <w:bidi w:val="0"/>
              <w:spacing w:before="0" w:after="283"/>
              <w:jc w:val="left"/>
              <w:rPr>
                <w:caps w:val="false"/>
                <w:smallCaps w:val="false"/>
              </w:rPr>
            </w:pPr>
            <w:r>
              <w:rPr>
                <w:caps w:val="false"/>
                <w:smallCaps w:val="false"/>
              </w:rPr>
              <w:t>●</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major change in our Board, management, or key personnel;</w:t>
            </w:r>
          </w:p>
        </w:tc>
      </w:tr>
      <w:tr>
        <w:trPr/>
        <w:tc>
          <w:tcPr>
            <w:tcW w:w="216" w:type="dxa"/>
            <w:tcBorders/>
            <w:vAlign w:val="center"/>
          </w:tcPr>
          <w:p>
            <w:pPr>
              <w:pStyle w:val="TableContents"/>
              <w:bidi w:val="0"/>
              <w:spacing w:before="0" w:after="283"/>
              <w:jc w:val="left"/>
              <w:rPr>
                <w:caps w:val="false"/>
                <w:smallCaps w:val="false"/>
              </w:rPr>
            </w:pPr>
            <w:r>
              <w:rPr>
                <w:caps w:val="false"/>
                <w:smallCaps w:val="false"/>
              </w:rPr>
              <w:t>●</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economy as a whole and market conditions in our industry;</w:t>
            </w:r>
          </w:p>
        </w:tc>
      </w:tr>
      <w:tr>
        <w:trPr/>
        <w:tc>
          <w:tcPr>
            <w:tcW w:w="216" w:type="dxa"/>
            <w:tcBorders/>
            <w:vAlign w:val="center"/>
          </w:tcPr>
          <w:p>
            <w:pPr>
              <w:pStyle w:val="TableContents"/>
              <w:bidi w:val="0"/>
              <w:spacing w:before="0" w:after="283"/>
              <w:jc w:val="left"/>
              <w:rPr>
                <w:caps w:val="false"/>
                <w:smallCaps w:val="false"/>
              </w:rPr>
            </w:pPr>
            <w:r>
              <w:rPr>
                <w:caps w:val="false"/>
                <w:smallCaps w:val="false"/>
              </w:rPr>
              <w:t>●</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rumors and market speculation involving us or other companies in our industry;</w:t>
            </w:r>
          </w:p>
        </w:tc>
      </w:tr>
      <w:tr>
        <w:trPr/>
        <w:tc>
          <w:tcPr>
            <w:tcW w:w="216" w:type="dxa"/>
            <w:tcBorders/>
            <w:vAlign w:val="center"/>
          </w:tcPr>
          <w:p>
            <w:pPr>
              <w:pStyle w:val="TableContents"/>
              <w:bidi w:val="0"/>
              <w:spacing w:before="0" w:after="283"/>
              <w:jc w:val="left"/>
              <w:rPr>
                <w:caps w:val="false"/>
                <w:smallCaps w:val="false"/>
              </w:rPr>
            </w:pPr>
            <w:r>
              <w:rPr>
                <w:caps w:val="false"/>
                <w:smallCaps w:val="false"/>
              </w:rPr>
              <w:t>●</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innovations, new products, services, features, integrations or capabilities, acquisitions, strategic investments, partnerships, joint ventures, or capital commitments;</w:t>
            </w:r>
          </w:p>
        </w:tc>
      </w:tr>
      <w:tr>
        <w:trPr/>
        <w:tc>
          <w:tcPr>
            <w:tcW w:w="216" w:type="dxa"/>
            <w:tcBorders/>
            <w:vAlign w:val="center"/>
          </w:tcPr>
          <w:p>
            <w:pPr>
              <w:pStyle w:val="TableContents"/>
              <w:bidi w:val="0"/>
              <w:spacing w:before="0" w:after="283"/>
              <w:jc w:val="left"/>
              <w:rPr>
                <w:caps w:val="false"/>
                <w:smallCaps w:val="false"/>
              </w:rPr>
            </w:pPr>
            <w:r>
              <w:rPr>
                <w:caps w:val="false"/>
                <w:smallCaps w:val="false"/>
              </w:rPr>
              <w:t>●</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laws or regulations or new interpretations of existing laws or regulations applicable to our business, in the U.S. or globally;</w:t>
            </w:r>
          </w:p>
        </w:tc>
      </w:tr>
      <w:tr>
        <w:trPr/>
        <w:tc>
          <w:tcPr>
            <w:tcW w:w="216" w:type="dxa"/>
            <w:tcBorders/>
            <w:vAlign w:val="center"/>
          </w:tcPr>
          <w:p>
            <w:pPr>
              <w:pStyle w:val="TableContents"/>
              <w:bidi w:val="0"/>
              <w:spacing w:before="0" w:after="283"/>
              <w:jc w:val="left"/>
              <w:rPr>
                <w:caps w:val="false"/>
                <w:smallCaps w:val="false"/>
              </w:rPr>
            </w:pPr>
            <w:r>
              <w:rPr>
                <w:caps w:val="false"/>
                <w:smallCaps w:val="false"/>
              </w:rPr>
              <w:t>●</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lawsuits threatened or filed against us;</w:t>
            </w:r>
          </w:p>
        </w:tc>
      </w:tr>
      <w:tr>
        <w:trPr/>
        <w:tc>
          <w:tcPr>
            <w:tcW w:w="216" w:type="dxa"/>
            <w:tcBorders/>
            <w:vAlign w:val="center"/>
          </w:tcPr>
          <w:p>
            <w:pPr>
              <w:pStyle w:val="TableContents"/>
              <w:bidi w:val="0"/>
              <w:spacing w:before="0" w:after="283"/>
              <w:jc w:val="left"/>
              <w:rPr>
                <w:caps w:val="false"/>
                <w:smallCaps w:val="false"/>
              </w:rPr>
            </w:pPr>
            <w:r>
              <w:rPr>
                <w:caps w:val="false"/>
                <w:smallCaps w:val="false"/>
              </w:rPr>
              <w:t>●</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including those resulting from war, incidents of terrorism, or responses to these events;</w:t>
            </w:r>
          </w:p>
        </w:tc>
      </w:tr>
      <w:tr>
        <w:trPr/>
        <w:tc>
          <w:tcPr>
            <w:tcW w:w="216" w:type="dxa"/>
            <w:tcBorders/>
            <w:vAlign w:val="center"/>
          </w:tcPr>
          <w:p>
            <w:pPr>
              <w:pStyle w:val="TableContents"/>
              <w:bidi w:val="0"/>
              <w:spacing w:before="0" w:after="283"/>
              <w:jc w:val="left"/>
              <w:rPr>
                <w:caps w:val="false"/>
                <w:smallCaps w:val="false"/>
              </w:rPr>
            </w:pPr>
            <w:r>
              <w:rPr>
                <w:caps w:val="false"/>
                <w:smallCaps w:val="false"/>
              </w:rPr>
              <w:t>●</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or expected sales of our common stock by us and our officers, directors and principal stockholders.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stock markets have experienced price and volume fluctuations that have affected and continue to affect the market prices of equity securities of many companies. Stock prices of many companies have fluctuated in a manner often unrelated to the operating performance of those companies. These fluctuations may be even more pronounced given the limited trading history and relatively low volume of our common stock on Nasdaq.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harm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diluted by future issuances of preferred stock or additional common stock in connection with our incentive plans, acquisitions or otherwise; future sales of such shares in the public market, or the expectations that such sales may occur, could lower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issue a significant number of shares of common stock in the future in connection with investments or acquisitions. Any of these issuances could dilute our existing stockholders, and such dilution could be significant. Moreover, such dilution could have a material adverse effect on the market price for the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issuance of shares of preferred stock with voting rights may adversely affect the voting power of the holders of shares of our common stock, either by diluting the voting power of our common stock if the preferred stock votes together with the common stock as a single class, or by giving the holders of any such preferred stock the right to block an action on which they have a separate class vote, even if the action were approved by the holders of our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maintain Nasdaq listing could harm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meet Nasdaq continued listing standards, our common stock may be delisted, which could reduce liquidity, impair capital-raising ability, and negatively affect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received notices from Nasdaq regarding our failure to comply with certain continued listing requirements, and we may be delisted from The Nasdaq Global Market if we are unable to regain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we received two separate notification letters from The Nasdaq Stock Market LLC (“Nasdaq”) indicating that we are not in compliance with certain continued listing requirements of The Nasdaq Global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notification letter advised that we are not in compliance with Nasdaq Listing Rule 5450(b)(2)(C), which requires a minimum Market Value of Publicly Held Shares (“MVPHS”) of $15,000,000 for continued listing on The Nasdaq Global Market, as we failed to meet the MVPHS requirement for a period of 30 consecutive business days from February 11, 2026 to March 31, 2026. The second notification letter advised that we are not in compliance with Nasdaq Listing Rule 5450(b)(2)(A), which requires a minimum Market Value of Listed Securities (“MVLS”) of $50,000,000 for continued listing on The Nasdaq Global Market, as we failed to meet the MVLS requirement for a period of 30 consecutive business days from February 10, 2026 to March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Nasdaq Listing Rules 5810(c)(3)(D) and 5810(c)(3)(C), respectively, we have 180 calendar days from the date of each notification letter, or until September 28, 2026, to regain compliance with both the MVPHS Requirement and the MVLS Requirement. To regain compliance with the MVPHS Requirement, our MVPHS must be at least $15,000,000 for a minimum of 10 consecutive business days prior to September 28, 2026. To regain compliance with the MVLS Requirement, our MVLS must close at $50,000,000 or more for a minimum of 10 consecutive business days prior to September 28, 2026. The notification letters have no immediate effect on the listing or trading of our common stock, and our common stock continues to trade on Nasdaq under the symbol “ARAI.”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be able to regain compliance with the MVPHS Requirement or the MVLS Requirement within the prescribed 180-day period, or at all. If we do not regain compliance by September 28, 2026, Nasdaq will provide written notification that our securities are subject to delisting, at which time we may appeal the delisting determination to a Nasdaq Hearings Panel. We may also consider applying for a transfer of our listing to The Nasdaq Capital Market, provided we satisfy that market’s continued listing requirements and submit a timely transfer application; however, there can be no assurance that any such transfer would be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delisting of our common stock from Nasdaq could have material adverse consequences, including: a reduction in the liquidity and market price of our common stock; a diminished ability to raise equity capital on terms acceptable to us, or at all; a potential loss of institutional investor interest; reduced coverage by securities analysts; and certain stockholders being restricted from holding or acquiring our securities. In addition, delisting could impair our ability to provide equity-based incentives to our employees, consultants, and directors, which could harm our ability to retain key personnel. Any of these consequences could materially and adversely affect our business, financial condition, results of operations, and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actively monitor our MVPHS and MVLS and will consider all available options to regain compliance with the applicable Nasdaq listing rules, including through strategic, operational, or financing alternatives. However, we cannot guarantee that any actions we take will be sufficient to restore compliance within the required timeframe.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maintain compliance with the continued listing standards of Nasdaq, our securities may be delisted, which could negatively affect the market price and liquidity of our securities. In such a case, we may seek to regain compliance by implementing a number of available options. If in the future our securities are delisted from Nasdaq, we could face significant material adverse consequences, including: limited availability of market quotations for our securities; reduced liquidity for our shares; a determination that our shares are “penny stock,” which will require brokers trading in our shares to adhere to more stringent rules and possibly result in a reduced level of trading activity in the secondary trading market for our shares; a limited amount of news and analyst coverage; and decreased ability to issue additional securities or obtain additional financing in the future. In addition, as long as our shares are listed on Nasdaq, U.S. federal law prevents or preempts the states from regulating their sale, although the law does allow the states to investigate companies if there is a suspicion of fraud and, if there is a finding of fraudulent activity, then the states can regulate or bar their sale. If we were no longer listed on Nasdaq, we would be subject to regulations in each state in which we offer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If we are unable to remediate these material weaknesses or if we identify additional material weaknesses in the future, we may not be able to accurately or timely report our financial results, which could result in a loss of investor confidence and adversely affect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Item 9A, “Controls and Procedures,” of this Annual Report on Form 10-K, management identified material weaknesses in our internal control over financial reporting in connection with the preparation of this report. Specifically, we did not maintain sufficient controls to ensure the proper identification, bifurcation, and fair value measurement of embedded derivatives in hybrid financial instruments, or to ensure that the effective interest method was applied over the accretion period for host debt instruments containing a discount. Additionally, two officers of the Company reported Section 16(b) trading violations during the year ended December 31, 2025. As a result of these material weaknesses, our Chief Executive Officer and Chief Financial Officer concluded that our disclosure controls and procedures were not effective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combination of deficiencies, in internal control over financial reporting such that there is a reasonable possibility that a material misstatement of a company’s annual or interim financial statements will not be prevented or detected on a timely basis. Our management is implementing corrective actions to address these material weaknesses, including enhancing technical accounting review procedures for complex financial instruments, engaging additional external resources with expertise in derivative accounting under ASC 815, strengthening controls around the review and approval of significant accounting estimates and elections, and modifying the Company’s Insider Trading Policy to emphasize restrictions on stock transactions within six months of a previous reported transaction. However, we cannot assure you that these measures will be sufficient to remediate the material weaknesses or prevent future material weaknesses from occurring.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successfully remediate these material weaknesses, or if we identify additional material weaknesses or significant deficiencies in our internal control over financial reporting in the future, we may be unable to accurately record, process, and report our financial results in a timely manner. This could cause our financial statements to contain material misstatements that are not prevented or detected on a timely basis, which could cause investors and other users to lose confidence in the accuracy and completeness of our financial reports, adversely affect our stock price and access to capital markets, and potentially subject us to litigation or regulatory investigations. In addition, if we fail to remediate material weaknesses or maintain effective disclosure controls and procedures and internal control over financial reporting, we may be unable to comply with the periodic reporting requirements of the SEC, which could result in late or inaccurate filings of our periodic reports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we are not currently required to comply with the auditor attestation requirements of Section 404(b) of the Sarbanes-Oxley Act of 2002 (the “Sarbanes-Oxley Act”). A non-emerging growth company or non-smaller reporting company is required to have its auditor attest to, and report on, management’s assessment of the effectiveness of its internal controls over financial reporting. When we cease to be an emerging growth company and a smaller reporting company, we will be subject to independent auditor attestation requirements, which may expose material weaknesses that may not otherwise have been identified. We cannot assure you that, at that time, there will not be additional material weaknesses in our internal control over financial reporting. Our remediation efforts may not enable us to avoid material weaknesses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has limited experience managing a public company, and we have had limited experience complying with public company obligations and the requirements of the Sarbanes-Oxley Act, the Dodd-Frank Wall Street Reform and Consumer Protection Act, and the rules and regulations of the SEC and Nasdaq Stock Market. If our senior management is unable to manage these challenges effectively, there may be additional errors or delays in our financial reporting, which could result in additional regulatory scrutiny, civil or criminal sanctions, or stockholder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about our ability to continue as a going concern. If we are unable to continue as a going concern, our stockholders would likely lose all or a substantial portion of their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in this Annual Report on Form 10-K have been prepared assuming that we will continue as a going concern, which contemplates the realization of assets and the satisfaction of liabilities in the normal course of business. As disclosed in Note 4, “Liquidity and Going Concern,” to our financial statements and in our MD&amp;A, the Company has incurred recurring operating losses and experienced negative cash flows from operations since inception and expects to continue to do so as it invests in product development, commercialization, and infrastructure. As of December 31, 2025, the Company had cash and cash equivalents of approximately $2.1 million. These conditions, considered in the aggregate, raise substantial doubt about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registered public accounting firm has included an explanatory paragraph in its audit report for the year ended December 31, 2025 expressing substantial doubt about our ability to continue as a going concern. An explanatory paragraph relating to substantial doubt about our ability to continue as a going concern was also included in the audit reports for the years ended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as a going concern depends on our ability to generate sufficient cash flows from operations, obtain additional financing, or some combination thereof. Management has developed plans to address these conditions, including utilizing existing cash and cash equivalents and the net proceeds from the January 2026 financing with Streeterville Capital, LLC, and potentially drawing additional amounts under the Securities Purchase Agreement with Streeterville, which provides up to an additional $19.0 million in gross borrowings, subject to certain conditions including a limitation on total outstanding indebtedness, a minimum market capitalization of $100 million and a minimum book value of $4 million at the time of each draw. However, there can be no assurance that we will be able to satisfy these conditions or that Streeterville will continue to extend funds. Accordingly, substantial doubt about our ability to continue as a going concern is not alleviated by management’s plans.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raise additional capital to fund our operations and to develop and commercialize our products. We may seek additional funding through public or private equity offerings, debt financings, collaborations, licensing arrangements, or other sources. However, such financing may not be available on acceptable terms, or at all. Our ability to obtain additional financing will depend on a number of factors, including general market conditions, investor acceptance of our business model, our financial condition and results of operations, and conditions in the debt and equity markets. If we are unable to raise capital when needed or on attractive terms, we may be forced to delay, reduce, or eliminate our research and development programs or commercialization efforts, or to grant rights to develop and market products that we would otherwise prefer to develop and market ourselves.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funds through the issuance of equity or equity-linked securities, our existing stockholders may experience significant dilution, and any new equity securities could have rights, preferences, and privileges superior to those of our existing common stockholders. If we raise additional funds through debt financing or preferred equity, we may become subject to covenants limiting or restricting our ability to take specific actions, such as incurring additional debt, making acquisitions or capital expenditures, or declaring dividends. Our financial condition may limit our access to debt financing on favorable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continue as a going concern, we may be forced to liquidate our assets or seek bankruptcy protection, and we may receive less than the value at which those assets are carried on our financial statements, and stockholders would likely lose all or a substantial portion of their investment in us. Our ability to raise additional capital may be adversely impacted by the perception of our financial condition, including the substantial doubt about our ability to continue as a going concern. Uncertainty about our ability to continue as a going concern may also materially and adversely affect the price of our common stock, make it more difficult for us to enter into or maintain relationships with customers, partners, and suppliers, and negatively impact employee morale and retention. Any of these factors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Economic and Geopolitical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growth and financial health are subject to a number of economic risks including extreme volatility in securities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markets in the United States have experienced substantial uncertainty during recent years, including tariff and trade policy uncertainty, geopolitical instability, AI sector volatility, and interest rate normalization. This uncertainty has included, among other things, extreme volatility in securities prices, reduced liquidity and credit availability, rating downgrades of certain investments and declining values with respect to others. If capital and credit markets continue to experience uncertainty and available funds remain limited, we may not be able to obtain debt or equity financing or to refinance our existing indebtedness on favorable terms or at all, which could affect our planned strategic commercial operations and our financial performance and force modifications to our planned commercial operations. These conditions currently have not precluded us from accessing credit markets or financing our product development operations, but there can be no assurance that financial markets and confidence in major economies will not deteriorate. In addition, we are vulnerable to changes in market preferences or other market changes, such as general economic conditions, recession and fears of recession, interest rates, tax rates and policies, and inflation. The U.S. and global economies have experienced, and may in the future experience, elevated inflation, and we may experience a compression in our margins as a result. The U.S. and global economies have in the past, and will in the future, experience recessionary periods and periods of economic instability. During such periods, our potential customers may choose not to expend the amounts that we anticipate based on our expectations with respect to the addressable market for the services we offer. There could also be a number of other effects from adverse general business and economic conditions on our future business, including insolvency of any of our future third-party suppliers or contractors, decreased market confidence, decreased interest in autonomous delivery and logistics solutions, decreased discretionary spending and reduced customer demand for the services we offer, any of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ongoing conflict between Ukraine and Russia could adversely affect our business, consolidated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Russia’s military actions against Ukraine have led to an unprecedented expansion of export restrictions and sanctions imposed by the United States, the European Union, the United Kingdom, and numerous other countries against Russia and Belarus. In addition, Russian authorities have imposed significant currency control measures, other sanctions, and imposed other economic and financial restrictions. The situation continues to evolve, and further sanctions and export restrictions could negatively impact the global economy and financial markets and could adversely affect our business, consolidated financial condition, and results of operations. The conflict may result in an increased likelihood of cyber-attacks that could directly or indirectly impact our operations. Any attempts by cyber attackers to disrupt our services or systems, or those of our vendors, suppliers, or customers, if successful, could harm our business both reputationally and financially. Measures to remediate such cyber-attacks may be costly and could have a material adverse effect on our business, financial condition and results of operations. We cannot predict the progress, outcome, or impact of the conflict in Ukraine, as the conflict and any resulting government reactions are beyond our control. We are monitoring the conflict in Ukraine to assess its impact on our business, as well as on our potential vendors, suppliers, future customers, and other parties with whom we plan to do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Geopolitical conditions, including direct or indirect acts of war or terrorism, could have an adverse effect on our operations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conflicts involving Iran and instability in the Middle East have contributed to volatility in global financial markets, increases in energy prices and inflationary pressures. While we do not have operations, suppliers or customers in the affected regions, these developments could indirectly impact our business by increasing global energy and transportation costs and contributing to higher costs of materials and logistics across our global supply chain. In addition, such conditions could result in adverse capital markets conditions, including reduced liquidity and increased volatility, which could impair our ability to access capital on acceptable terms, or at all. Any of these factors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exposed to the effects of changing energy prices, and interruptions in supplies of this commodity.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own nor operate the drones used by third parties in making deliveries to our mailboxes. However, such drones are electrically operated and changing energy costs may have a significant impact on the operations of such third parties. The service delivery vehicles operated by third parties are exposed to the risks associated with variations in the energy market price. Such third parties could experience a disruption in energy supplies as a result of any war, weather-related events or natural disasters, actions by producers (including as part of their own sustainability efforts) or other factors beyond our control, which could have a material adverse effect on us, such as increase in costs related to finding alternative third parties.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 w:name="a_004"/>
      <w:bookmarkEnd w:id="38"/>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 w:name="a_005"/>
      <w:bookmarkEnd w:id="39"/>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 w:name="xdx_984_ecyd--CybersecurityRiskManagemen"/>
      <w:bookmarkEnd w:id="40"/>
      <w:r>
        <w:rPr>
          <w:rFonts w:ascii="Times New Roman;Times;Serif" w:hAnsi="Times New Roman;Times;Serif"/>
          <w:b/>
          <w:i w:val="false"/>
          <w:caps w:val="false"/>
          <w:smallCaps w:val="false"/>
          <w:sz w:val="20"/>
        </w:rPr>
        <w:t>Risk Management and Strategy</w:t>
      </w:r>
    </w:p>
    <w:p>
      <w:pPr>
        <w:pStyle w:val="TextBody"/>
        <w:bidi w:val="0"/>
        <w:spacing w:before="0" w:after="0"/>
        <w:ind w:left="0" w:right="0" w:hanging="0"/>
        <w:jc w:val="both"/>
        <w:rPr>
          <w:caps w:val="false"/>
          <w:smallCaps w:val="false"/>
        </w:rPr>
      </w:pPr>
      <w:bookmarkStart w:id="41" w:name="xdx_C0F_gBFCRMPFAIAMT-KX_zHvcgVZJBji1"/>
      <w:bookmarkEnd w:id="41"/>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importance of maintaining the confidentiality, integrity, and availability of our information systems and data. As part of our overall enterprise risk management framework, we have implemented processes designed to assess, identify, and manage material risks from cybersecurity threats.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bookmarkStart w:id="42" w:name="xdx_C00_gBFCRMPFAIAMT-KX_zGAkIc53Fz64"/>
      <w:bookmarkEnd w:id="4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Third-Party Managed Services Provider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 w:name="xdx_903_ecyd--CybersecurityRiskThirdPart"/>
      <w:bookmarkEnd w:id="43"/>
      <w:r>
        <w:rPr>
          <w:rFonts w:ascii="Times New Roman;Times;Serif" w:hAnsi="Times New Roman;Times;Serif"/>
          <w:b w:val="false"/>
          <w:i w:val="false"/>
          <w:caps w:val="false"/>
          <w:smallCaps w:val="false"/>
          <w:sz w:val="20"/>
        </w:rPr>
        <w:t>We engage Synoptek, LLC as our third-party managed services provider (“MSP”) to administer and manage our information technology environment. Under this arrangement, the MSP provides operational support for our Microsoft Azure infrastructure, Microsoft 365 environment, endpoint management, identity and access management, security monitoring, and 24×7 service desk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rely on our MSP for day-to-day IT operations and security management functions, responsibility for oversight of cybersecurity risk remains with our management and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Cybersecurity Risk Management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risk management processes include a combination of internal oversight and third-party managed controls. These processes include:</w:t>
      </w:r>
    </w:p>
    <w:p>
      <w:pPr>
        <w:pStyle w:val="TextBody"/>
        <w:bidi w:val="0"/>
        <w:spacing w:before="0" w:after="0"/>
        <w:ind w:left="0" w:right="0" w:hanging="0"/>
        <w:jc w:val="both"/>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170"/>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Cloud infrastructure monitoring and management within Microsoft Azure;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Endpoint detection and response (EDR), anti-malware protection, and patch management;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Multi-factor authentication (MFA) and conditional access controls through Microsoft Entra ID;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Identity provisioning and deprovisioning procedures;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Microsoft 365 security configuration, including email threat protection;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backup services for Microsoft 365 workloads;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vulnerability scanning and reporting;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 monitoring and incident response coordination through our MSP’s service desk and operations model</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services described in our managed services agreement include baseline Zero Trust–aligned controls, identity governance, endpoint monitoring, and Azure configuration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review reports and updates from our MSP regarding system performance, vulnerabilities, and threat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Third-Party Risk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we rely substantially on </w:t>
      </w:r>
      <w:bookmarkStart w:id="44" w:name="xdx_903_ecyd--CybersecurityRiskThirdPart"/>
      <w:bookmarkEnd w:id="44"/>
      <w:r>
        <w:rPr>
          <w:rFonts w:ascii="Times New Roman;Times;Serif" w:hAnsi="Times New Roman;Times;Serif"/>
          <w:b w:val="false"/>
          <w:i w:val="false"/>
          <w:caps w:val="false"/>
          <w:smallCaps w:val="false"/>
          <w:sz w:val="20"/>
        </w:rPr>
        <w:t>third-party providers, including our MSP and cloud platform vendors, we are exposed to risks associated with their cybersecurity practices and controls. Although we conduct diligence in selecting providers and seek contractual protections, we do not directly control their internal security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cybersecurity incident affecting our MSP, cloud infrastructure providers, SaaS vendors, or other third parties could materially impact our operations, data security,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Effects of Cybersecurity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threats continue to evolve and may include:</w:t>
      </w:r>
    </w:p>
    <w:p>
      <w:pPr>
        <w:pStyle w:val="TextBody"/>
        <w:bidi w:val="0"/>
        <w:spacing w:before="0" w:after="0"/>
        <w:ind w:left="0" w:right="0" w:hanging="0"/>
        <w:jc w:val="both"/>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170"/>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Phishing and social engineering attacks;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Ransomware and malware infections;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Unauthorized access to cloud infrastructure;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Credential compromise;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Supply-chain attacks affecting vendors;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Insider misuse or human error.</w:t>
            </w:r>
          </w:p>
        </w:tc>
      </w:tr>
    </w:tbl>
    <w:p>
      <w:pPr>
        <w:pStyle w:val="TextBody"/>
        <w:bidi w:val="0"/>
        <w:spacing w:before="0" w:after="0"/>
        <w:ind w:left="720" w:right="0" w:hanging="360"/>
        <w:jc w:val="both"/>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bookmarkStart w:id="45" w:name="xdx_C03_gBFCRMPFAIAMT-KX_zJ3SCCiLw2qk"/>
      <w:bookmarkEnd w:id="4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cybersecurity incident could result in:</w:t>
      </w:r>
    </w:p>
    <w:p>
      <w:pPr>
        <w:pStyle w:val="TextBody"/>
        <w:bidi w:val="0"/>
        <w:spacing w:before="0" w:after="0"/>
        <w:ind w:left="0" w:right="0" w:hanging="0"/>
        <w:jc w:val="both"/>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38"/>
        <w:gridCol w:w="170"/>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disruption;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or exposure of sensitive data;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Reputational harm;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scrutiny;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indemnification obligations;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loss;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 attention.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not identified any cybersecurity incidents that have materially affected our business, financial condition, or results of operations. However, future incidents could have a material adverse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6" w:name="xdx_C0B_gBFCRMPFAIAMT-KX_z7uHY2wEUTPc"/>
      <w:bookmarkEnd w:id="4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 w:name="xdx_98A_ecyd--CybersecurityRiskBoardComm"/>
      <w:bookmarkEnd w:id="47"/>
      <w:r>
        <w:rPr>
          <w:rFonts w:ascii="Times New Roman;Times;Serif" w:hAnsi="Times New Roman;Times;Serif"/>
          <w:b/>
          <w:i w:val="false"/>
          <w:caps w:val="false"/>
          <w:smallCaps w:val="false"/>
          <w:sz w:val="20"/>
        </w:rPr>
        <w:t>Governance</w:t>
      </w:r>
    </w:p>
    <w:p>
      <w:pPr>
        <w:pStyle w:val="TextBody"/>
        <w:bidi w:val="0"/>
        <w:spacing w:before="0" w:after="0"/>
        <w:ind w:left="0" w:right="0" w:hanging="0"/>
        <w:jc w:val="both"/>
        <w:rPr>
          <w:caps w:val="false"/>
          <w:smallCaps w:val="false"/>
        </w:rPr>
      </w:pPr>
      <w:bookmarkStart w:id="48" w:name="xdx_C05_gBFCRBCOSRFOT-OAWV_zFj8Mn9bEGx5"/>
      <w:bookmarkEnd w:id="4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Role in Cybersecurity Risk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 w:name="xdx_90A_ecyd--CybersecurityRiskManagemen"/>
      <w:bookmarkEnd w:id="49"/>
      <w:r>
        <w:rPr>
          <w:rFonts w:ascii="Times New Roman;Times;Serif" w:hAnsi="Times New Roman;Times;Serif"/>
          <w:b w:val="false"/>
          <w:i w:val="false"/>
          <w:caps w:val="false"/>
          <w:smallCaps w:val="false"/>
          <w:sz w:val="20"/>
        </w:rPr>
        <w:t>Our executive management team is responsible for assessing and managing material cybersecurity risks. Management works in coordination with our MSP to monitor system health, review vulnerability reports, and evaluate incident response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matters are evaluated as part of our broader risk management and disclosure control processes. If a cybersecurity incident occurs, management assesses its severity, scope, operational impact, and potential materiality in accordance with SEC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employ a dedicated in-house Chief Information Security Officer. Security advisory services, including fractional CISO services and security engineering support, may be provided through our MSP engagement as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Oversight of Cybersecurity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 w:name="xdx_903_ecyd--CybersecurityRiskBoardOfDi"/>
      <w:bookmarkEnd w:id="50"/>
      <w:r>
        <w:rPr>
          <w:rFonts w:ascii="Times New Roman;Times;Serif" w:hAnsi="Times New Roman;Times;Serif"/>
          <w:b w:val="false"/>
          <w:i w:val="false"/>
          <w:caps w:val="false"/>
          <w:smallCaps w:val="false"/>
          <w:sz w:val="20"/>
        </w:rPr>
        <w:t>Our Board of Directors oversees our risk management processes, including cybersecurity risk, as part of its overall oversight responsibilities. The Board receives updates from management regarding significant cybersecurity risks and incidents,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retains responsibility for oversight of material business risks, including cybersecurity. The Board does not currently maintain a separate cybersecurity or technology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Incident Reporting and Disclosure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designed to ensure that information regarding cybersecurity threats and incidents is communicated to management in a timely manner to allow appropriate evaluation and disclosure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management determines a cybersecurity incident is material, we will disclose such incident in accordance with applicable SEC rules and regulations.</w:t>
      </w:r>
    </w:p>
    <w:p>
      <w:pPr>
        <w:pStyle w:val="TextBody"/>
        <w:bidi w:val="0"/>
        <w:spacing w:before="0" w:after="0"/>
        <w:ind w:left="0" w:right="0" w:hanging="0"/>
        <w:jc w:val="both"/>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 w:name="a_006"/>
      <w:bookmarkEnd w:id="51"/>
      <w:r>
        <w:rPr>
          <w:rFonts w:ascii="Times New Roman;Times;Serif" w:hAnsi="Times New Roman;Times;Serif"/>
          <w:b/>
          <w:i w:val="false"/>
          <w:caps w:val="false"/>
          <w:smallCaps w:val="false"/>
          <w:sz w:val="20"/>
        </w:rPr>
        <w:t>Item 2.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headquarters are located in Fishers, Indiana, where we lease 30,000 square feet of office and industrial space pursuant to a lease with a related party that expires in 2030. Our headquarters contain research and development, operations and selling, general and administrative functions as well as prototype manufacturing and testing of our products. We believe our facilities are adequate and suitable for our current needs and that, should it be needed, suitable additional or alternative space will be available to accommodate our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 w:name="a_007"/>
      <w:bookmarkEnd w:id="52"/>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Arrive AI Inc. (the “Company”) may be subject to various claims, lawsuits and other legal and administrative proceedings arising in the ordinary course of business. Defending such proceedings is costly and may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Other than as set forth below, Arrive AI is not presently a party to any litigation the outcome of which, if determined adversely to us, would in our estimation, have a material adverse effect on our business, operating results, cash flows or financial condition. The following is a summary of the Company’s ongoing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Byfield Management, Inc. and Ohrn II, Richard B v. Dronedek Corporation</w:t>
      </w:r>
      <w:r>
        <w:rPr>
          <w:rFonts w:ascii="Times New Roman;Times;Serif" w:hAnsi="Times New Roman;Times;Serif"/>
          <w:b w:val="false"/>
          <w:i w:val="false"/>
          <w:caps w:val="false"/>
          <w:smallCaps w:val="false"/>
          <w:sz w:val="20"/>
        </w:rPr>
        <w:t>. This is an employment action, originally filed in the Hamilton County Superior Court of the State of Indiana CAUSE NO. 29 D05-2303-PL-002478. Ohrn, working as Byfield Management, Inc., was the original chief financial officer of the Company under an oral agreement. The amount in dispute includes two years of salary and stock awards. The Company terminated this executive contract for cause. The case was moved to Marion Superior Court No. 2 of the State of Indiana on March 15, 2023 CAUSE NO. 49 D02-2305-PL-020604. Plaintiffs alleged breach of employment agreement; breach of stock purchase agreement; breach of fiduciary duties and non-payment of salary, bonuses, and benefits. Arrive terminated Ohrn/Byfield’s employment because of several misrepresentations in connection with the financial stability by Ohrn, including bankruptcy and mortgage foreclosure. Indiana is an at-will employment state. Affirmative defenses and counterclaims were filed, discovery documents have been exchanged by the parties, but no further motions are pending. No trial dates or case management plan has been established. In May 2024, the court asked for a dismissal which prompted the plaintiff to request some third-party documents. The settlement demand includes unpaid salary and stock awards. Arrive has engaged Taft Stettinius &amp; Hollister LLP as its external counsel to represent the company in this matter. Although plaintiff’s allegations amount to up to $29 million in total damages, it is not possible at this time to ascertain the outcome of this litigation through a court’s final decision, or whether any damages may be awarded.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initial Cease and Desist letter on Arrive AI’s trademark from Arrive Logistics was received July 19, 2023. An open, positive discussion is ongoing between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2025, the Company was named as a defendant in Case No. 3:2025cv00721, pending in U.S. District Court for the Eastern District of Virginia. Plaintiffs John Doan and Jami Town claim the Company is in breach of contract for loans made to AirBox Technologies (“AirBox”). The loans were for $25,000 extended to AirBox before the Company purchased its assets in 2023. Damage claims and fees have increased that amount to $45,082. The Company explicitly acquired only the assets of AirBox and therefore does not believe it is liable for any of its previous liabilities. The Company has filed for removal from the claim. The plaintiffs have filed to have the case remanded back to Virginia state court, where it was originally filed on August 13, 2025. Since this matter is still in its initial stages, the Company is unable to predict the outcome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2025, the Company was the plaintiff in a lawsuit Case No. 1:2025cv02026 filed in federal court in the Southern District of Indiana for misappropriation of US federal and Indiana trade secrets. The defendants are former consultants, Myron Wright, an individual, and Wright Flyer Consulting Group Inc., a Kentucky corporation. The Company is seeking compensatory and punitive damages, attorney fees and costs as well as permanent injunctive relief against the defendants requiring the immediate cessation of all transactions utilizing the Company’s Trade Secrets and return of materials constituting the Trade Secrets. Taft, Stettinius &amp; Hollister, LLP is representing the Company in the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 w:name="a_008"/>
      <w:bookmarkEnd w:id="53"/>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54" w:name="a_009"/>
      <w:bookmarkEnd w:id="54"/>
      <w:r>
        <w:rPr>
          <w:rFonts w:ascii="Times New Roman;Times;Serif" w:hAnsi="Times New Roman;Times;Serif"/>
          <w:b/>
          <w:i w:val="false"/>
          <w:caps w:val="false"/>
          <w:smallCaps w:val="false"/>
          <w:sz w:val="20"/>
          <w:u w:val="single"/>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 w:name="a_010"/>
      <w:bookmarkEnd w:id="55"/>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 and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is quoted on Nasdaq under the symbol “ARAI”. As of March 17, 2026, there were approximately 9,366 stockholders of record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any cash dividends on our capital stock and do not anticipate paying any cash dividends on our common stock in the foreseeable future. We intend to retain future earnings to fund ongoing operations and future capital requirements. Any future determination to pay cash dividends will be at the discretion of our Board and will be dependent upon financial condition, results of operations, capital requirements and such other factors as the Board deems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 and per share amounts have been adjusted to reflect the Company’s 1-for-4 reverse stock split (effective November 25, 2024), applied retrospectively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December 31, 2025, the Company issued the following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 Crowdfunding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an aggregate of 25,693 shares of common stock pursuant to Regulation Crowdfunding at a price of $13.00 per share. These securities were issued in reliance upon Section 4(a)(6) of the Securities Act of 1933, as amended (the “Securities Act”), and all offers and sales were conducted through an SEC-registered funding portal.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11,692 shares of common stock at a price of $13.00 per share for aggregate gross proceeds of approximately $152,000 to accredited investors. These securities were issued in reliance upon the exemption from registration provided by Section 4(a)(2) of the Securities Act and/or Rule 506 of Regulation D. No general solicitation or advertising was used in connection with these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Exercises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120,820 shares of common stock upon the exercise of previously issued warrants at an exercise price of $4.75 per share, resulting in aggregate gross proceeds of approximately $573,895. These issuances were made pursuant to exemptions from registration under Section 4(a)(2) of the Securities Act and/or Rule 506 of Regulation 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described above were subsequently registered for resale pursuant to an effective Registration Statement on Form S-1.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sell any other unregistered securities during the fiscal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purchases by Arrive AI Inc. of its shares of common stock during the quarter ended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5"/>
        <w:gridCol w:w="60"/>
        <w:gridCol w:w="214"/>
        <w:gridCol w:w="1588"/>
        <w:gridCol w:w="60"/>
        <w:gridCol w:w="60"/>
        <w:gridCol w:w="336"/>
        <w:gridCol w:w="1192"/>
        <w:gridCol w:w="60"/>
        <w:gridCol w:w="60"/>
        <w:gridCol w:w="284"/>
        <w:gridCol w:w="1924"/>
        <w:gridCol w:w="60"/>
        <w:gridCol w:w="60"/>
        <w:gridCol w:w="334"/>
        <w:gridCol w:w="2268"/>
        <w:gridCol w:w="80"/>
      </w:tblGrid>
      <w:tr>
        <w:trPr/>
        <w:tc>
          <w:tcPr>
            <w:tcW w:w="15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02"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28"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0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 shares purchased as part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60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dollar value of shares that may yet be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5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 shares purchased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2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price paid per share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publicly announced plans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6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purchased under the plan </w:t>
            </w:r>
            <w:r>
              <w:rPr>
                <w:rFonts w:ascii="Times New Roman;Times;Serif" w:hAnsi="Times New Roman;Times;Serif"/>
                <w:b/>
                <w:i w:val="false"/>
                <w:caps w:val="false"/>
                <w:smallCaps w:val="false"/>
                <w:position w:val="7"/>
                <w:sz w:val="16"/>
                <w:sz w:val="20"/>
              </w:rPr>
              <w:t>(1)</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5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 October 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9,925,257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1 - November 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9,925,257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1 - December 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8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9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2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9,925,257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9,925,257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In September 2025, our Board of Directors authorized the repurchase of up to $10,000,000 of the Company’s common shares under the Repurchase Program. The plan was effectively suspended following the initial repurchase in September 2025. The plan expires March 31, 2026 and does not obligate the Company to acquire any particular amount of the Company’s common shares. Share repurchases may be made from time to time through various means, including open market purchases, privately negotiated transactions, and/or pursuant to Rule 10b5-1 trading plans, in each case in accordance with Rule 10b-18 under the Securities Exchange Act of 1934.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 w:name="a_011"/>
      <w:bookmarkEnd w:id="56"/>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 w:name="a_012"/>
      <w:bookmarkEnd w:id="57"/>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of the financial condition and results of operations of the Company should be read in conjunction with the financial statements and the notes to those statements included elsewhere in this Annual Report on Form 10-K. Some of the information contained in this discussion and analysis including information with respect to our plans and strategy for our business, includes forward-looking statements that involve risk, uncertainties and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about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includes statements that constitute “forward-looking statements.” These forward-looking statements are often characterized by the terms “may,” “believes,” “projects,” “intends,” “plans,” “expects,” or “anticipates,” and do not reflect historical facts.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forward-looking statements contained in this portion of the report include, but are not limited to: (i) statements that are based on current projections and expectations about the markets in which we operate, (ii) statements about current projections and expectations of general economic conditions, (iii) statements about specific industry projections and expectations of economic activity, and (iv) statements relating to our future operations, prospects, results, and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Forward-looking statements involve risks, uncertainties, and other factors, which may cause our actual results, performance, or achievements to be materially different from those expressed or implied by such forward-looking statements. Factors and risks that could affect our results, future performance and capital requirements and cause them to materially differ from those contained in the forward-looking statements include those identified in the “Cautionary Note Regarding Forward-Looking Statements” and the </w:t>
      </w:r>
      <w:r>
        <w:rPr>
          <w:rFonts w:ascii="Times New Roman;Times;Serif" w:hAnsi="Times New Roman;Times;Serif"/>
          <w:b w:val="false"/>
          <w:i/>
          <w:caps w:val="false"/>
          <w:smallCaps w:val="false"/>
          <w:sz w:val="20"/>
        </w:rPr>
        <w:t>Part 1, Item 1A. Risk Factors</w:t>
      </w:r>
      <w:r>
        <w:rPr>
          <w:rFonts w:ascii="Times New Roman;Times;Serif" w:hAnsi="Times New Roman;Times;Serif"/>
          <w:b w:val="false"/>
          <w:i w:val="false"/>
          <w:caps w:val="false"/>
          <w:smallCaps w:val="false"/>
          <w:sz w:val="20"/>
        </w:rPr>
        <w:t xml:space="preserve"> in this report, as well as other factors that we are currently unable to identify or quantify, but that may exist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foregoing factors may generally affect our business, results of operations and financial position. Forward-looking statements speak only as of the date the statements were made. We do not undertake and specifically decline any obligation to update any forward-looking statements. Any information contained on our website www.arriveai.com or any other websites referenced in this report are not part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pioneered the smart mailbox for drone deliveries, evolving into a leader in the Autonomous Last Mile (“ALM”). Today, we are transforming last-mile logistics by enabling secure, seamless exchanges between drones, robots, and people. Our mission is to connect these systems through a universal ALM network of Arrive Points™—smart lockers and mini-cross-docks—powered by an AI-driven ALM platform. This network unlocks exceptional efficiency, accelerating adoption in medical, retail, e-commerce, and beyond, making Arrive AI the intelligent choice for the final inch of automated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patented Arrive Points™ deliver a smart, secure, and seamless solution for automated last-mile delivery. These innovative docks streamline exchanges by eliminating manual intervention and technical barriers, ensuring efficient data validation and synchronization. With robust security, precise tracking, and support for diverse goods—including temperature-controlled options for food and medicine—Arrive Points enhance chain of custody and product integrity. By bridging physical and digital interfaces, they are paving the way for scalable, fully autonomous delivery networks.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have three primary revenue streams: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is currently generating revenue through subscription services for Arrive Points, along with installation, support, and infrastructure agreements with customers. We intend to provide our ALM access points to both businesses and consumers through monthly and annual subscription fees. This turnkey service includes hardware, software, support, maintenance, installation/uninstallation, and financing for long-term deployed assets. In the fourth quarter of 2024 we installed third-generation Arrive Points (“AP3” units), which began revenue operation in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Data monetization via models and insights generated by machine learning and artificial intelligence (“ML” and “AI”). Machine learning facilitates our systems’ ability to learn and improve from experience using data patterns, while artificial intelligence encompasses broader capabilities and models to simulate human intelligence and decision-making. We plan to use both technologies distinctly: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Machine learning: Primarily expected to be deployed in our fourth and fifth-generation Arrive Points (“AP4” and “AP5” units) for local IoT (Internet of Things) data processing, edge computing (inferencing) for environment and transactional models, and interactions models for drones and robots.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Artificial intelligence: Used more broadly to analyze and derive insights from our network’s transactional and environmental data through complex AI models, but we will also leverage foundational AI models like ChatGPT or LLaMa for device-based human interactions.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ALM Marketplace. Our network of Arrive Points, the supporting software and AI plus ML, collectively create a platform that is intended to provide valuable services and insights to all stakeholders in the ALM ecosystem. For example, our automated delivery marketplace (“ADM”) will use a Google-AdSense-like market to help prioritize and optimize high-demand access schedules and space availability for our access point network. This platform will provide a broad array of critical functions for the ALM ecosystem including arrival/departure scheduling, space optimization, smart delivery notifications, micro weather conditions, local restrictions, transactional status updates, and automation issues/obstacles. These advanced capabilities will be introduced in our AP5 development and pilot program currently in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differentiate ourselves through a comprehensive, integrated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Universal Compatibility: Our multi-generational Arrive Points (AP3, AP4, AP5) are being developed for universal support of all drone and robotic delivery systems, overcoming a major hurdle for widespread ALM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End-to-End Solution: We will combine advanced hardware with a powerful software platform and AI/ML capabilities, offering a complete ecosystem for automated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Early Market Penetration: We have already secured pilot programs with significant customers, including a regional hospital and a specialty pharmaceutical delivery company, demonstrating early validation and learning opportunities for sustainable economics.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and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34,213,387 shares outstanding. On a fully diluted basis, including outstanding warrants (exercisable for 107,741 shares) options (exercisable for 609,318 shares) and restricted stock units (1,693,202), our total share count was 36,623,648. Additionally, under the Streeterville Purchase Agreement (the “Purchase Agreement”), up to 3,792,645 remaining shares were available at December 31, 2025 that may be issuable at a discount to the market price. The Purchase Agreement also specifies the Company may re-purchase 2,937,500 outstanding pre-delivery shares at par value upon expiration or termination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potential impact on shares outstanding under various scenarios at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41"/>
        <w:gridCol w:w="60"/>
        <w:gridCol w:w="101"/>
        <w:gridCol w:w="1876"/>
        <w:gridCol w:w="60"/>
        <w:gridCol w:w="60"/>
        <w:gridCol w:w="220"/>
        <w:gridCol w:w="955"/>
        <w:gridCol w:w="232"/>
      </w:tblGrid>
      <w:tr>
        <w:trPr/>
        <w:tc>
          <w:tcPr>
            <w:tcW w:w="66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Increase</w:t>
            </w:r>
          </w:p>
        </w:tc>
        <w:tc>
          <w:tcPr>
            <w:tcW w:w="232" w:type="dxa"/>
            <w:tcBorders/>
            <w:vAlign w:val="center"/>
          </w:tcPr>
          <w:p>
            <w:pPr>
              <w:pStyle w:val="TableContents"/>
              <w:bidi w:val="0"/>
              <w:spacing w:before="0" w:after="283"/>
              <w:jc w:val="left"/>
              <w:rPr/>
            </w:pPr>
            <w:r>
              <w:rPr/>
              <w:t> </w:t>
            </w:r>
          </w:p>
        </w:tc>
      </w:tr>
      <w:tr>
        <w:trPr/>
        <w:tc>
          <w:tcPr>
            <w:tcW w:w="6641"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Current Outstanding (12/31/2025)</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34,213,387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41"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With all options, warrants, and RSUs exercised</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8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36,623,648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2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41"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With all registered shares available for Streeterville issuance at 12/31/2025</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40,416,293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2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641"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With re-purchase of pre-delivery shares</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8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37,478,793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2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amounts shown above represent the period-end shares on a fully diluted basis. These potential issuances could materially dilute existing stockholders, particularly if conversion occurs at depressed share prices.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Streeterville Capital Prepaid Advance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2026, the Company closed Pre-Paid Purchase No. 4 under its Purchase Agreement dated March 21, 2025 with Streeterville Capital, LLC (“Streeterville”). In connection therewith, the Company received $10,000,000 in gross proceeds in exchange for an unsecured promissory note with an original principal balance of $10,800,000, reflecting an original issue discount of $800,000.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bears interest at 8% per annum, compounded daily. Subject to the terms of the Purchase Agreement, Streeterville may, at its discretion, direct the Company to apply amounts outstanding under the note toward the purchase of shares of the Company’s common stock at a price equal to the lesser of (i) the initial listing reference price of the Company’s common stock on the Nasdaq Global Market or (ii) 90% of the lowest volume weighted average price during the ten trading days preceding a purchase notice, subject to a $0.25 per share floor.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Pre-Paid Purchase No. 4, the Company entered into a side letter agreement pursuant to which the Company agreed to file a registration statement covering at least 10,000,000 shares of common stock issuable under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2026, the Company filed a registration statement on Form S-1 registering up to 10,000,000 shares of common stock for resale pursuant to the side letter agreement which was declared effective on March 12,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Issued Under Purchase Agreement and Other Shares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Streeterville elected additional conversions as follows: on January 26, 2026, $5,000,000 of principal was converted into 2,221,136 shares of common stock; on February 18, 2026, $300,000 of principal was converted into 297,855 shares of common stock; on March 3, 2026, $275,000 of principal was converted into 287,656 shares; on March 18, 2026, $450,000 of principal was converted into 522,830 shares, and on April 9, 2026, $5,319,001 of principal was converted into 10,000,000 shares of common stock. In aggregate, $11,344,001 of principal has been converted into 13,329,477 shares of common stock subsequent to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2026, the Company issued 118,343 shares of common stock to a vendor in exchange for consulting and media services with fair value of $200,000, based on the share price on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the Company issued 70,184 shares of common stock upon the vesting of restricted stock units to three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 And Challenges Facing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Dependence on Streeterville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recent financings with Streeterville Capital involve pre-paid purchase agreements that permit the investor to acquire our common shares at a discount to market price. These arrangements may cause significant shareholder dilution and could exert downward pressure on our stock price. Certain triggers, including sustained declines in our share price, could accelerate cash repayment obligations, which we may not be able to meet.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Customer Concentration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to date have been derived from a limited number of customers. In the year ended December 31, 2025, more than 90% of our total revenue came from a single customer, Hancock Health. If we are unable to expand our customer base and generate recurring subscription revenue, our results of operations will remain highly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patented and non-patented proprietary information relating to product development, manufacturing capabilities, and other core competencies of our business. Protection of intellectual property is critical. Therefore, steps such as additional patent applications, confidentiality, and non-disclosure agreements, as well as other security measures are important. While we believe we have a strong patent portfolio and there is no actual or, to our knowledge, threatened litigation against us for patent-related matters, litigation or threatened litigation is a common method to effectively enforce or protect intellectual property rights. Such action may be initiated by or against us and would require significant management time and expenses.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Supply Chain Constraints.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sure whether global supply chain shortages will impact our future plans. In order to mitigate supply chain risks, we may need to incur higher costs to secure available inventory and place non-cancelable purchase commitments with our suppliers, which could introduce inventory risk if our forecasts and assumptions prove inaccurate. Higher costs of components would impact our cash runway and delays in the manufacturing of our Arrive Points would push out our revenue forecasts.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Governmental and Regulatory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potential for growth depends on continued permission and acceptance by local governments and municipalities of autonomous robot and drone deliveries. Changes in regulations such as restrictions on autonomous vehicle operation or technical requirements such as size and weight restrictions or limitations on autonomy within a certain geographic area could reduce or limit our ability to generate revenues and/or impact our unit economics in those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Revenue.</w:t>
      </w:r>
      <w:r>
        <w:rPr>
          <w:rFonts w:ascii="Times New Roman;Times;Serif" w:hAnsi="Times New Roman;Times;Serif"/>
          <w:b w:val="false"/>
          <w:i w:val="false"/>
          <w:caps w:val="false"/>
          <w:smallCaps w:val="false"/>
          <w:sz w:val="20"/>
        </w:rPr>
        <w:t xml:space="preserve"> Revenue currently consists of consulting services, installation services and subscription fees. Consulting services, and installation fees are typically project-based and non-recurring in nature. Subscription services are recurring and paid either up-front or monthly for an annual term. We anticipate these revenue streams to continue in future quarters while we develop new revenue models for the autonomous delivery marketplace and AI data insight monetization.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General and Administrative Expenses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General and administrative expenses primarily consist of personnel-related costs, legal and professional services, rent, information technology expenses, insurance, general corporate expenses as well as depreciation on property and equipment as well as amortization of right of use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Research and Development Expenses.</w:t>
      </w:r>
      <w:r>
        <w:rPr>
          <w:rFonts w:ascii="Times New Roman;Times;Serif" w:hAnsi="Times New Roman;Times;Serif"/>
          <w:b w:val="false"/>
          <w:i w:val="false"/>
          <w:caps w:val="false"/>
          <w:smallCaps w:val="false"/>
          <w:sz w:val="20"/>
        </w:rPr>
        <w:t xml:space="preserve"> Costs incurred in the research and development of the Company’s products are expensed as incurred. Research and development costs include product design, hardware and software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Sales and Marketing Expenses.</w:t>
      </w:r>
      <w:r>
        <w:rPr>
          <w:rFonts w:ascii="Times New Roman;Times;Serif" w:hAnsi="Times New Roman;Times;Serif"/>
          <w:b w:val="false"/>
          <w:i w:val="false"/>
          <w:caps w:val="false"/>
          <w:smallCaps w:val="false"/>
          <w:sz w:val="20"/>
        </w:rPr>
        <w:t xml:space="preserve"> Sales and marketing expenses include advertising, marketing, trade shows and travel.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Interest Expense. </w:t>
      </w:r>
      <w:r>
        <w:rPr>
          <w:rFonts w:ascii="Times New Roman;Times;Serif" w:hAnsi="Times New Roman;Times;Serif"/>
          <w:b w:val="false"/>
          <w:i w:val="false"/>
          <w:caps w:val="false"/>
          <w:smallCaps w:val="false"/>
          <w:sz w:val="20"/>
        </w:rPr>
        <w:t>Interest expense consists of interest on notes payable, finance and leasing instruments, and amortization of 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Income, Net.</w:t>
      </w:r>
      <w:r>
        <w:rPr>
          <w:rFonts w:ascii="Times New Roman;Times;Serif" w:hAnsi="Times New Roman;Times;Serif"/>
          <w:b w:val="false"/>
          <w:i w:val="false"/>
          <w:caps w:val="false"/>
          <w:smallCaps w:val="false"/>
          <w:sz w:val="20"/>
        </w:rPr>
        <w:t xml:space="preserve"> Other income includes payroll tax refunds earned under the federal research and development (“R&amp;D”) tax credit program, state tax refunds from Indiana EDGE tax credits, funds from grants, and dividend and 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Change in Fair Value of Derivative Liabilities. </w:t>
      </w:r>
      <w:r>
        <w:rPr>
          <w:rFonts w:ascii="Times New Roman;Times;Serif" w:hAnsi="Times New Roman;Times;Serif"/>
          <w:b w:val="false"/>
          <w:i w:val="false"/>
          <w:caps w:val="false"/>
          <w:smallCaps w:val="false"/>
          <w:sz w:val="20"/>
        </w:rPr>
        <w:t>Change in fair value of derivative liabilities consists of non-cash gains and losses arising from the remeasurement of bifurcated derivative liabilities associated with the Company’s convertible notes at each reporting date and conversion date using a Monte Carlo simulation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Accretion of Debt Discount. </w:t>
      </w:r>
      <w:r>
        <w:rPr>
          <w:rFonts w:ascii="Times New Roman;Times;Serif" w:hAnsi="Times New Roman;Times;Serif"/>
          <w:b w:val="false"/>
          <w:i w:val="false"/>
          <w:caps w:val="false"/>
          <w:smallCaps w:val="false"/>
          <w:sz w:val="20"/>
        </w:rPr>
        <w:t>Accretion of debt discount consists of the non-cash accretion of the combined discount on the host convertible note instruments, comprising original issue discount, the fair value of each bifurcated derivative at issuance, and allocable debt issuance costs, recognized using the effective interest method over the estimated term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Loss on Conversion of Convertible Notes Payable. </w:t>
      </w:r>
      <w:r>
        <w:rPr>
          <w:rFonts w:ascii="Times New Roman;Times;Serif" w:hAnsi="Times New Roman;Times;Serif"/>
          <w:b w:val="false"/>
          <w:i w:val="false"/>
          <w:caps w:val="false"/>
          <w:smallCaps w:val="false"/>
          <w:sz w:val="20"/>
        </w:rPr>
        <w:t>Loss on conversion of convertible notes payable consists of losses recognized upon the conversion of convertible notes principal into common stock, representing the difference between the net carrying value of the debt retired less consideration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Realized Gain on Investments.</w:t>
      </w:r>
      <w:r>
        <w:rPr>
          <w:rFonts w:ascii="Times New Roman;Times;Serif" w:hAnsi="Times New Roman;Times;Serif"/>
          <w:b w:val="false"/>
          <w:i w:val="false"/>
          <w:caps w:val="false"/>
          <w:smallCaps w:val="false"/>
          <w:sz w:val="20"/>
        </w:rPr>
        <w:t xml:space="preserve"> Realized gain on investments consists of net gains and losses recognized upon the sale or settlement of exchange-traded equity securities and options held as part of the Company’s strategy to generate short-term returns on excess cash.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Years Ended December 31, 2025, and December 31, 2024</w:t>
      </w:r>
    </w:p>
    <w:p>
      <w:pPr>
        <w:pStyle w:val="TextBody"/>
        <w:bidi w:val="0"/>
        <w:spacing w:before="0" w:after="0"/>
        <w:ind w:left="0" w:right="0" w:hanging="0"/>
        <w:jc w:val="both"/>
        <w:rPr>
          <w:caps w:val="false"/>
          <w:smallCaps w:val="false"/>
        </w:rPr>
      </w:pPr>
      <w:r>
        <w:rPr>
          <w:caps w:val="false"/>
          <w:smallCaps w:val="false"/>
        </w:rPr>
        <w:t> </w:t>
      </w:r>
    </w:p>
    <w:tbl>
      <w:tblPr>
        <w:tblW w:w="8780" w:type="dxa"/>
        <w:jc w:val="left"/>
        <w:tblInd w:w="0" w:type="dxa"/>
        <w:tblLayout w:type="fixed"/>
        <w:tblCellMar>
          <w:top w:w="0" w:type="dxa"/>
          <w:left w:w="0" w:type="dxa"/>
          <w:bottom w:w="0" w:type="dxa"/>
          <w:right w:w="0" w:type="dxa"/>
        </w:tblCellMar>
      </w:tblPr>
      <w:tblGrid>
        <w:gridCol w:w="4595"/>
        <w:gridCol w:w="60"/>
        <w:gridCol w:w="140"/>
        <w:gridCol w:w="1175"/>
        <w:gridCol w:w="95"/>
        <w:gridCol w:w="60"/>
        <w:gridCol w:w="140"/>
        <w:gridCol w:w="1055"/>
        <w:gridCol w:w="95"/>
        <w:gridCol w:w="60"/>
        <w:gridCol w:w="140"/>
        <w:gridCol w:w="1055"/>
        <w:gridCol w:w="110"/>
      </w:tblGrid>
      <w:tr>
        <w:trPr/>
        <w:tc>
          <w:tcPr>
            <w:tcW w:w="4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113,250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113,250</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9,636,140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3,546,520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6,089,620</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600,510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760,036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(159,526</w:t>
            </w:r>
          </w:p>
        </w:tc>
        <w:tc>
          <w:tcPr>
            <w:tcW w:w="110" w:type="dxa"/>
            <w:tcBorders/>
            <w:shd w:fill="CCEEFF" w:val="clear"/>
            <w:vAlign w:val="center"/>
          </w:tcPr>
          <w:p>
            <w:pPr>
              <w:pStyle w:val="TableContents"/>
              <w:bidi w:val="0"/>
              <w:spacing w:before="0" w:after="283"/>
              <w:jc w:val="left"/>
              <w:rPr/>
            </w:pPr>
            <w:r>
              <w:rPr/>
              <w:t>)</w:t>
            </w:r>
          </w:p>
        </w:tc>
      </w:tr>
      <w:tr>
        <w:trPr/>
        <w:tc>
          <w:tcPr>
            <w:tcW w:w="4595" w:type="dxa"/>
            <w:tcBorders/>
            <w:shd w:fill="FFFFFF" w:val="clear"/>
            <w:vAlign w:val="center"/>
          </w:tcPr>
          <w:p>
            <w:pPr>
              <w:pStyle w:val="TableContents"/>
              <w:bidi w:val="0"/>
              <w:spacing w:before="0" w:after="283"/>
              <w:jc w:val="both"/>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229,206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266,182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(36,976</w:t>
            </w:r>
          </w:p>
        </w:tc>
        <w:tc>
          <w:tcPr>
            <w:tcW w:w="11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10,465,856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4,572,738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5,893,118</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b/>
              </w:rPr>
            </w:pPr>
            <w:r>
              <w:rPr>
                <w:b/>
              </w:rPr>
              <w:t>OTHER INCOME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(686,897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(4,645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(682,252</w:t>
            </w:r>
          </w:p>
        </w:tc>
        <w:tc>
          <w:tcPr>
            <w:tcW w:w="110" w:type="dxa"/>
            <w:tcBorders/>
            <w:shd w:fill="CCEEFF" w:val="clear"/>
            <w:vAlign w:val="center"/>
          </w:tcPr>
          <w:p>
            <w:pPr>
              <w:pStyle w:val="TableContents"/>
              <w:bidi w:val="0"/>
              <w:spacing w:before="0" w:after="283"/>
              <w:jc w:val="left"/>
              <w:rPr/>
            </w:pPr>
            <w:r>
              <w:rPr/>
              <w:t>)</w:t>
            </w:r>
          </w:p>
        </w:tc>
      </w:tr>
      <w:tr>
        <w:trPr/>
        <w:tc>
          <w:tcPr>
            <w:tcW w:w="4595" w:type="dxa"/>
            <w:tcBorders/>
            <w:shd w:fill="FFFFFF" w:val="clear"/>
            <w:vAlign w:val="center"/>
          </w:tcPr>
          <w:p>
            <w:pPr>
              <w:pStyle w:val="TableContents"/>
              <w:bidi w:val="0"/>
              <w:spacing w:before="0" w:after="283"/>
              <w:jc w:val="both"/>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108,351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39,482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68,869</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both"/>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1,516,266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1,516,266</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pPr>
            <w:r>
              <w:rPr/>
              <w:t>Accretion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(249,530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(249,530</w:t>
            </w:r>
          </w:p>
        </w:tc>
        <w:tc>
          <w:tcPr>
            <w:tcW w:w="11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both"/>
              <w:rPr/>
            </w:pPr>
            <w:r>
              <w:rPr/>
              <w:t>Loss on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(3,295,072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(3,295,072</w:t>
            </w:r>
          </w:p>
        </w:tc>
        <w:tc>
          <w:tcPr>
            <w:tcW w:w="110" w:type="dxa"/>
            <w:tcBorders/>
            <w:shd w:fill="CCEEFF" w:val="clear"/>
            <w:vAlign w:val="center"/>
          </w:tcPr>
          <w:p>
            <w:pPr>
              <w:pStyle w:val="TableContents"/>
              <w:bidi w:val="0"/>
              <w:spacing w:before="0" w:after="283"/>
              <w:jc w:val="left"/>
              <w:rPr/>
            </w:pPr>
            <w:r>
              <w:rPr/>
              <w:t>)</w:t>
            </w:r>
          </w:p>
        </w:tc>
      </w:tr>
      <w:tr>
        <w:trPr/>
        <w:tc>
          <w:tcPr>
            <w:tcW w:w="4595" w:type="dxa"/>
            <w:tcBorders/>
            <w:shd w:fill="FFFFFF" w:val="clear"/>
            <w:vAlign w:val="center"/>
          </w:tcPr>
          <w:p>
            <w:pPr>
              <w:pStyle w:val="TableContents"/>
              <w:bidi w:val="0"/>
              <w:spacing w:before="0" w:after="283"/>
              <w:jc w:val="both"/>
              <w:rPr/>
            </w:pPr>
            <w:r>
              <w:rPr/>
              <w:t>Realized gain on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133,104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133,104</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pPr>
            <w:r>
              <w:rPr/>
              <w:t>Total other income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(2,473,778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34,837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(2,508,615</w:t>
            </w:r>
          </w:p>
        </w:tc>
        <w:tc>
          <w:tcPr>
            <w:tcW w:w="11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(12,826,384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(4,537,901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(8,288,483</w:t>
            </w:r>
          </w:p>
        </w:tc>
        <w:tc>
          <w:tcPr>
            <w:tcW w:w="11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b/>
              </w:rPr>
            </w:pPr>
            <w:r>
              <w:rPr>
                <w:b/>
              </w:rPr>
              <w:t>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both"/>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(12,826,384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(4,537,901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(8,288,483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and 2024, we generated revenues of $113,250 and $0, respectively, and reported net loss of $12,826,384 and $4,537,901, respectively. During the year ended December 31, 2025, results reflect growing investment in the size of our team for product development, engineering and marketing activities. General and administrative expenses include one-time costs related to the direct listing and financing transaction.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recognized total revenues of $113,250. Of this, $89,000 was for design and consulting services, $3,675 for installation fees, and $20,575 for monthly subscriptions.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development stage company, during the year ended December 31, 2024, we had no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$9,636,140 for the year ended December 31, 2025, an increase of $6,089,620, as compared to the year ended December 31, 2024. Primary components of general and administrative expenses were: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and benefits in total increased by $5,822,581 from the prior year. This was impacted by $1,866,531 one-time success bonuses paid upon completion of the public listing in May 2025. Base salaries for the year ended December 31, 2025 were $2,578,595, an increase of $1,592,946 from the same period in the prior year due to new hiring in product development, engineering and sales and marketing. As of December 31, 2025, the Company had 41 full-time salaried employees, compared with 8 last year. Stock-based compensation for the year ended December 31, 2025 was $2,503,657, an increase of $1,11</w:t>
            </w:r>
            <w:r>
              <w:rPr>
                <w:rFonts w:ascii="Times New Roman;Times;Serif" w:hAnsi="Times New Roman;Times;Serif"/>
                <w:b w:val="false"/>
                <w:i w:val="false"/>
                <w:caps w:val="false"/>
                <w:smallCaps w:val="false"/>
                <w:sz w:val="20"/>
                <w:shd w:fill="FFFFFF" w:val="clear"/>
              </w:rPr>
              <w:t>4</w:t>
            </w:r>
            <w:r>
              <w:rPr>
                <w:rFonts w:ascii="Times New Roman;Times;Serif" w:hAnsi="Times New Roman;Times;Serif"/>
                <w:b w:val="false"/>
                <w:i w:val="false"/>
                <w:caps w:val="false"/>
                <w:smallCaps w:val="false"/>
                <w:sz w:val="20"/>
              </w:rPr>
              <w:t>,7</w:t>
            </w:r>
            <w:r>
              <w:rPr>
                <w:rFonts w:ascii="Times New Roman;Times;Serif" w:hAnsi="Times New Roman;Times;Serif"/>
                <w:b w:val="false"/>
                <w:i w:val="false"/>
                <w:caps w:val="false"/>
                <w:smallCaps w:val="false"/>
                <w:sz w:val="20"/>
                <w:shd w:fill="FFFFFF" w:val="clear"/>
              </w:rPr>
              <w:t>91</w:t>
            </w:r>
            <w:r>
              <w:rPr>
                <w:rFonts w:ascii="Times New Roman;Times;Serif" w:hAnsi="Times New Roman;Times;Serif"/>
                <w:b w:val="false"/>
                <w:i w:val="false"/>
                <w:caps w:val="false"/>
                <w:smallCaps w:val="false"/>
                <w:sz w:val="20"/>
              </w:rPr>
              <w:t xml:space="preserve"> from the same period in the prior year. Benefits and payroll taxes increased $235,813 due to the increase in employees. A bonus program for the Chief Executive Officer resulted in an increase of $200,000 in non-transaction related bonus expense in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professional service fees were $1,273,511 for the year ended December 31, 2025, an increase of $643,821 from the prior year due to higher legal fees related to being a public company ($185,375), general corporate legal fees ($173,034), investor and public relations ($122,920), compensation consulting ($79,400) and patent expenses ($77,205).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expense was $158,349, an increase of $115,079 from the prior year, due to higher directors and officers insurance premiums.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increased $120,535 as a result of entering into a new office building that will accommodate the increase in employees and growth and the leasing of robots in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technology and subscriptions expense was $203,802, an increase of $120,187 from the same period in the prior year, due to onboarding a new service provider as well as the increase in employees.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increase of $79,917 from prior year is made up of individual increases of less than $25,000 each.</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$600,510 for the year ended December 31, 2025, a decrease of $159,526 as compared to the prior year. This is primarily due to the timing of vendor engineering projects resulting in a decrease in expense of $437,921 (which included a refund and reversal of an accrual associated with a successful dispute over a vendor project related to prior years aggregating $150,000), offset by higher independent contractor spend of $160,145 and one-time success bonuses for independent contractors of $118,250.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were $229,206 for the year ended December 31, 2025, a decrease of $36,976 from the same period in the prior year. The decrease is due to lower television advertising of $100,000 and other marketing costs of $15,038 offset by higher travel, meals and entertainment expenses of $78,062.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of $686,897 for the year ended December 31, 2025 was comprised primarily of the immediate expensing of the debt issuance costs associated with the bifurcated derivative of $311,613, stated interest on the convertible note of $282,930, and amortization of debt issuance costs of the convertible note of $20,548. Other miscellaneous interest expense and bank fees were $71,806 in 2025. Interest expense and bank fees for the year ended December 31, 2024 was $4,645.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of $108,351 for the year ended December 31, 2025 was recognized from payroll tax refunds earned under the federal R&amp;D tax credit program of $69,856, state tax refunds and estimates from Indiana EDGE tax credits of $29,240, and dividend and interest income of $9,255. Other income of $39,482 for the year ended December 31, 2024 was recognized from the Indiana EDGE tax credits of $24,089, a transportation grant of $9,959 and income from a corporate card rebate program of $5,434.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in fair value of derivative liabilities resulted in a non-cash gain of $1,516,266 in 2025, with no comparable amount in 2024. The embedded conversion feature of each convertible note was bifurcated as a derivative liability at issuance under ASC 815 due to the path-dependent lookback formula used to determine the conversion price. Each derivative is remeasured at fair value using a Monte Carlo simulation model at each reporting and conversion date, with changes recognized in earnings. The gain reflects the decline in the Company’s stock price from each issuance date to December 31, 2025, which reduced the expected value of the noteholder’s conversion optionality.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debt discount resulted in a non-cash charge of $249,530 in 2025, with no comparable amount in 2024, representing EIM accretion of the combined discount on the host convertible note instruments, consisting of original issue discount, the fair value of each bifurcated derivative at issuance, and allocable debt issuance costs, over the estimated three-year expected term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conversion of convertible notes payable of $3,295,072 in 2025 resulted from the issuance of common stock for the conversion of convertible notes payable with no comparable amount in 2024. Under ASC 470-50, each conversion was treated as a debt conversion, and the loss represents the difference between the net carrying value converted and the fair value of common stock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gains on investments were $133,104 for the year ended December 31, 2025. During the second half of 2025, the Company engaged in trading of derivatives, primarily options, resulting in a net realized gain of $358,086. The Company’s short-term investments, primarily in marketable securities, contributed to a realized net loss of $224,982. These activities are part of the Company’s strategy to generate short-term returns on excess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cash and cash equivalents of approximately $2.1 million. As disclosed in Note 20 “Subsequent Events” of the financial statements, subsequent to year end, on January 26, 2026, the Company received $9.6 million in net proceeds from a convertible note payable financing transaction with Streeterville Capital, LLC (“Streeterville”), representing $10.0 million in gross proceeds less approximately $0.4 million in banking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Note 10 “Convertible Notes Payable” of the financial statements, the Company is party to a convertible note payable financing arrangement with Streeterville (the “Streeterville Facility”), which initially provided a maximum facility of up to $40,000,000 in gross borrowings, subject to the terms and conditions of the agreement. The convertible note payable includes limitations that may restrict additional borrowings, including (i) a limitation on total outstanding indebtedness and (ii) a minimum market capitalization requirement of $100 million and (iii) a minimum book value of $4 million at the time of a draw. Availability under this facility is subject to the Company’s ability to satisfy these conditions, or the investor’s continued practice of extending funds, despite certain conditions not being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Financial Statements in Appendix A have been prepared on a going concern basis, which contemplates the realization of assets and the satisfaction of liabilities in the normal course of business. In accordance with ASC 205-40,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management evaluated whether conditions or events, considered in the aggregate, raise substantial doubt about the Company’s ability to continue as a going concern within one year after the date these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recurring operating losses and has experienced negative cash flows from operations since inception and expects to continue to do so as it invests in product development, commercialization, and infrastructure. These conditions, considered in the aggregate, raise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plans to address its liquidity needs include: (i) utilizing existing cash and cash equivalents of $2.1 million as of December 31, 2025, (ii) deploying the $9.6 million in net proceeds received from the January 2026 financing and (iii) potentially drawing additional amounts under the Securities Purchase Agreement with Streeterville, which provides up to an additional $19.0 million in gross borrowings, subject to certain conditions including a limitation on total outstanding indebtedness, a minimum market capitalization of $100 million and a minimum book value of $4 million at the time of each draw. The Company’s ability to access these funds is dependent on satisfying these conditions and on Streeterville’s willingness to continue funding draws.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continued existence is dependent on its ability to continue its operating plan and to access remaining funds under the Securities Purchase Agreement (“SPA”) or obtain additional debt or equity financing. Accordingly, substantial doubt about the Company’s ability to continue as a going concern is not alleviated by management’s plans. The accompanying Financial Statements in Appendix A do not include any adjustment that might result from the Company’s inability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10, 2026, the Company’s cash, cash equivalents, and short-term investments are approximately $8.2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 and Liquidity</w:t>
      </w:r>
    </w:p>
    <w:p>
      <w:pPr>
        <w:pStyle w:val="TextBody"/>
        <w:bidi w:val="0"/>
        <w:spacing w:before="0" w:after="0"/>
        <w:ind w:left="0" w:right="0" w:hanging="0"/>
        <w:jc w:val="both"/>
        <w:rPr>
          <w:caps w:val="false"/>
          <w:smallCaps w:val="false"/>
        </w:rPr>
      </w:pPr>
      <w:r>
        <w:rPr>
          <w:caps w:val="false"/>
          <w:smallCaps w:val="false"/>
        </w:rPr>
        <w:t> </w:t>
      </w:r>
    </w:p>
    <w:tbl>
      <w:tblPr>
        <w:tblW w:w="9282" w:type="dxa"/>
        <w:jc w:val="left"/>
        <w:tblInd w:w="0" w:type="dxa"/>
        <w:tblLayout w:type="fixed"/>
        <w:tblCellMar>
          <w:top w:w="0" w:type="dxa"/>
          <w:left w:w="0" w:type="dxa"/>
          <w:bottom w:w="0" w:type="dxa"/>
          <w:right w:w="0" w:type="dxa"/>
        </w:tblCellMar>
      </w:tblPr>
      <w:tblGrid>
        <w:gridCol w:w="4955"/>
        <w:gridCol w:w="60"/>
        <w:gridCol w:w="151"/>
        <w:gridCol w:w="1193"/>
        <w:gridCol w:w="103"/>
        <w:gridCol w:w="65"/>
        <w:gridCol w:w="151"/>
        <w:gridCol w:w="1144"/>
        <w:gridCol w:w="95"/>
        <w:gridCol w:w="60"/>
        <w:gridCol w:w="140"/>
        <w:gridCol w:w="1055"/>
        <w:gridCol w:w="110"/>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11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w:t>
            </w:r>
          </w:p>
        </w:tc>
        <w:tc>
          <w:tcPr>
            <w:tcW w:w="11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cash provided by (used in):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(8,253,348</w:t>
            </w:r>
          </w:p>
        </w:tc>
        <w:tc>
          <w:tcPr>
            <w:tcW w:w="10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(2,289,273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(5,964,075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Investing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(362,081</w:t>
            </w:r>
          </w:p>
        </w:tc>
        <w:tc>
          <w:tcPr>
            <w:tcW w:w="1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(114,655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(247,426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Financing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10,590,115</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2,207,774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8,382,341</w:t>
            </w:r>
          </w:p>
        </w:tc>
        <w:tc>
          <w:tcPr>
            <w:tcW w:w="11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1,974,686</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(196,154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2,170,840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$8,253,348 for the year ended December 31, 2025, compared to $2,289,273 for the same period in 2024. The increase in cash outflows of $5,964,075 was primarily due to our increased 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our net loss of $12,826,384 was offset by non-cash items of stock-based compensation expense of $2,503,657, depreciation and amortization expense of $66,889, the accretion of a discount on the convertible notes payable of $249,530, the accretion of issuance costs on convertible notes payable of $332,160, impairment loss of $10,541 and cash in excess of lease cost of $739 offset by change in fair value of derivative liabilities of $1,516,266, loss on conversion of convertible notes payable of $3,295,072, and realized gain on investments of $133,104.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working capital movements in the period resulted in a net cash outflow of $236,182, primarily due to a decrease in accounts payable ($479,959), an increase in prepaids ($134,011), security deposits ($64,133), other current assets ($8,146) and accounts receivable ($4,975). These outflows were offset by an increase in accrued expenses of $455,042.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operating cash flow used of $2,289,273 was composed of our net loss of $4,537,901, offset by non-cash items of stock-based compensation expense of $1,388,866 and depreciation and amortization of $29,115. Working capital movements in the prior-year period resulted in net cash inflows of $830,647 due to an increase in accounts payable of $843,682, accrued liabilities of $37,868 offset by outflows due to prepaid expenses ($46,724) and other current assets ($4,179).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for investing activities was $362,081 for the year ended December 31, 2025. This was due to capital expenditures of $495,185. We also incurred a net cash inflow from sales and purchases of short-term investments of $133,104.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for investing activities was $114,655 for the year ended December 31, 2024. This was due to capital expenditures of $38,155 and patent application filings of $76,500.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$10,590,115 for the year ended December 31, 2025. We received $11,000,000 in proceeds from issuance of convertible notes payable under the Purchase Agreement. We received net proceeds of $448,057 from other sales of common stock and $573,895 from exercise of outstanding warrants, prior to the direct listing. These cash inflows were offset by payments made on an outstanding note payable of $8,524, payments for deferred offering costs of $688,570, and payments of debt issuance costs of $660,000. We made purchases of our common stock under the share repurchase program of $74,743 in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net cash provided by financing activities was $2,207,774, which included $2,643,626 from sales of common stock, offset by payments made on the notes payable of $7,954 and the payment of deferred offering costs of $427,898.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for the years ended December 31, 2025 and 2024 were $495,185 and $38,155, respectively. Our future capital expenditures will depend on many factors, including, but not limited to our growth, our ability to attract and retain customers, market acceptance of our offerings, the time and extent of spending to support our efforts to develop our platform, the expansion of sales and marketing activities, and the timing and extent of spending for initiatives. Further, we may in the future enter into arrangements to acquire or invest in businesses, products, services, and technologies. We may be required to seek additional equity or debt financing. If additional financing is required from outside sources, we may not be able to raise it on terms acceptable to us or at all. If we are unable to raise additional capital when desired, our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a clear picture of matters potentially impacting our liquidity position, the table below sets forth a summary of our contractual obligations as of December 31, 2025. Some of the figures included in this table are based on management’s estimates and assumptions about these obligations, including their duration, the possibility of renewal and other factors. Because these estimates and assumptions are necessarily subjective, the obligations we may actually pay in future periods could vary from those reflected in the table.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31"/>
        <w:gridCol w:w="60"/>
        <w:gridCol w:w="140"/>
        <w:gridCol w:w="1100"/>
        <w:gridCol w:w="60"/>
        <w:gridCol w:w="60"/>
        <w:gridCol w:w="191"/>
        <w:gridCol w:w="1343"/>
        <w:gridCol w:w="60"/>
        <w:gridCol w:w="60"/>
        <w:gridCol w:w="140"/>
        <w:gridCol w:w="980"/>
        <w:gridCol w:w="60"/>
        <w:gridCol w:w="60"/>
        <w:gridCol w:w="140"/>
        <w:gridCol w:w="800"/>
        <w:gridCol w:w="60"/>
        <w:gridCol w:w="60"/>
        <w:gridCol w:w="215"/>
        <w:gridCol w:w="1507"/>
        <w:gridCol w:w="78"/>
      </w:tblGrid>
      <w:tr>
        <w:trPr/>
        <w:tc>
          <w:tcPr>
            <w:tcW w:w="303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36"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Payments Due by Period</w:t>
            </w:r>
          </w:p>
        </w:tc>
        <w:tc>
          <w:tcPr>
            <w:tcW w:w="78" w:type="dxa"/>
            <w:tcBorders/>
            <w:vAlign w:val="center"/>
          </w:tcPr>
          <w:p>
            <w:pPr>
              <w:pStyle w:val="TableContents"/>
              <w:bidi w:val="0"/>
              <w:spacing w:before="0" w:after="283"/>
              <w:jc w:val="left"/>
              <w:rPr/>
            </w:pPr>
            <w:r>
              <w:rPr/>
              <w:t> </w:t>
            </w:r>
          </w:p>
        </w:tc>
      </w:tr>
      <w:tr>
        <w:trPr/>
        <w:tc>
          <w:tcPr>
            <w:tcW w:w="3031"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Contractual Obligations</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Less than 1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1-3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3-5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More than 5 Years</w:t>
            </w:r>
          </w:p>
        </w:tc>
        <w:tc>
          <w:tcPr>
            <w:tcW w:w="78" w:type="dxa"/>
            <w:tcBorders/>
            <w:vAlign w:val="center"/>
          </w:tcPr>
          <w:p>
            <w:pPr>
              <w:pStyle w:val="TableContents"/>
              <w:bidi w:val="0"/>
              <w:spacing w:before="0" w:after="283"/>
              <w:jc w:val="left"/>
              <w:rPr/>
            </w:pPr>
            <w:r>
              <w:rPr/>
              <w:t> </w:t>
            </w:r>
          </w:p>
        </w:tc>
      </w:tr>
      <w:tr>
        <w:trPr/>
        <w:tc>
          <w:tcPr>
            <w:tcW w:w="3031"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Convertible notes payable principal </w:t>
            </w:r>
            <w:r>
              <w:rPr>
                <w:rFonts w:ascii="Times New Roman;Times;Serif" w:hAnsi="Times New Roman;Times;Serif"/>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8" w:type="dxa"/>
            <w:tcBorders/>
            <w:shd w:fill="CCEEFF" w:val="clear"/>
            <w:vAlign w:val="center"/>
          </w:tcPr>
          <w:p>
            <w:pPr>
              <w:pStyle w:val="TableContents"/>
              <w:bidi w:val="0"/>
              <w:spacing w:before="0" w:after="283"/>
              <w:jc w:val="left"/>
              <w:rPr/>
            </w:pPr>
            <w:r>
              <w:rPr/>
              <w:t> </w:t>
            </w:r>
          </w:p>
        </w:tc>
      </w:tr>
      <w:tr>
        <w:trPr/>
        <w:tc>
          <w:tcPr>
            <w:tcW w:w="3031"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Vehicle note payable </w:t>
            </w:r>
            <w:r>
              <w:rPr>
                <w:rFonts w:ascii="Times New Roman;Times;Serif" w:hAnsi="Times New Roman;Times;Serif"/>
                <w:position w:val="8"/>
                <w:sz w:val="19"/>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8" w:type="dxa"/>
            <w:tcBorders/>
            <w:shd w:fill="FFFFFF" w:val="clear"/>
            <w:vAlign w:val="center"/>
          </w:tcPr>
          <w:p>
            <w:pPr>
              <w:pStyle w:val="TableContents"/>
              <w:bidi w:val="0"/>
              <w:spacing w:before="0" w:after="283"/>
              <w:jc w:val="left"/>
              <w:rPr/>
            </w:pPr>
            <w:r>
              <w:rPr/>
              <w:t> </w:t>
            </w:r>
          </w:p>
        </w:tc>
      </w:tr>
      <w:tr>
        <w:trPr/>
        <w:tc>
          <w:tcPr>
            <w:tcW w:w="3031"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Operating leases </w:t>
            </w:r>
            <w:r>
              <w:rPr>
                <w:rFonts w:ascii="Times New Roman;Times;Serif" w:hAnsi="Times New Roman;Times;Serif"/>
                <w:position w:val="8"/>
                <w:sz w:val="19"/>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2,625,804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1,737,252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8" w:type="dxa"/>
            <w:tcBorders/>
            <w:shd w:fill="CCEEFF" w:val="clear"/>
            <w:vAlign w:val="center"/>
          </w:tcPr>
          <w:p>
            <w:pPr>
              <w:pStyle w:val="TableContents"/>
              <w:bidi w:val="0"/>
              <w:spacing w:before="0" w:after="283"/>
              <w:jc w:val="left"/>
              <w:rPr/>
            </w:pPr>
            <w:r>
              <w:rPr/>
              <w:t> </w:t>
            </w:r>
          </w:p>
        </w:tc>
      </w:tr>
      <w:tr>
        <w:trPr/>
        <w:tc>
          <w:tcPr>
            <w:tcW w:w="3031"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Interest related to notes payable </w:t>
            </w:r>
            <w:r>
              <w:rPr>
                <w:rFonts w:ascii="Times New Roman;Times;Serif" w:hAnsi="Times New Roman;Times;Serif"/>
                <w:position w:val="8"/>
                <w:sz w:val="19"/>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605,847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605,847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8" w:type="dxa"/>
            <w:tcBorders/>
            <w:shd w:fill="FFFFFF" w:val="clear"/>
            <w:vAlign w:val="center"/>
          </w:tcPr>
          <w:p>
            <w:pPr>
              <w:pStyle w:val="TableContents"/>
              <w:bidi w:val="0"/>
              <w:spacing w:before="0" w:after="283"/>
              <w:jc w:val="left"/>
              <w:rPr/>
            </w:pPr>
            <w:r>
              <w:rPr/>
              <w:t> </w:t>
            </w:r>
          </w:p>
        </w:tc>
      </w:tr>
      <w:tr>
        <w:trPr/>
        <w:tc>
          <w:tcPr>
            <w:tcW w:w="3031"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Patent License Agreement </w:t>
            </w:r>
            <w:r>
              <w:rPr>
                <w:rFonts w:ascii="Times New Roman;Times;Serif" w:hAnsi="Times New Roman;Times;Serif"/>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1,120,000</w:t>
            </w:r>
          </w:p>
        </w:tc>
        <w:tc>
          <w:tcPr>
            <w:tcW w:w="78" w:type="dxa"/>
            <w:tcBorders/>
            <w:shd w:fill="CCEEFF" w:val="clear"/>
            <w:vAlign w:val="center"/>
          </w:tcPr>
          <w:p>
            <w:pPr>
              <w:pStyle w:val="TableContents"/>
              <w:bidi w:val="0"/>
              <w:spacing w:before="0" w:after="283"/>
              <w:jc w:val="left"/>
              <w:rPr/>
            </w:pPr>
            <w:r>
              <w:rPr/>
              <w:t> </w:t>
            </w:r>
          </w:p>
        </w:tc>
      </w:tr>
      <w:tr>
        <w:trPr/>
        <w:tc>
          <w:tcPr>
            <w:tcW w:w="3031"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12,727,209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9,088,161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1,978,670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1,120,000</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Convertible notes payable principal represents borrowings under the Company’s security purchase agreement with Streeterville Capital. The note bears interest at 8% per annum with no set maturity date. The amounts presented represent outstanding principal as of December 31, 2025. The note is convertible into shares of common stock at a price determined pursuant to the agreement. Upon conversion, the obligation would be settled in equity rather than cash. As there is no stated maturity for the notes, the payments were presented in the less than 1 year category for this table.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Vehicle note payable matures in February 2027. The loan is secured by the related vehicle. The amounts presented represent scheduled principal.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Operating lease obligations represent undiscounted fixed lease payments under the Company’s office lease in accordance with ASC 842. Variable lease payments and non-lease components are excluded.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Interest related to notes payable primarily represents accrued interest at December 31, 2025 and projected contractual interest payments on the convertible note, assuming payment proportionately over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Company is party to an exclusive patent license agreement with its Chief Executive Officer, Daniel O’Toole, providing rights to certain patented technology through April 2040. The agreement requires fixed payments of $10,000 per month through the patent’s expiration. As of December 31, 2025, the remaining fixed commitment totals approximately $1,720,000. The agreement also provides for a $25 per unit royalty upon achievement of unit sales revenue milestones in excess of $10,000 a month. No royalties have been incurred to date, and future royalty obligations are not currently estimable due to the Company’s limited operating history and uncertain future sales volumes. The License Agreement constitutes a related-party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our financial statements in conformity with U.S. GAAP requires management to make estimates and assumptions that affect reported amounts of assets, liabilities, revenues, and expenses, along with the disclosure of contingent assets and liabilities at the date of the financial statements. We consider an accounting estimate to be critical if it requires assumptions about highly uncertain matters and different estimates reasonably could have been used that would have had a material impact on our financial statements. We have identified the following critical accounting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Bifurcated Derivative Liabilities and Carrying Value of the Host 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convertible notes issued under the Securities Purchase Agreement with Streeterville Capital, LLC, we are required to bifurcate the embedded conversion feature and account for it as a derivative liability measured at fair value at each reporting date, with changes recognized in earnings. The conversion feature must be bifurcated because it fails the indexed-to-own-stock test under ASC 815-40-15-7. Because this formula does not permit a closed-form solution, we engaged an independent third-party valuation firm to estimate fair value using a Monte Carlo simulation model. This measurement is classified as Level 3 in the fair value hierarchy, as it relies on significant unobservable inputs, including expected equity volatility, an estimated instrument term (the notes have no stated maturity, as they are convertible solely at the discretion of the investor with no fixed repayment date specified in the agreement), and a debt discount rate calibrated to comparable issuers. Equity volatility is the most sensitive input; the conversion feature’s asymmetric payoff structure means higher assumed volatility increases the expected value of the noteholder’s conversion optionality.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bifurcated derivative at issuance also directly determines the initial carrying value of the host debt instrument, which is measured as cash proceeds received, reduced by the original issue discount, allocated debt issuance costs, and that derivative fair value. The resulting discount is accreted to par using the effective interest method over the estimated term of each note, the same expected term assumption used in the Monte Carlo model. A shorter assumed term accelerates interest expense recognition through faster accretion; a longer term decelerates 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derivative valuation and host note carrying value share critical assumptions, particularly expected term and equity volatility, changes in those assumptions affect both the fair value of the derivative liabilities and the pattern of interest expense recognized on the host instruments and could have a material effect on our reported net loss in any given period. As of December 31, 2025, the aggregate fair value of the derivative liabilities was $1,460,000 and the net carrying value of the host instruments was $4,144,657. For the year ended December 31, 2025, the net change in fair value of the derivative liabilities recognized in earnings was a gain of $1,516,266, and interest expense on the convertible notes consisted of stated interest of $282,930, EIM accretion of discount $249,530, and EIM accretion of debt issuance costs of $20,548.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 complete discussion of these estimates, including valuation inputs, sensitivity analysis, and roll-forward schedules, refer to Note 5,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xml:space="preserve">, and Note 10, </w:t>
      </w:r>
      <w:r>
        <w:rPr>
          <w:rFonts w:ascii="Times New Roman;Times;Serif" w:hAnsi="Times New Roman;Times;Serif"/>
          <w:b w:val="false"/>
          <w:i/>
          <w:caps w:val="false"/>
          <w:smallCaps w:val="false"/>
          <w:sz w:val="20"/>
        </w:rPr>
        <w:t>Convertible Notes Payable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new accounting standards that could affect the Company, reference the “Recently Issued Accounting Standards Not Yet Adopted” section of Note 2 to the Financial Statements included in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 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no off-balance sheet arrangements pursuant to Item 303 of Regulation S-K under the Securities Exchange Act of 1934, as amended, that we believe are reasonably likely to have a current or future effect on our financial condition,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 w:name="a_013"/>
      <w:bookmarkEnd w:id="58"/>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in Rule 12b-2 under the Exchange Act, for this reporting period and are not required to provide the information required under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 w:name="a_014"/>
      <w:bookmarkEnd w:id="59"/>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are attached as Appendix A (following Exhibits) and included as part of this Form 10-K Report. A list of our Financial Statements is provided in response to Item 15 of this Form 10-K Report.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 w:name="a_015"/>
      <w:bookmarkEnd w:id="60"/>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 w:name="a_016"/>
      <w:bookmarkEnd w:id="61"/>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our Chief Financial Officer (our principal executive officer and principal financial officer, respectively), evaluated, as of the end of the period covered by this Annual Report on Form 10-K, the effectiveness of our disclosure controls and procedures as defined in Rules 13a-15(e) or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that evaluation of our disclosure controls and procedures as required by Rules 13a-15(b) or 15d-15(b) under the Exchange Act, as of December 31, 2025, our Chief Executive Officer and Chief Financial Officer concluded that, as of such date, our disclosure controls and procedures were not effective for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this Annual Report on Form 10-K, the responsible officers concluded that the Company did not maintain sufficient controls to ensure the proper identification, bifurcation and fair value measurement of embedded derivatives in hybrid financial instruments, or to ensure that the effective interest method was applied over the accretion period for host debt instruments containing a discount. Corrective actions have been implemented to address this control weakness after the period covered by this Annual Report on Form 10-K.</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during the year ended December 31, 2025, two officers of the Company reported Section 16(b) trading violations. These transactions were reported timely on Form 4, but occurred within six months of previously disclosed transactions, creating short-swing profits. As required by Section 16(b) of the Securities Exchange Act of 1934, the profits were disgorged to the Company on January 16,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does not include a report of management’s assessment regarding internal control over financial reporting or an attestation report of the Company’s independent registered public accounting firm due to a transition period established by rules of the Securities and Exchange Commission for newly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quarter ended December 31, 2025,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implementing corrective actions to address the material weaknesses discovered in connection with the preparation of this Annual Report on Form 10-K, including enhancing its technical accounting review procedures for complex financial instruments, engaging additional external resources with expertise in derivative accounting under ASC 815, and strengthening its controls around the review and approval of significant accounting estimates and elections. The Company’s Insider Trading Policy has been modified to emphasize the restrictions on any stock transactions within six months of a previous reported transaction. Management will continue to monitor the effectiveness of these corrective actions in subsequent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 w:name="a_017"/>
      <w:bookmarkEnd w:id="62"/>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22, 2025, </w:t>
      </w:r>
      <w:bookmarkStart w:id="63" w:name="xdx_905_eecd--TrdArrIndName_c20250922__2"/>
      <w:bookmarkEnd w:id="63"/>
      <w:r>
        <w:rPr>
          <w:rFonts w:ascii="Times New Roman;Times;Serif" w:hAnsi="Times New Roman;Times;Serif"/>
          <w:b w:val="false"/>
          <w:i w:val="false"/>
          <w:caps w:val="false"/>
          <w:smallCaps w:val="false"/>
          <w:sz w:val="20"/>
        </w:rPr>
        <w:t xml:space="preserve">Mark Hamm, the Company’s </w:t>
      </w:r>
      <w:bookmarkStart w:id="64" w:name="xdx_909_eecd--TrdArrIndTitle_c20250922__"/>
      <w:bookmarkEnd w:id="64"/>
      <w:r>
        <w:rPr>
          <w:rFonts w:ascii="Times New Roman;Times;Serif" w:hAnsi="Times New Roman;Times;Serif"/>
          <w:b w:val="false"/>
          <w:i w:val="false"/>
          <w:caps w:val="false"/>
          <w:smallCaps w:val="false"/>
          <w:sz w:val="20"/>
        </w:rPr>
        <w:t xml:space="preserve">Chief Operating Officer, entered into a trading plan intended to satisfy the affirmative defense conditions of </w:t>
      </w:r>
      <w:bookmarkStart w:id="65" w:name="xdx_901_eecd--Rule10b51ArrAdoptedFlag_db"/>
      <w:bookmarkEnd w:id="65"/>
      <w:r>
        <w:rPr>
          <w:rFonts w:ascii="Times New Roman;Times;Serif" w:hAnsi="Times New Roman;Times;Serif"/>
          <w:b w:val="false"/>
          <w:i w:val="false"/>
          <w:caps w:val="false"/>
          <w:smallCaps w:val="false"/>
          <w:sz w:val="20"/>
        </w:rPr>
        <w:t xml:space="preserve">Rule 10b5-1(c) under the Exchange Act. The plan provides for the sale, subject to certain price limits, of </w:t>
      </w:r>
      <w:bookmarkStart w:id="66" w:name="xdx_906_eecd--TrdArrSecuritiesAggAvailAm"/>
      <w:bookmarkEnd w:id="66"/>
      <w:r>
        <w:rPr>
          <w:rFonts w:ascii="Times New Roman;Times;Serif" w:hAnsi="Times New Roman;Times;Serif"/>
          <w:b w:val="false"/>
          <w:i w:val="false"/>
          <w:caps w:val="false"/>
          <w:smallCaps w:val="false"/>
          <w:sz w:val="20"/>
        </w:rPr>
        <w:t xml:space="preserve">144,102 shares vesting between </w:t>
      </w:r>
      <w:bookmarkStart w:id="67" w:name="xdx_90A_eecd--TrdArrAdoptionDate_c202509"/>
      <w:bookmarkEnd w:id="67"/>
      <w:r>
        <w:rPr>
          <w:rFonts w:ascii="Times New Roman;Times;Serif" w:hAnsi="Times New Roman;Times;Serif"/>
          <w:b w:val="false"/>
          <w:i w:val="false"/>
          <w:caps w:val="false"/>
          <w:smallCaps w:val="false"/>
          <w:sz w:val="20"/>
        </w:rPr>
        <w:t xml:space="preserve">September 22, 2025 and September 21, 2026, pursuant to certain equity awards granted to Mr. Hamm, excluding any shares withheld by the Company to satisfy income tax withholding and remittance obligations. Mr. Hamm’s plan will expire on </w:t>
      </w:r>
      <w:bookmarkStart w:id="68" w:name="xdx_90B_eecd--TrdArrExpirationDate_c2025"/>
      <w:bookmarkEnd w:id="68"/>
      <w:r>
        <w:rPr>
          <w:rFonts w:ascii="Times New Roman;Times;Serif" w:hAnsi="Times New Roman;Times;Serif"/>
          <w:b w:val="false"/>
          <w:i w:val="false"/>
          <w:caps w:val="false"/>
          <w:smallCaps w:val="false"/>
          <w:sz w:val="20"/>
        </w:rPr>
        <w:t>September 21, 2026, subject to early termination in accordance with the terms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16(b) Short-Swing Profit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16(b) of the Securities Exchange Act of 1934 requires directors, executive officers, and beneficial owners of more than 10% of a registered class of an issuer’s equity securities to disgorge to the issuer any profits realized from the purchase and sale, or sale and purchase, of the issuer’s equity securities within a six-month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December 31, 2025, the Company determined that Daniel O’Toole, a Director, Officer, and beneficial owner of more than 10% of the Company’s common stock, and Neerav Shah, a Director and Officer, engaged in transactions in the Company’s common stock that may have resulted in short-swing profits under Section 16(b). These transactions were not undertaken with the intent to realize short-swing profits and were the result of administrative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identifying the transactions, the Company notified the applicable individuals. On January 16, 2026, the individuals disgorged to the Company an amount equal to the calculated short-swing profit of approximately $129,701 in accordance with Section 16(b). The Company does not believe that this matter will have a material impact on its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9" w:name="a_018"/>
      <w:bookmarkEnd w:id="69"/>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70" w:name="a_019"/>
      <w:bookmarkEnd w:id="70"/>
      <w:r>
        <w:rPr>
          <w:rFonts w:ascii="Times New Roman;Times;Serif" w:hAnsi="Times New Roman;Times;Serif"/>
          <w:b/>
          <w:i w:val="false"/>
          <w:caps w:val="false"/>
          <w:smallCaps w:val="false"/>
          <w:sz w:val="20"/>
          <w:u w:val="single"/>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 w:name="a_020"/>
      <w:bookmarkEnd w:id="71"/>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our executive officers and directors as of December 31, 2025:</w:t>
      </w:r>
    </w:p>
    <w:p>
      <w:pPr>
        <w:pStyle w:val="TextBody"/>
        <w:bidi w:val="0"/>
        <w:spacing w:before="0" w:after="0"/>
        <w:ind w:left="0" w:right="0" w:hanging="0"/>
        <w:jc w:val="both"/>
        <w:rPr>
          <w:caps w:val="false"/>
          <w:smallCaps w:val="false"/>
        </w:rPr>
      </w:pPr>
      <w:r>
        <w:rPr>
          <w:caps w:val="false"/>
          <w:smallCaps w:val="false"/>
        </w:rPr>
        <w:t> </w:t>
      </w:r>
    </w:p>
    <w:tbl>
      <w:tblPr>
        <w:tblW w:w="7455" w:type="dxa"/>
        <w:jc w:val="left"/>
        <w:tblInd w:w="0" w:type="dxa"/>
        <w:tblLayout w:type="fixed"/>
        <w:tblCellMar>
          <w:top w:w="0" w:type="dxa"/>
          <w:left w:w="0" w:type="dxa"/>
          <w:bottom w:w="28" w:type="dxa"/>
          <w:right w:w="0" w:type="dxa"/>
        </w:tblCellMar>
      </w:tblPr>
      <w:tblGrid>
        <w:gridCol w:w="2795"/>
        <w:gridCol w:w="60"/>
        <w:gridCol w:w="350"/>
        <w:gridCol w:w="60"/>
        <w:gridCol w:w="4190"/>
      </w:tblGrid>
      <w:tr>
        <w:trPr/>
        <w:tc>
          <w:tcPr>
            <w:tcW w:w="279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9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Position/Title</w:t>
            </w:r>
          </w:p>
        </w:tc>
      </w:tr>
      <w:tr>
        <w:trPr/>
        <w:tc>
          <w:tcPr>
            <w:tcW w:w="2795" w:type="dxa"/>
            <w:tcBorders/>
            <w:shd w:fill="CCEE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O’Toole</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9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and Chief Executive Officer</w:t>
            </w:r>
          </w:p>
        </w:tc>
      </w:tr>
      <w:tr>
        <w:trPr/>
        <w:tc>
          <w:tcPr>
            <w:tcW w:w="2795" w:type="dxa"/>
            <w:tcBorders/>
            <w:shd w:fill="FFFF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Hamm</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9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 and Director</w:t>
            </w:r>
          </w:p>
        </w:tc>
      </w:tr>
      <w:tr>
        <w:trPr/>
        <w:tc>
          <w:tcPr>
            <w:tcW w:w="2795" w:type="dxa"/>
            <w:tcBorders/>
            <w:shd w:fill="CCEE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Neerav Shah</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9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Strategy Officer and Director</w:t>
            </w:r>
          </w:p>
        </w:tc>
      </w:tr>
      <w:tr>
        <w:trPr/>
        <w:tc>
          <w:tcPr>
            <w:tcW w:w="2795" w:type="dxa"/>
            <w:tcBorders/>
            <w:shd w:fill="FFFF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John Ritchison </w:t>
            </w:r>
            <w:r>
              <w:rPr>
                <w:rFonts w:ascii="Times New Roman;Times;Serif" w:hAnsi="Times New Roman;Times;Serif"/>
                <w:b/>
                <w:i w:val="false"/>
                <w:caps w:val="false"/>
                <w:smallCaps w:val="false"/>
                <w:position w:val="7"/>
                <w:sz w:val="16"/>
                <w:sz w:val="20"/>
              </w:rPr>
              <w:t>(6)</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9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General Counsel</w:t>
            </w:r>
          </w:p>
        </w:tc>
      </w:tr>
      <w:tr>
        <w:trPr/>
        <w:tc>
          <w:tcPr>
            <w:tcW w:w="2795" w:type="dxa"/>
            <w:tcBorders/>
            <w:shd w:fill="CCEE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Todd Pepmeier</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9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795" w:type="dxa"/>
            <w:tcBorders/>
            <w:shd w:fill="FFFF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John Gallina </w:t>
            </w:r>
            <w:r>
              <w:rPr>
                <w:rFonts w:ascii="Times New Roman;Times;Serif" w:hAnsi="Times New Roman;Times;Serif"/>
                <w:b/>
                <w:i w:val="false"/>
                <w:caps w:val="false"/>
                <w:smallCaps w:val="false"/>
                <w:position w:val="7"/>
                <w:sz w:val="16"/>
                <w:sz w:val="20"/>
              </w:rPr>
              <w:t>(1), (4), (6)</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9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795" w:type="dxa"/>
            <w:tcBorders/>
            <w:shd w:fill="CCEE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Kevin McAdams </w:t>
            </w:r>
            <w:r>
              <w:rPr>
                <w:rFonts w:ascii="Times New Roman;Times;Serif" w:hAnsi="Times New Roman;Times;Serif"/>
                <w:b/>
                <w:i w:val="false"/>
                <w:caps w:val="false"/>
                <w:smallCaps w:val="false"/>
                <w:position w:val="7"/>
                <w:sz w:val="16"/>
                <w:sz w:val="20"/>
              </w:rPr>
              <w:t>(2), (3), (6)</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9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795" w:type="dxa"/>
            <w:tcBorders/>
            <w:shd w:fill="FFFF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Laurie Tucker </w:t>
            </w:r>
            <w:r>
              <w:rPr>
                <w:rFonts w:ascii="Times New Roman;Times;Serif" w:hAnsi="Times New Roman;Times;Serif"/>
                <w:b/>
                <w:i w:val="false"/>
                <w:caps w:val="false"/>
                <w:smallCaps w:val="false"/>
                <w:position w:val="7"/>
                <w:sz w:val="16"/>
                <w:sz w:val="20"/>
              </w:rPr>
              <w:t>(2), (4), (5)</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19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283"/>
        <w:jc w:val="left"/>
        <w:rPr/>
      </w:pPr>
      <w:r>
        <w:rPr/>
        <w:t> </w:t>
      </w:r>
    </w:p>
    <w:tbl>
      <w:tblPr>
        <w:tblW w:w="5665" w:type="dxa"/>
        <w:jc w:val="left"/>
        <w:tblInd w:w="0" w:type="dxa"/>
        <w:tblLayout w:type="fixed"/>
        <w:tblCellMar>
          <w:top w:w="0" w:type="dxa"/>
          <w:left w:w="0" w:type="dxa"/>
          <w:bottom w:w="0" w:type="dxa"/>
          <w:right w:w="0" w:type="dxa"/>
        </w:tblCellMar>
      </w:tblPr>
      <w:tblGrid>
        <w:gridCol w:w="260"/>
        <w:gridCol w:w="540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of the Audit and Finance Committee</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the Audit and Finance Committee</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of the Compensation Committee</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the Compensation Committee</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5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of the Corporate Governance and Nominating Committee</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5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the Corporate Governance and Nominating Committee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Daniel O’Toole – </w:t>
      </w:r>
      <w:r>
        <w:rPr>
          <w:rFonts w:ascii="Times New Roman;Times;Serif" w:hAnsi="Times New Roman;Times;Serif"/>
          <w:b/>
          <w:i/>
          <w:caps w:val="false"/>
          <w:smallCaps w:val="false"/>
          <w:sz w:val="20"/>
        </w:rPr>
        <w:t>Chairman of the Board and Chief Executive Officer; Founder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O’Toole founded Arrive AI (formerly Dronedek Inc.) in 2020 and has served as Chief Executive Officer since its inception and as Chairman of the Board since formation. He has over 35 years of experience in founding, operating, and scaling businesses in distribution, facilities services, and technology-enabled operations. Prior to founding Arrive AI, Mr. O’Toole founded and led several privately held companies, including Facility Maintenance USA, which provided facility services to national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O’Toole’s experience as a founder, executive, and operator provides the Board with leadership insight, strategic planning expertise, and operational oversight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Mark Hamm - </w:t>
      </w:r>
      <w:r>
        <w:rPr>
          <w:rFonts w:ascii="Times New Roman;Times;Serif" w:hAnsi="Times New Roman;Times;Serif"/>
          <w:b/>
          <w:i/>
          <w:caps w:val="false"/>
          <w:smallCaps w:val="false"/>
          <w:sz w:val="20"/>
        </w:rPr>
        <w:t>Chief Operating Officer and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Hamm has served as Chief Operating Officer of Arrive AI and director since 2022. He has over 20 years of experience in technology, logistics, and operational leadership. Prior to joining the Company, Mr. Hamm held senior leadership roles at FedEx, ServiceMaster, and AutoZone, where he led innovation, customer experience, and technology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Hamm’s experience in operations and technology strategy provides the Board with expertise in scaling systems and enterprise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Neerav Shah - </w:t>
      </w:r>
      <w:r>
        <w:rPr>
          <w:rFonts w:ascii="Times New Roman;Times;Serif" w:hAnsi="Times New Roman;Times;Serif"/>
          <w:b/>
          <w:i/>
          <w:caps w:val="false"/>
          <w:smallCaps w:val="false"/>
          <w:sz w:val="20"/>
        </w:rPr>
        <w:t>Chief Strategy Officer and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Shah has served as Chief Strategy Officer and a director since 2020. He previously founded and operated businesses focused on electromechanical assemblies and infrastructure inspection services. He has also held roles at Sun Microsystems and Kaiser Permanente.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Shah’s background in strategic development and regulated industries provides the Board with insight into growth planning and operational scalability.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John Ritchison, JD - </w:t>
      </w:r>
      <w:r>
        <w:rPr>
          <w:rFonts w:ascii="Times New Roman;Times;Serif" w:hAnsi="Times New Roman;Times;Serif"/>
          <w:b/>
          <w:i/>
          <w:caps w:val="false"/>
          <w:smallCaps w:val="false"/>
          <w:sz w:val="20"/>
        </w:rPr>
        <w:t>Director, Corporate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Ritchison has served as a director and Corporate Counsel since 2020. He is a registered patent attorney and licensed professional engineer and has maintained a private intellectual property practice for over 20 years. Prior to his legal career, he held engineering and operations leadership roles at Delphi and General Motors.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Ritchison provides the Board with legal, intellectual property, and operational expertise.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John Gallina, </w:t>
      </w:r>
      <w:r>
        <w:rPr>
          <w:rFonts w:ascii="Times New Roman;Times;Serif" w:hAnsi="Times New Roman;Times;Serif"/>
          <w:b/>
          <w:i/>
          <w:caps w:val="false"/>
          <w:smallCaps w:val="false"/>
          <w:sz w:val="20"/>
        </w:rPr>
        <w:t>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Gallina joined the Board in 2024 and serves as Chair of the Audit and Finance Committee. He previously served as Executive Vice President and Chief Financial Officer of Elevance Health and held various senior finance and accounting roles over nearly 30 years. He brings extensive experience in public company financial reporting and internal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Kevin McAdams, </w:t>
      </w:r>
      <w:r>
        <w:rPr>
          <w:rFonts w:ascii="Times New Roman;Times;Serif" w:hAnsi="Times New Roman;Times;Serif"/>
          <w:b/>
          <w:i/>
          <w:caps w:val="false"/>
          <w:smallCaps w:val="false"/>
          <w:sz w:val="20"/>
        </w:rPr>
        <w:t>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McAdams joined the Board in 2022 and serves as Chair of the Compensation Committee. He previously served as Vice President of Delivery, Retail and Fleet Operations for the United States Postal Service. He currently serves as Founder and Chief Executive Officer of Vertical Mile Consulting. He provides experience in logistics operations and national distribution networks.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Laurie Tucker, </w:t>
      </w:r>
      <w:r>
        <w:rPr>
          <w:rFonts w:ascii="Times New Roman;Times;Serif" w:hAnsi="Times New Roman;Times;Serif"/>
          <w:b/>
          <w:i/>
          <w:caps w:val="false"/>
          <w:smallCaps w:val="false"/>
          <w:sz w:val="20"/>
        </w:rPr>
        <w:t>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Tucker joined the Board in June 2025 and serves as Chair of the Corporate Governance and Nominating Committee. She has over 35 years of experience in logistics, technology, and operations and previously held senior leadership roles at FedEx Corporation. She currently serves on several public and nonprofit boards.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individuals serve as executive officers of the Company:</w:t>
      </w:r>
    </w:p>
    <w:p>
      <w:pPr>
        <w:pStyle w:val="TextBody"/>
        <w:bidi w:val="0"/>
        <w:spacing w:before="0" w:after="0"/>
        <w:ind w:left="0" w:right="0" w:hanging="0"/>
        <w:jc w:val="both"/>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170"/>
        <w:gridCol w:w="4475"/>
      </w:tblGrid>
      <w:tr>
        <w:trPr/>
        <w:tc>
          <w:tcPr>
            <w:tcW w:w="170" w:type="dxa"/>
            <w:tcBorders/>
            <w:vAlign w:val="center"/>
          </w:tcPr>
          <w:p>
            <w:pPr>
              <w:pStyle w:val="TableContents"/>
              <w:bidi w:val="0"/>
              <w:spacing w:before="0" w:after="283"/>
              <w:jc w:val="both"/>
              <w:rPr/>
            </w:pPr>
            <w:r>
              <w:rPr/>
              <w:t>●</w:t>
            </w:r>
          </w:p>
        </w:tc>
        <w:tc>
          <w:tcPr>
            <w:tcW w:w="4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Daniel O’Toole, Chairman and Chief Executive Officer</w:t>
            </w:r>
          </w:p>
        </w:tc>
      </w:tr>
      <w:tr>
        <w:trPr/>
        <w:tc>
          <w:tcPr>
            <w:tcW w:w="170" w:type="dxa"/>
            <w:tcBorders/>
            <w:vAlign w:val="center"/>
          </w:tcPr>
          <w:p>
            <w:pPr>
              <w:pStyle w:val="TableContents"/>
              <w:bidi w:val="0"/>
              <w:spacing w:before="0" w:after="283"/>
              <w:jc w:val="both"/>
              <w:rPr/>
            </w:pPr>
            <w:r>
              <w:rPr/>
              <w:t>●</w:t>
            </w:r>
          </w:p>
        </w:tc>
        <w:tc>
          <w:tcPr>
            <w:tcW w:w="4475" w:type="dxa"/>
            <w:tcBorders/>
            <w:vAlign w:val="center"/>
          </w:tcPr>
          <w:p>
            <w:pPr>
              <w:pStyle w:val="TableContents"/>
              <w:bidi w:val="0"/>
              <w:spacing w:before="0" w:after="283"/>
              <w:jc w:val="both"/>
              <w:rPr/>
            </w:pPr>
            <w:r>
              <w:rPr>
                <w:rFonts w:ascii="Times New Roman;Times;Serif" w:hAnsi="Times New Roman;Times;Serif"/>
                <w:sz w:val="20"/>
              </w:rPr>
              <w:t>Mark</w:t>
            </w:r>
            <w:r>
              <w:rPr/>
              <w:t xml:space="preserve"> </w:t>
            </w:r>
            <w:r>
              <w:rPr>
                <w:rFonts w:ascii="Times New Roman;Times;Serif" w:hAnsi="Times New Roman;Times;Serif"/>
              </w:rPr>
              <w:t>Hamm, Chief Operating Officer</w:t>
            </w:r>
          </w:p>
        </w:tc>
      </w:tr>
      <w:tr>
        <w:trPr/>
        <w:tc>
          <w:tcPr>
            <w:tcW w:w="170" w:type="dxa"/>
            <w:tcBorders/>
            <w:vAlign w:val="center"/>
          </w:tcPr>
          <w:p>
            <w:pPr>
              <w:pStyle w:val="TableContents"/>
              <w:bidi w:val="0"/>
              <w:spacing w:before="0" w:after="283"/>
              <w:jc w:val="both"/>
              <w:rPr/>
            </w:pPr>
            <w:r>
              <w:rPr/>
              <w:t>●</w:t>
            </w:r>
          </w:p>
        </w:tc>
        <w:tc>
          <w:tcPr>
            <w:tcW w:w="4475" w:type="dxa"/>
            <w:tcBorders/>
            <w:vAlign w:val="center"/>
          </w:tcPr>
          <w:p>
            <w:pPr>
              <w:pStyle w:val="TableContents"/>
              <w:bidi w:val="0"/>
              <w:spacing w:before="0" w:after="283"/>
              <w:jc w:val="both"/>
              <w:rPr/>
            </w:pPr>
            <w:r>
              <w:rPr>
                <w:rFonts w:ascii="Times New Roman;Times;Serif" w:hAnsi="Times New Roman;Times;Serif"/>
                <w:sz w:val="20"/>
              </w:rPr>
              <w:t>Neerav</w:t>
            </w:r>
            <w:r>
              <w:rPr/>
              <w:t xml:space="preserve"> </w:t>
            </w:r>
            <w:r>
              <w:rPr>
                <w:rFonts w:ascii="Times New Roman;Times;Serif" w:hAnsi="Times New Roman;Times;Serif"/>
              </w:rPr>
              <w:t>Shah, Chief Strategy Officer</w:t>
            </w:r>
          </w:p>
        </w:tc>
      </w:tr>
      <w:tr>
        <w:trPr/>
        <w:tc>
          <w:tcPr>
            <w:tcW w:w="170" w:type="dxa"/>
            <w:tcBorders/>
            <w:vAlign w:val="center"/>
          </w:tcPr>
          <w:p>
            <w:pPr>
              <w:pStyle w:val="TableContents"/>
              <w:bidi w:val="0"/>
              <w:spacing w:before="0" w:after="283"/>
              <w:jc w:val="both"/>
              <w:rPr/>
            </w:pPr>
            <w:r>
              <w:rPr/>
              <w:t>●</w:t>
            </w:r>
          </w:p>
        </w:tc>
        <w:tc>
          <w:tcPr>
            <w:tcW w:w="4475" w:type="dxa"/>
            <w:tcBorders/>
            <w:vAlign w:val="center"/>
          </w:tcPr>
          <w:p>
            <w:pPr>
              <w:pStyle w:val="TableContents"/>
              <w:bidi w:val="0"/>
              <w:spacing w:before="0" w:after="283"/>
              <w:jc w:val="both"/>
              <w:rPr/>
            </w:pPr>
            <w:r>
              <w:rPr>
                <w:rFonts w:ascii="Times New Roman;Times;Serif" w:hAnsi="Times New Roman;Times;Serif"/>
                <w:sz w:val="20"/>
              </w:rPr>
              <w:t>John</w:t>
            </w:r>
            <w:r>
              <w:rPr/>
              <w:t xml:space="preserve"> </w:t>
            </w:r>
            <w:r>
              <w:rPr>
                <w:rFonts w:ascii="Times New Roman;Times;Serif" w:hAnsi="Times New Roman;Times;Serif"/>
              </w:rPr>
              <w:t>Ritchison, General Counsel</w:t>
            </w:r>
          </w:p>
        </w:tc>
      </w:tr>
      <w:tr>
        <w:trPr/>
        <w:tc>
          <w:tcPr>
            <w:tcW w:w="170" w:type="dxa"/>
            <w:tcBorders/>
            <w:vAlign w:val="center"/>
          </w:tcPr>
          <w:p>
            <w:pPr>
              <w:pStyle w:val="TableContents"/>
              <w:bidi w:val="0"/>
              <w:spacing w:before="0" w:after="283"/>
              <w:jc w:val="both"/>
              <w:rPr/>
            </w:pPr>
            <w:r>
              <w:rPr/>
              <w:t>●</w:t>
            </w:r>
          </w:p>
        </w:tc>
        <w:tc>
          <w:tcPr>
            <w:tcW w:w="4475" w:type="dxa"/>
            <w:tcBorders/>
            <w:vAlign w:val="center"/>
          </w:tcPr>
          <w:p>
            <w:pPr>
              <w:pStyle w:val="TableContents"/>
              <w:bidi w:val="0"/>
              <w:spacing w:before="0" w:after="283"/>
              <w:jc w:val="both"/>
              <w:rPr/>
            </w:pPr>
            <w:r>
              <w:rPr>
                <w:rFonts w:ascii="Times New Roman;Times;Serif" w:hAnsi="Times New Roman;Times;Serif"/>
                <w:sz w:val="20"/>
              </w:rPr>
              <w:t>Todd</w:t>
            </w:r>
            <w:r>
              <w:rPr/>
              <w:t xml:space="preserve"> </w:t>
            </w:r>
            <w:r>
              <w:rPr>
                <w:rFonts w:ascii="Times New Roman;Times;Serif" w:hAnsi="Times New Roman;Times;Serif"/>
              </w:rPr>
              <w:t>Pepmeier, 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information for Messrs. O’Toole, Hamm, Shah and Ritchison is provided above under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Todd Pepmeier - </w:t>
      </w:r>
      <w:r>
        <w:rPr>
          <w:rFonts w:ascii="Times New Roman;Times;Serif" w:hAnsi="Times New Roman;Times;Serif"/>
          <w:b/>
          <w:i/>
          <w:caps w:val="false"/>
          <w:smallCaps w:val="false"/>
          <w:sz w:val="20"/>
        </w:rPr>
        <w:t>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Pepmeier has served as Chief Financial Officer since May 2023. He has over 25 years of experience in finance and accounting across automotive, healthcare, aerospace, and technology sectors. Prior to joining the Company, he held senior finance roles at Ascension Health and served as Chief Financial Officer of Agilify, a technology company specializing in robotic process automation.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Pepmeier’s experience includes financial reporting, internal controls, and capital markets readiness.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the Company’s directors or executive officers.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Controlled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ceased to be a “controlled company” within the meaning of the listing rules of The Nasdaq Stock Market LLC on or around April 9, 2026, and is permitted to continue to rely on exemptions from certain Nasdaq corporate governance requirements within a year following such date, including the requirement that a majority of the Board consist of independent directors and the requirement that the compensation and nominating committees be composed entirely of independent directors. The Company currently relies on these exemptions.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these exemptions, the Company maintains an Audit and Finance Committee composed entirely of independent directors in accordance with applicable Nasdaq and SEC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O’Toole serves as both Chairman of the Board and Chief Executive Officer. The Board believes that combining the roles of Chairman and Chief Executive Officer promotes unified leadership and direction for the Company and facilitates effective communication between management and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does not have a Lead Independent Director. The independent directors meet in executive session without management present on a periodic basis. The Board believes this structure, together with the presence of independent directors and committee oversight, provides appropriate independent oversight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retains flexibility to modify its leadership structure in the future as it deems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in Risk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oversees the Company’s risk management processes. Management is responsible for identifying, assessing, and managing material risks facing the Company, including operational, financial, legal, regulatory, and strategic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receives periodic reports from management regarding significant risks and mitigation efforts. Each Board committee assists the Board in overseeing risk within its respective area of responsibility: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and Finance Committee oversees risks related to financial reporting, internal controls, accounting policies, compliance, and cybersecurity.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oversees risks related to executive compensation policies and practices.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Governance and Nominating Committee oversees risks related to board structure, governance practices, and director independence.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committees focus on specific risk areas, the full Board is regularly informed regarding material risks affecting the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standards require that audit committee members satisfy the independence requirements of Rule 10A-3 under the Securities Exchange Act of 1934, as amended (the “Exchange Act”), and that compensation committee members satisfy the independence requirements of Rule 10C-1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affirmatively determined that John Gallina, Kevin McAdams, and Laurie Tucker qualify as independent directors under the applicable Nasdaq listing standards. The Board has further determined that each member of the Audit and Finance Committee satisfies the enhanced independence requirements applicable to audit committee members under SEC and Nasdaq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was a controlled company. It was not required to maintain a majority independent Board or fully independent compensation and nominating committees, and it relied on those exemptions.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established three standing committees:</w:t>
      </w:r>
    </w:p>
    <w:p>
      <w:pPr>
        <w:pStyle w:val="TextBody"/>
        <w:bidi w:val="0"/>
        <w:spacing w:before="0" w:after="0"/>
        <w:ind w:left="0" w:right="0" w:hanging="0"/>
        <w:jc w:val="both"/>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38"/>
        <w:gridCol w:w="17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and Finance Committee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Committee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Governance and Nominating Committee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committee operates under a written charter approved by the Board. The charters are available on the Company’s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and Finance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and Finance Committee consists of John Gallina (Chair), Kevin McAdams, and Laurie Tucker. The Board has determined that each member of the committee is independent under Nasdaq and SEC rules applicable to audit committee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and Finance Committee’s primary responsibilities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the integrity of the Company’s financial statements and financial reporting process;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annual and quarterly financial statements and related disclosures;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the Company’s internal control over financial reporting;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compensating, retaining, and overseeing the Company’s independent registered public accounting firm;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qualifications, independence, and performance of the independent auditor;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procedures for the receipt and treatment of complaints regarding accounting, internal controls, or auditing matters;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related party transactions as required.</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John Gallina qualifies as an “audit committee financial expert” as defined by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Kevin McAdams (Chair), John Gallina, and Laurie Tucker, each of whom the Board has determined to be independent under Nasdaq listing standards. Each member is also a “non-employee director” within the meaning of Rule 16b-3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Committee’s primary responsibilities include:</w:t>
      </w:r>
    </w:p>
    <w:p>
      <w:pPr>
        <w:pStyle w:val="TextBody"/>
        <w:bidi w:val="0"/>
        <w:spacing w:before="0" w:after="0"/>
        <w:ind w:left="0" w:right="0" w:hanging="0"/>
        <w:jc w:val="both"/>
        <w:rPr>
          <w:caps w:val="false"/>
          <w:smallCaps w:val="false"/>
        </w:rPr>
      </w:pPr>
      <w:r>
        <w:rPr>
          <w:caps w:val="false"/>
          <w:smallCaps w:val="false"/>
        </w:rPr>
        <w:t> </w:t>
      </w:r>
    </w:p>
    <w:tbl>
      <w:tblPr>
        <w:tblW w:w="8448" w:type="dxa"/>
        <w:jc w:val="left"/>
        <w:tblInd w:w="0" w:type="dxa"/>
        <w:tblLayout w:type="fixed"/>
        <w:tblCellMar>
          <w:top w:w="0" w:type="dxa"/>
          <w:left w:w="0" w:type="dxa"/>
          <w:bottom w:w="0" w:type="dxa"/>
          <w:right w:w="0" w:type="dxa"/>
        </w:tblCellMar>
      </w:tblPr>
      <w:tblGrid>
        <w:gridCol w:w="38"/>
        <w:gridCol w:w="170"/>
        <w:gridCol w:w="8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corporate goals and objectives relevant to executive officer compensation;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executive officer performance;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and approving executive compensation, including salary and incentive awards;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the Company’s equity and incentive compensation plans;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director compensation to the Board.</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may form subcommittees and delegate authority to the extent permitted by applicable law and its charter.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and Nominating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Governance and Nominating Committee consists of Laurie Tucker (Chair), Kevin McAdams, John Gallina, and John Ritchison. The Board has determined that Ms. Tucker, Mr. Gallina, and Mr. McAdams are independent under Nasdaq listing standards. Mr. Ritchison is not independent due to his employment with the Company. During the year ended December 31, 2025, the Company relied on the controlled company exemption with respect to full independence of this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Governance and Nominating Committee’s primary responsibilities include:</w:t>
      </w:r>
    </w:p>
    <w:p>
      <w:pPr>
        <w:pStyle w:val="TextBody"/>
        <w:bidi w:val="0"/>
        <w:spacing w:before="0" w:after="0"/>
        <w:ind w:left="0" w:right="0" w:hanging="0"/>
        <w:jc w:val="both"/>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recommending director nominees;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director candidates recommended by stockholders;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size and composition of the Board and its committees;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Board evaluations;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corporate governance principles and policies.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holds regular meetings and may hold special meetings as necessary. Directors are expected to attend Board meetings, meetings of committees on which they serve, and the Company’s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directors meet in executive session without management periodically during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Code of Business Conduct and Ethics applicable to all directors, officers, and employees, including the Chief Executive Officer and Chief Financial Officer. The Code addresses, among other matters:</w:t>
      </w:r>
    </w:p>
    <w:p>
      <w:pPr>
        <w:pStyle w:val="TextBody"/>
        <w:bidi w:val="0"/>
        <w:spacing w:before="0" w:after="0"/>
        <w:ind w:left="0" w:right="0" w:hanging="0"/>
        <w:jc w:val="both"/>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170"/>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of interest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Insider trading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Protection of Company assets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Ethical conduct and reporting obligations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Code of Business Conduct and Ethics is available on the Company’s website and filed as Exhibit 14.1 to this Annual Report on Form 10-K. The Company intends to disclose any amendments to, or waivers from, provisions of the Code applicable to its principal executive officer or principal financial officer on its website or in a Current Report on Form 8-K, as required by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directors and executive officers, and persons who own more than 10% of a registered class of our equity securities, to file with the SEC initial reports of ownership and reports of changes in ownership of our common stock and other equity securities.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based solely upon a review of Forms 3, 4, and 5 filed with the SEC during the fiscal year ended December 31, 2025, we believe that our directors, executive officers, and greater than 10% beneficial owners have complied with all applicable filing requirements during the fiscal year ended December 31, 2025, except for the following.</w:t>
      </w:r>
    </w:p>
    <w:p>
      <w:pPr>
        <w:pStyle w:val="TextBody"/>
        <w:bidi w:val="0"/>
        <w:spacing w:before="0" w:after="0"/>
        <w:ind w:left="0" w:right="0" w:hanging="0"/>
        <w:jc w:val="both"/>
        <w:rPr>
          <w:caps w:val="false"/>
          <w:smallCaps w:val="false"/>
        </w:rPr>
      </w:pPr>
      <w:r>
        <w:rPr>
          <w:caps w:val="false"/>
          <w:smallCaps w:val="false"/>
        </w:rPr>
        <w:t> </w:t>
      </w:r>
    </w:p>
    <w:tbl>
      <w:tblPr>
        <w:tblW w:w="7950" w:type="dxa"/>
        <w:jc w:val="left"/>
        <w:tblInd w:w="0" w:type="dxa"/>
        <w:tblLayout w:type="fixed"/>
        <w:tblCellMar>
          <w:top w:w="0" w:type="dxa"/>
          <w:left w:w="0" w:type="dxa"/>
          <w:bottom w:w="28" w:type="dxa"/>
          <w:right w:w="0" w:type="dxa"/>
        </w:tblCellMar>
      </w:tblPr>
      <w:tblGrid>
        <w:gridCol w:w="2270"/>
        <w:gridCol w:w="60"/>
        <w:gridCol w:w="2210"/>
        <w:gridCol w:w="60"/>
        <w:gridCol w:w="3350"/>
      </w:tblGrid>
      <w:tr>
        <w:trPr/>
        <w:tc>
          <w:tcPr>
            <w:tcW w:w="227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Reporting Person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 of Report Filed Late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Transactions Reported Late</w:t>
            </w:r>
          </w:p>
        </w:tc>
      </w:tr>
      <w:tr>
        <w:trPr/>
        <w:tc>
          <w:tcPr>
            <w:tcW w:w="22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John Gallina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4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r>
      <w:tr>
        <w:trPr/>
        <w:tc>
          <w:tcPr>
            <w:tcW w:w="22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Laurie Tucker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4 </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227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McAdams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4 </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227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Stafford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4 </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Form 4 filed on September 3, 2025.</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insider trading policies and procedures governing the purchase, sale, and other dispositions of the Company’s securities by directors, officers, and employees. A copy of the Company’s insider trading policy is filed as Exhibit 19.1 to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 w:name="a_021"/>
      <w:bookmarkEnd w:id="72"/>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 and per share amounts in this Item 11 have been adjusted to reflect the Company’s 1-for-4 reverse stock split, applied retrospectively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compensation paid by the Company to its chief executive officer and other compensated executive officers. The disclosure is provided for the years ended December 31, 2025 and December 31,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17"/>
        <w:gridCol w:w="60"/>
        <w:gridCol w:w="60"/>
        <w:gridCol w:w="500"/>
        <w:gridCol w:w="60"/>
        <w:gridCol w:w="60"/>
        <w:gridCol w:w="66"/>
        <w:gridCol w:w="894"/>
        <w:gridCol w:w="60"/>
        <w:gridCol w:w="60"/>
        <w:gridCol w:w="60"/>
        <w:gridCol w:w="980"/>
        <w:gridCol w:w="60"/>
        <w:gridCol w:w="60"/>
        <w:gridCol w:w="97"/>
        <w:gridCol w:w="1301"/>
        <w:gridCol w:w="60"/>
        <w:gridCol w:w="60"/>
        <w:gridCol w:w="138"/>
        <w:gridCol w:w="1848"/>
        <w:gridCol w:w="225"/>
        <w:gridCol w:w="60"/>
        <w:gridCol w:w="60"/>
        <w:gridCol w:w="980"/>
        <w:gridCol w:w="79"/>
      </w:tblGrid>
      <w:tr>
        <w:trPr/>
        <w:tc>
          <w:tcPr>
            <w:tcW w:w="2317"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 and Principal Position</w:t>
            </w:r>
          </w:p>
        </w:tc>
        <w:tc>
          <w:tcPr>
            <w:tcW w:w="60" w:type="dxa"/>
            <w:tcBorders/>
            <w:tcMar>
              <w:bottom w:w="0" w:type="dxa"/>
            </w:tcMar>
            <w:vAlign w:val="center"/>
          </w:tcPr>
          <w:p>
            <w:pPr>
              <w:pStyle w:val="TableContents"/>
              <w:bidi w:val="0"/>
              <w:spacing w:before="0" w:after="283"/>
              <w:jc w:val="center"/>
              <w:rPr/>
            </w:pPr>
            <w:r>
              <w:rPr/>
              <w:t> </w:t>
            </w:r>
          </w:p>
        </w:tc>
        <w:tc>
          <w:tcPr>
            <w:tcW w:w="5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Salary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Bonus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 Awards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98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 Compensation ($)</w:t>
            </w:r>
          </w:p>
        </w:tc>
        <w:tc>
          <w:tcPr>
            <w:tcW w:w="225" w:type="dxa"/>
            <w:tcBorders/>
            <w:tcMar>
              <w:bottom w:w="0" w:type="dxa"/>
            </w:tcMar>
            <w:vAlign w:val="center"/>
          </w:tcPr>
          <w:p>
            <w:pPr>
              <w:pStyle w:val="TableContents"/>
              <w:bidi w:val="0"/>
              <w:spacing w:before="0" w:after="283"/>
              <w:jc w:val="center"/>
              <w:rPr>
                <w:position w:val="8"/>
                <w:sz w:val="19"/>
              </w:rPr>
            </w:pPr>
            <w:r>
              <w:rPr>
                <w:position w:val="8"/>
                <w:sz w:val="19"/>
              </w:rPr>
              <w:t> </w:t>
            </w:r>
          </w:p>
        </w:tc>
        <w:tc>
          <w:tcPr>
            <w:tcW w:w="60" w:type="dxa"/>
            <w:tcBorders/>
            <w:tcMar>
              <w:bottom w:w="0" w:type="dxa"/>
            </w:tcMar>
            <w:vAlign w:val="center"/>
          </w:tcPr>
          <w:p>
            <w:pPr>
              <w:pStyle w:val="TableContents"/>
              <w:bidi w:val="0"/>
              <w:spacing w:before="0" w:after="283"/>
              <w:jc w:val="center"/>
              <w:rPr/>
            </w:pPr>
            <w:r>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w:t>
            </w:r>
          </w:p>
        </w:tc>
        <w:tc>
          <w:tcPr>
            <w:tcW w:w="79" w:type="dxa"/>
            <w:tcBorders/>
            <w:tcMar>
              <w:bottom w:w="0" w:type="dxa"/>
            </w:tcMar>
            <w:vAlign w:val="center"/>
          </w:tcPr>
          <w:p>
            <w:pPr>
              <w:pStyle w:val="TableContents"/>
              <w:bidi w:val="0"/>
              <w:spacing w:before="0" w:after="283"/>
              <w:jc w:val="center"/>
              <w:rPr/>
            </w:pPr>
            <w:r>
              <w:rPr/>
              <w:t> </w:t>
            </w:r>
          </w:p>
        </w:tc>
      </w:tr>
      <w:tr>
        <w:trPr/>
        <w:tc>
          <w:tcPr>
            <w:tcW w:w="2317" w:type="dxa"/>
            <w:tcBorders/>
            <w:shd w:fill="CCEE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Daniel O’Toole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9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466,667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1,600,966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18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187,398</w:t>
            </w:r>
          </w:p>
        </w:tc>
        <w:tc>
          <w:tcPr>
            <w:tcW w:w="225"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2,255,031</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17"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9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18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120,000</w:t>
            </w:r>
          </w:p>
        </w:tc>
        <w:tc>
          <w:tcPr>
            <w:tcW w:w="22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420,000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9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1848" w:type="dxa"/>
            <w:tcBorders/>
            <w:shd w:fill="FFFFFF" w:val="clear"/>
            <w:tcMar>
              <w:bottom w:w="0" w:type="dxa"/>
            </w:tcMar>
            <w:vAlign w:val="center"/>
          </w:tcPr>
          <w:p>
            <w:pPr>
              <w:pStyle w:val="TableContents"/>
              <w:bidi w:val="0"/>
              <w:spacing w:before="0" w:after="283"/>
              <w:jc w:val="right"/>
              <w:rPr/>
            </w:pPr>
            <w:r>
              <w:rPr/>
              <w:t> </w:t>
            </w:r>
          </w:p>
        </w:tc>
        <w:tc>
          <w:tcPr>
            <w:tcW w:w="225" w:type="dxa"/>
            <w:tcBorders/>
            <w:shd w:fill="FFFF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317" w:type="dxa"/>
            <w:tcBorders/>
            <w:shd w:fill="CCEE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Mark Hamm</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9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256,667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137,144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328,668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18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24,120</w:t>
            </w:r>
          </w:p>
        </w:tc>
        <w:tc>
          <w:tcPr>
            <w:tcW w:w="225"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746,599</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17"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Chief Operating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9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18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240,000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1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89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30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 w:type="dxa"/>
            <w:tcBorders/>
            <w:shd w:fill="FFFFFF" w:val="clear"/>
            <w:tcMar>
              <w:bottom w:w="0" w:type="dxa"/>
            </w:tcMar>
            <w:vAlign w:val="center"/>
          </w:tcPr>
          <w:p>
            <w:pPr>
              <w:pStyle w:val="TableContents"/>
              <w:bidi w:val="0"/>
              <w:spacing w:before="0" w:after="283"/>
              <w:jc w:val="left"/>
              <w:rPr/>
            </w:pPr>
            <w:r>
              <w:rPr/>
              <w:t> </w:t>
            </w:r>
          </w:p>
        </w:tc>
        <w:tc>
          <w:tcPr>
            <w:tcW w:w="1848" w:type="dxa"/>
            <w:tcBorders/>
            <w:shd w:fill="FFFFFF" w:val="clear"/>
            <w:tcMar>
              <w:bottom w:w="0" w:type="dxa"/>
            </w:tcMar>
            <w:vAlign w:val="center"/>
          </w:tcPr>
          <w:p>
            <w:pPr>
              <w:pStyle w:val="TableContents"/>
              <w:bidi w:val="0"/>
              <w:spacing w:before="0" w:after="283"/>
              <w:jc w:val="right"/>
              <w:rPr/>
            </w:pPr>
            <w:r>
              <w:rPr/>
              <w:t> </w:t>
            </w:r>
          </w:p>
        </w:tc>
        <w:tc>
          <w:tcPr>
            <w:tcW w:w="225" w:type="dxa"/>
            <w:tcBorders/>
            <w:shd w:fill="FFFF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2317" w:type="dxa"/>
            <w:tcBorders/>
            <w:shd w:fill="CCEEFF" w:val="clear"/>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Todd Pepmeier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9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18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24,120</w:t>
            </w:r>
          </w:p>
        </w:tc>
        <w:tc>
          <w:tcPr>
            <w:tcW w:w="22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668,400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2317"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89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30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 w:type="dxa"/>
            <w:tcBorders/>
            <w:shd w:fill="CCEEFF" w:val="clear"/>
            <w:tcMar>
              <w:bottom w:w="0" w:type="dxa"/>
            </w:tcMar>
            <w:vAlign w:val="center"/>
          </w:tcPr>
          <w:p>
            <w:pPr>
              <w:pStyle w:val="TableContents"/>
              <w:bidi w:val="0"/>
              <w:spacing w:before="0" w:after="283"/>
              <w:jc w:val="left"/>
              <w:rPr/>
            </w:pPr>
            <w:r>
              <w:rPr/>
              <w:t> </w:t>
            </w:r>
          </w:p>
        </w:tc>
        <w:tc>
          <w:tcPr>
            <w:tcW w:w="184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reflected in this column represent the grant date fair value of restricted stock units. The grant date fair value is measured based on the closing price of our common stock on the date of grant in accordance with FASB ASC Topic 718. The valuation methodology and assumptions used in determining such amounts are described in Note 17 of the Company’s financial statements for the year ended December 31, 2025.</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Daniel O’Toole received $120,000 compensation in each fiscal year, per the terms of the exclusive patent license agreement. For the year ended December 31, 2025, Mr. O’Toole also received $24,445 in employer-paid healthcare insurance and $42,953 in imputed income for healthcare and life insurance benefits and other services per his compensation package approved by the Board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Hamm and Todd Pepmeier each received $24,120 in employer-paid healthcare insurance.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discusses the material components of the executive compensation program for the Company’s named executive officers who appear in the “2025 Summary Compensation Table” below. In 2025, the “named executive officers” and their positions with the Company were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Daniel O’Toole: Chairman and Chief Executive Officer</w:t>
      </w:r>
    </w:p>
    <w:p>
      <w:pPr>
        <w:pStyle w:val="TextBody"/>
        <w:bidi w:val="0"/>
        <w:spacing w:before="0" w:after="0"/>
        <w:ind w:left="360" w:right="0" w:hanging="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Mark Hamm: Chief Operating Officer</w:t>
      </w:r>
    </w:p>
    <w:p>
      <w:pPr>
        <w:pStyle w:val="TextBody"/>
        <w:bidi w:val="0"/>
        <w:spacing w:before="0" w:after="0"/>
        <w:ind w:left="360" w:right="0" w:hanging="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Todd Pepmeier: Chief Financial Officer</w:t>
      </w:r>
    </w:p>
    <w:p>
      <w:pPr>
        <w:pStyle w:val="TextBody"/>
        <w:bidi w:val="0"/>
        <w:spacing w:before="0" w:after="0"/>
        <w:ind w:left="36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under applicable SEC rules and are providing disclosure regarding our executive compensation arrangements pursuant to the rules applicable to emerging growth companies, which means that we are not required to provide a compensation discussion and analysis and certain other disclosures regarding our executive compensation. The following discussion relates to the compensation of our named executive officers for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adoption of the Compensation Committee charter in October 2023, the Compensation Committee determines and approves all elements of executive officer compensation. The Compensation Committee’s primary objectives in determining executive officer compensation are to (i) develop an overall compensation package that is at market levels and thus fosters executive officer retention and (ii) align the interests of our executive officers with our stockholders by linking a significant portion of the compensation package to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 Versus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Item 402(v) of Regulation S-K, we are providing the following information regarding the relationship between executive compensation actually paid and certain financial performance measures of the Company. As a smaller reporting company and in our first year of providing this disclosure, we are presenting information for fiscal years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 Versus Performance Table</w:t>
      </w:r>
    </w:p>
    <w:p>
      <w:pPr>
        <w:pStyle w:val="TextBody"/>
        <w:bidi w:val="0"/>
        <w:spacing w:before="0" w:after="0"/>
        <w:ind w:left="0" w:right="0" w:hanging="0"/>
        <w:jc w:val="both"/>
        <w:rPr>
          <w:caps w:val="false"/>
          <w:smallCaps w:val="false"/>
        </w:rPr>
      </w:pPr>
      <w:r>
        <w:rPr>
          <w:caps w:val="false"/>
          <w:smallCaps w:val="false"/>
        </w:rPr>
        <w:t> </w:t>
      </w:r>
    </w:p>
    <w:tbl>
      <w:tblPr>
        <w:tblW w:w="11260" w:type="dxa"/>
        <w:jc w:val="left"/>
        <w:tblInd w:w="0" w:type="dxa"/>
        <w:tblLayout w:type="fixed"/>
        <w:tblCellMar>
          <w:top w:w="0" w:type="dxa"/>
          <w:left w:w="0" w:type="dxa"/>
          <w:bottom w:w="28" w:type="dxa"/>
          <w:right w:w="0" w:type="dxa"/>
        </w:tblCellMar>
      </w:tblPr>
      <w:tblGrid>
        <w:gridCol w:w="545"/>
        <w:gridCol w:w="60"/>
        <w:gridCol w:w="85"/>
        <w:gridCol w:w="1405"/>
        <w:gridCol w:w="60"/>
        <w:gridCol w:w="60"/>
        <w:gridCol w:w="71"/>
        <w:gridCol w:w="1164"/>
        <w:gridCol w:w="60"/>
        <w:gridCol w:w="60"/>
        <w:gridCol w:w="103"/>
        <w:gridCol w:w="1387"/>
        <w:gridCol w:w="60"/>
        <w:gridCol w:w="60"/>
        <w:gridCol w:w="79"/>
        <w:gridCol w:w="1156"/>
        <w:gridCol w:w="95"/>
        <w:gridCol w:w="60"/>
        <w:gridCol w:w="60"/>
        <w:gridCol w:w="1175"/>
        <w:gridCol w:w="95"/>
        <w:gridCol w:w="60"/>
        <w:gridCol w:w="110"/>
        <w:gridCol w:w="1035"/>
        <w:gridCol w:w="60"/>
        <w:gridCol w:w="60"/>
        <w:gridCol w:w="93"/>
        <w:gridCol w:w="1832"/>
        <w:gridCol w:w="110"/>
      </w:tblGrid>
      <w:tr>
        <w:trPr/>
        <w:tc>
          <w:tcPr>
            <w:tcW w:w="54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w:t>
            </w:r>
          </w:p>
        </w:tc>
        <w:tc>
          <w:tcPr>
            <w:tcW w:w="60" w:type="dxa"/>
            <w:tcBorders/>
            <w:tcMar>
              <w:bottom w:w="0" w:type="dxa"/>
            </w:tcMar>
            <w:vAlign w:val="center"/>
          </w:tcPr>
          <w:p>
            <w:pPr>
              <w:pStyle w:val="TableContents"/>
              <w:bidi w:val="0"/>
              <w:spacing w:before="0" w:after="283"/>
              <w:jc w:val="center"/>
              <w:rPr/>
            </w:pPr>
            <w:r>
              <w:rPr/>
              <w:t> </w:t>
            </w:r>
          </w:p>
        </w:tc>
        <w:tc>
          <w:tcPr>
            <w:tcW w:w="149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Summary Compensation Table Total for PEO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 Actually Paid to PEO ($)</w:t>
            </w:r>
            <w:r>
              <w:rPr>
                <w:rFonts w:ascii="Times New Roman;Times;Serif" w:hAnsi="Times New Roman;Times;Serif"/>
                <w:b/>
                <w:position w:val="7"/>
                <w:sz w:val="16"/>
                <w:sz w:val="20"/>
              </w:rPr>
              <w:t>(2)(3)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9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Average Summary Compensation Table Total for Non-PEO NEOs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 Compensation Actually Paid to Non-PEO NEOs ($)</w:t>
            </w:r>
            <w:r>
              <w:rPr>
                <w:rFonts w:ascii="Times New Roman;Times;Serif" w:hAnsi="Times New Roman;Times;Serif"/>
                <w:b/>
                <w:position w:val="7"/>
                <w:sz w:val="16"/>
                <w:sz w:val="20"/>
              </w:rPr>
              <w:t>(2)(4)</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Income (Loss) ($)</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Company TSR ($100 Initial Fixed Investment)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9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Company-Selected Measure</w:t>
            </w:r>
          </w:p>
        </w:tc>
        <w:tc>
          <w:tcPr>
            <w:tcW w:w="110" w:type="dxa"/>
            <w:tcBorders/>
            <w:tcMar>
              <w:bottom w:w="0" w:type="dxa"/>
            </w:tcMar>
            <w:vAlign w:val="center"/>
          </w:tcPr>
          <w:p>
            <w:pPr>
              <w:pStyle w:val="TableContents"/>
              <w:bidi w:val="0"/>
              <w:spacing w:before="0" w:after="283"/>
              <w:jc w:val="center"/>
              <w:rPr/>
            </w:pPr>
            <w:r>
              <w:rPr/>
              <w:t> </w:t>
            </w:r>
          </w:p>
        </w:tc>
      </w:tr>
      <w:tr>
        <w:trPr/>
        <w:tc>
          <w:tcPr>
            <w:tcW w:w="54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4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2,255,031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16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2,255,031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(223,383</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(12,826,384</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183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(12,826,384</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40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16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8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297,938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(4,537,901</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3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 w:type="dxa"/>
            <w:tcBorders/>
            <w:shd w:fill="FFFFFF" w:val="clear"/>
            <w:tcMar>
              <w:bottom w:w="0" w:type="dxa"/>
            </w:tcMar>
            <w:vAlign w:val="center"/>
          </w:tcPr>
          <w:p>
            <w:pPr>
              <w:pStyle w:val="TableContents"/>
              <w:bidi w:val="0"/>
              <w:spacing w:before="0" w:after="283"/>
              <w:jc w:val="left"/>
              <w:rPr/>
            </w:pPr>
            <w:r>
              <w:rPr/>
              <w:t> </w:t>
            </w:r>
          </w:p>
        </w:tc>
        <w:tc>
          <w:tcPr>
            <w:tcW w:w="183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(4,537,901</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TSR for fiscal year 2024 is not presented because the Company’s common stock was not publicly traded during that fiscal year. TSR for fiscal year 2025 reflects the cumulative return on a $100 investment beginning on May 15, 2025, the first trading day of the Company’s common stock on Nasdaq, through December 31,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Actually Paid (“CAP”) is calculated in accordance with Item 402(v) of Regulation S-K and differs from the amounts reported in the Summary Compensation Table. CAP reflects adjustments to remove the grant date fair value of equity awards included in the Summary Compensation Table and to include the fair value of equity awards as of the end of the applicable fiscal year or the vesting date, as applicable, together with changes in fair value of such awards during the year.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Executive Officer did not receive equity awards during fiscal years 2025 or 2024. Accordingly, Compensation Actually Paid to the PEO is equal to the total compensation reported for the PEO in the Summary Compensation Table for those fiscal years.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stock option awards used in determining Compensation Actually Paid was calculated using a Black-Scholes option pricing model based on the Company’s stock price and updated valuation assumptions as of the applicable measurement dates.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Actually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Actually Paid (“CAP”) is calculated in accordance with Item 402(v) of Regulation S-K and differs from the amounts reported in the Summary Compensation Table. CAP reflects adjustments to remove the grant date fair value of equity awards and to include the fair value of equity awards as of the end of the applicable fiscal year or the vesting date, as applicable, together with any changes in fair value of such awards during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Shareholder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 Return (“TSR”) reflects the cumulative return on a $100 investment in the Company’s common stock beginning on May 15, 2025, the first trading day of the Company’s common stock on Nasdaq, through December 31, 2025. The Company did not pay dividends during fiscal year 2025. Because the Company was not publicly traded during fiscal year 2024, TSR for fiscal year 2024 is not presented.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Company-Selected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year 2025, the Company selected Net Income (Loss) as its Company-Selected Measure. During fiscal year 2025, executive compensation was not based on a formulaic financial performance metric. Instead, compensation decisions reflected the Company’s strategic objectives, including completion of its public listing and establishment of a financing facility to support future growth, and Board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revenue was not material and the Company was in an investment and development phase, Net Income (Loss) is the most directly applicable financial performance measure presented in the table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Relationship Between Compensation Actually Paid and Net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a net loss in fiscal years 2025 and 2024 as it continued to invest in product development, intellectual property, commercialization activities and public company readiness. Net income (loss) was not used as a determinative factor in setting base salary, equity award levels, or cash incentive compensation for fiscal year 2025. Accordingly, Compensation Actually Paid to the PEO and the average Compensation Actually Paid to the non-PEO named executive officers was not directly tied to net income (loss) during these periods. Rather, compensation decisions were based on overall Company progress and strategic initiatives, including the Company’s public listing and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Relationship Between Compensation Actually Paid and Total Shareholder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 Return (“TSR”) reflects the cumulative return on a $100 investment in the Company’s common stock beginning on May 15, 2025, the first trading day of the Company’s common stock on Nasdaq, through December 31, 2025. Changes in Compensation Actually Paid during fiscal year 2025 were significantly influenced by changes in the market value of the Company’s common stock following its public listing. As reflected in the TSR presented above, the Company’s stock price experienced volatility during fiscal year 2025. Because Compensation Actually Paid includes adjustments reflecting the fair value of equity awards, fluctuations in stock price directly impact reported CAP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Relationship Between Compensation Actually Paid and the Company-Selected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year 2025, executive compensation was not directly formulaically tied to a specific financial metric. However, compensation decisions considered the Company’s advancement of strategic objectives, including product development, intellectual property expansion, commercialization efforts, and public listing milestones.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fiscal year 2026, the Company intends to implement an executive incentive compensation program tied to defined corporate goals approved annually by the Compensation Committee. These corporate goals may include strategic, operational, and financial objectives tailored to the Company’s stage of development and long-term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outstanding equity awards held by our named executive officers as of December 31, 2025, after giving effect to the Reverse Stock Split retrospectively for all periods presented.</w:t>
      </w:r>
    </w:p>
    <w:p>
      <w:pPr>
        <w:pStyle w:val="TextBody"/>
        <w:bidi w:val="0"/>
        <w:spacing w:before="0" w:after="0"/>
        <w:ind w:left="0" w:right="0" w:hanging="0"/>
        <w:jc w:val="both"/>
        <w:rPr>
          <w:caps w:val="false"/>
          <w:smallCaps w:val="false"/>
        </w:rPr>
      </w:pPr>
      <w:r>
        <w:rPr>
          <w:caps w:val="false"/>
          <w:smallCaps w:val="false"/>
        </w:rPr>
        <w:t> </w:t>
      </w:r>
    </w:p>
    <w:tbl>
      <w:tblPr>
        <w:tblW w:w="10670" w:type="dxa"/>
        <w:jc w:val="left"/>
        <w:tblInd w:w="0" w:type="dxa"/>
        <w:tblLayout w:type="fixed"/>
        <w:tblCellMar>
          <w:top w:w="0" w:type="dxa"/>
          <w:left w:w="0" w:type="dxa"/>
          <w:bottom w:w="0" w:type="dxa"/>
          <w:right w:w="0" w:type="dxa"/>
        </w:tblCellMar>
      </w:tblPr>
      <w:tblGrid>
        <w:gridCol w:w="920"/>
        <w:gridCol w:w="60"/>
        <w:gridCol w:w="635"/>
        <w:gridCol w:w="60"/>
        <w:gridCol w:w="101"/>
        <w:gridCol w:w="1359"/>
        <w:gridCol w:w="60"/>
        <w:gridCol w:w="60"/>
        <w:gridCol w:w="140"/>
        <w:gridCol w:w="1590"/>
        <w:gridCol w:w="60"/>
        <w:gridCol w:w="60"/>
        <w:gridCol w:w="85"/>
        <w:gridCol w:w="1135"/>
        <w:gridCol w:w="60"/>
        <w:gridCol w:w="60"/>
        <w:gridCol w:w="97"/>
        <w:gridCol w:w="718"/>
        <w:gridCol w:w="60"/>
        <w:gridCol w:w="60"/>
        <w:gridCol w:w="180"/>
        <w:gridCol w:w="875"/>
        <w:gridCol w:w="60"/>
        <w:gridCol w:w="60"/>
        <w:gridCol w:w="68"/>
        <w:gridCol w:w="912"/>
        <w:gridCol w:w="60"/>
        <w:gridCol w:w="60"/>
        <w:gridCol w:w="140"/>
        <w:gridCol w:w="800"/>
        <w:gridCol w:w="75"/>
      </w:tblGrid>
      <w:tr>
        <w:trPr/>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55" w:type="dxa"/>
            <w:gridSpan w:val="2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 Awards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Stock Awards</w:t>
            </w:r>
          </w:p>
        </w:tc>
        <w:tc>
          <w:tcPr>
            <w:tcW w:w="75" w:type="dxa"/>
            <w:tcBorders/>
            <w:vAlign w:val="center"/>
          </w:tcPr>
          <w:p>
            <w:pPr>
              <w:pStyle w:val="TableContents"/>
              <w:bidi w:val="0"/>
              <w:spacing w:before="0" w:after="283"/>
              <w:jc w:val="center"/>
              <w:rPr/>
            </w:pPr>
            <w:r>
              <w:rPr/>
              <w:t> </w:t>
            </w:r>
          </w:p>
        </w:tc>
      </w:tr>
      <w:tr>
        <w:trPr/>
        <w:tc>
          <w:tcPr>
            <w:tcW w:w="9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w:t>
            </w:r>
          </w:p>
        </w:tc>
        <w:tc>
          <w:tcPr>
            <w:tcW w:w="60" w:type="dxa"/>
            <w:tcBorders/>
            <w:vAlign w:val="center"/>
          </w:tcPr>
          <w:p>
            <w:pPr>
              <w:pStyle w:val="TableContents"/>
              <w:bidi w:val="0"/>
              <w:spacing w:before="0" w:after="283"/>
              <w:jc w:val="center"/>
              <w:rPr/>
            </w:pPr>
            <w:r>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Grant Date</w:t>
            </w:r>
          </w:p>
        </w:tc>
        <w:tc>
          <w:tcPr>
            <w:tcW w:w="60" w:type="dxa"/>
            <w:tcBorders/>
            <w:vAlign w:val="center"/>
          </w:tcPr>
          <w:p>
            <w:pPr>
              <w:pStyle w:val="TableContents"/>
              <w:bidi w:val="0"/>
              <w:spacing w:before="0" w:after="283"/>
              <w:jc w:val="center"/>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Number of securities underlying unexercised options (#) exercisable </w:t>
            </w:r>
            <w:r>
              <w:rPr>
                <w:rFonts w:ascii="Times New Roman;Times;Serif" w:hAnsi="Times New Roman;Times;Serif"/>
                <w:b/>
                <w:position w:val="8"/>
                <w:sz w:val="19"/>
              </w:rPr>
              <w:t>(1)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securities underlying unexercised options (#) unexercisable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 incentive plan awards: number of securities underlying unexercised unearned options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 exercise price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 expiration date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shares of restricted stock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 shares of restricted stock ($)</w:t>
            </w:r>
            <w:r>
              <w:rPr>
                <w:rFonts w:ascii="Times New Roman;Times;Serif" w:hAnsi="Times New Roman;Times;Serif"/>
                <w:b/>
                <w:i w:val="false"/>
                <w:caps w:val="false"/>
                <w:smallCaps w:val="false"/>
                <w:position w:val="7"/>
                <w:sz w:val="16"/>
                <w:sz w:val="20"/>
              </w:rPr>
              <w:t xml:space="preserve"> (2)</w:t>
            </w:r>
          </w:p>
        </w:tc>
        <w:tc>
          <w:tcPr>
            <w:tcW w:w="75" w:type="dxa"/>
            <w:tcBorders/>
            <w:vAlign w:val="center"/>
          </w:tcPr>
          <w:p>
            <w:pPr>
              <w:pStyle w:val="TableContents"/>
              <w:bidi w:val="0"/>
              <w:spacing w:before="0" w:after="283"/>
              <w:jc w:val="center"/>
              <w:rPr/>
            </w:pPr>
            <w:r>
              <w:rPr/>
              <w:t> </w:t>
            </w:r>
          </w:p>
        </w:tc>
      </w:tr>
      <w:tr>
        <w:trPr/>
        <w:tc>
          <w:tcPr>
            <w:tcW w:w="9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Mark Hamm</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6/1/22</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Mark Hamm</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12/31/25</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328,668</w:t>
            </w:r>
          </w:p>
        </w:tc>
        <w:tc>
          <w:tcPr>
            <w:tcW w:w="75"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Todd Pepmeier</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8/16/23</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Todd Pepmeier</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11/13/23</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Todd Pepmeier</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12/31/25</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Securities in this column are 100% vested and exercisable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Market value of shares at December 31,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set forth below, the Company does not have an employment agreement with any member of the Company’s management team or any members of the Board. However, the Company plans to enter into executive employment agreements with the Company’s management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Hamm – Chief Operating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 2022, the Company entered into an employment agreement with Mark Hamm pursuant to which he serves as Chief Operating Officer. The agreement provides for at-will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his employment agreement dated June 1, 2022, Mr. Hamm’s initial annual base salary was $240,000. Effective September 1, 2025, the Board approved an increase to $290,000.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Hamm was initially eligible to receive discretionary bonus compensation as determined by the Board of Directors. As of September 1, 2025, his annual short-term cash bonus is subject to the executive compensation plan approved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Hamm was granted stock options covering 384,272 shares at an exercise price of $0.82 per share, after giving effect to the reverse stock split. The grant consists of time-based and performance-based components:</w:t>
      </w:r>
    </w:p>
    <w:p>
      <w:pPr>
        <w:pStyle w:val="TextBody"/>
        <w:bidi w:val="0"/>
        <w:spacing w:before="0" w:after="0"/>
        <w:ind w:left="0" w:right="0" w:hanging="0"/>
        <w:jc w:val="both"/>
        <w:rPr>
          <w:caps w:val="false"/>
          <w:smallCaps w:val="false"/>
        </w:rPr>
      </w:pPr>
      <w:r>
        <w:rPr>
          <w:caps w:val="false"/>
          <w:smallCaps w:val="false"/>
        </w:rPr>
        <w:t> </w:t>
      </w:r>
    </w:p>
    <w:tbl>
      <w:tblPr>
        <w:tblW w:w="5163" w:type="dxa"/>
        <w:jc w:val="left"/>
        <w:tblInd w:w="0" w:type="dxa"/>
        <w:tblLayout w:type="fixed"/>
        <w:tblCellMar>
          <w:top w:w="0" w:type="dxa"/>
          <w:left w:w="0" w:type="dxa"/>
          <w:bottom w:w="0" w:type="dxa"/>
          <w:right w:w="0" w:type="dxa"/>
        </w:tblCellMar>
      </w:tblPr>
      <w:tblGrid>
        <w:gridCol w:w="38"/>
        <w:gridCol w:w="17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192,136 Time-Based Non-Qualified Stock Options (NQSOs):</w:t>
            </w:r>
          </w:p>
        </w:tc>
      </w:tr>
    </w:tbl>
    <w:tbl>
      <w:tblPr>
        <w:tblW w:w="6498" w:type="dxa"/>
        <w:jc w:val="left"/>
        <w:tblInd w:w="0" w:type="dxa"/>
        <w:tblLayout w:type="fixed"/>
        <w:tblCellMar>
          <w:top w:w="0" w:type="dxa"/>
          <w:left w:w="0" w:type="dxa"/>
          <w:bottom w:w="0" w:type="dxa"/>
          <w:right w:w="0" w:type="dxa"/>
        </w:tblCellMar>
      </w:tblPr>
      <w:tblGrid>
        <w:gridCol w:w="38"/>
        <w:gridCol w:w="17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 over four years.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 one-year cliff.</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vest on the first anniversary of the grant date.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 vest in equal quarterly installments over the remaining three years.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vesting occurs if employment terminates before the first anniversary.</w:t>
            </w:r>
          </w:p>
        </w:tc>
      </w:tr>
    </w:tbl>
    <w:p>
      <w:pPr>
        <w:pStyle w:val="TextBody"/>
        <w:bidi w:val="0"/>
        <w:spacing w:before="0" w:after="0"/>
        <w:ind w:left="1440" w:right="0" w:hanging="36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17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192,136 Performance-Based Incentive Stock Options (ISOs):</w:t>
            </w:r>
          </w:p>
        </w:tc>
      </w:tr>
    </w:tbl>
    <w:tbl>
      <w:tblPr>
        <w:tblW w:w="8763" w:type="dxa"/>
        <w:jc w:val="left"/>
        <w:tblInd w:w="0" w:type="dxa"/>
        <w:tblLayout w:type="fixed"/>
        <w:tblCellMar>
          <w:top w:w="0" w:type="dxa"/>
          <w:left w:w="0" w:type="dxa"/>
          <w:bottom w:w="0" w:type="dxa"/>
          <w:right w:w="0" w:type="dxa"/>
        </w:tblCellMar>
      </w:tblPr>
      <w:tblGrid>
        <w:gridCol w:w="38"/>
        <w:gridCol w:w="17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Eligible to vest upon achievement of specified company valuation milestones.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of the total award vests upon achievement and six-month sustainability of a $500 million valuation.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of the total award vests upon achievement and six-month sustainability of a $1 billion valuation.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Performance-based vesting remains subject to the same time-based vesting schedule described above.</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options granted are set pursuant to a separate award agreement under the Company’s equity incentive plan.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change in control:</w:t>
      </w:r>
    </w:p>
    <w:p>
      <w:pPr>
        <w:pStyle w:val="TextBody"/>
        <w:bidi w:val="0"/>
        <w:spacing w:before="0" w:after="0"/>
        <w:ind w:left="0" w:right="0" w:hanging="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170"/>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of the total option award accelerates and becomes vested upon the occurrence of the transaction (single trigger).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50% accelerates upon a qualifying termination following the change in control (double trigger).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Severance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does not provide for severance payments upon termination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Hamm is eligible to participate in employee benefit plans and programs made available to senior executives, including health benefits, retirement benefits, and paid time off, in accordance with Company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Todd Pepmeier –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2023, the Company entered into an employment agreement with Todd Pepmeier pursuant to which he serves as Chief Financial Officer. The agreement provides for at-will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his employment agreement dated November 13, 2023, Mr. Pepmeier’s initial annual base salary was $150,000. Effective September 1, 2025, the Board approved an increase to $280,000.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his employment agreement dated November 13, 2023, Mr. Pepmeier was eligible for an annual discretionary bonus targeted at $25,000. As of September 1, 2025, his annual short-term cash bonus is subject to the executive compensation plan approved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Pepmeier was granted stock options covering 125,000 shares at an exercise price of $0.76 per share, after giving effect to the reverse stock split. The award consists of:</w:t>
      </w:r>
    </w:p>
    <w:p>
      <w:pPr>
        <w:pStyle w:val="TextBody"/>
        <w:bidi w:val="0"/>
        <w:spacing w:before="0" w:after="0"/>
        <w:ind w:left="0" w:right="0" w:hanging="0"/>
        <w:jc w:val="both"/>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17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62,500 Time-Based Non-Qualified Stock Options (NQSOs):</w:t>
            </w:r>
          </w:p>
        </w:tc>
      </w:tr>
    </w:tbl>
    <w:tbl>
      <w:tblPr>
        <w:tblW w:w="6498" w:type="dxa"/>
        <w:jc w:val="left"/>
        <w:tblInd w:w="0" w:type="dxa"/>
        <w:tblLayout w:type="fixed"/>
        <w:tblCellMar>
          <w:top w:w="0" w:type="dxa"/>
          <w:left w:w="0" w:type="dxa"/>
          <w:bottom w:w="0" w:type="dxa"/>
          <w:right w:w="0" w:type="dxa"/>
        </w:tblCellMar>
      </w:tblPr>
      <w:tblGrid>
        <w:gridCol w:w="38"/>
        <w:gridCol w:w="17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 over four years.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 one-year cliff.</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vest on the first anniversary of the grant date.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 vest in equal quarterly installments over the remaining three years.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vesting occurs if employment terminates before the first anniversary.</w:t>
            </w:r>
          </w:p>
        </w:tc>
      </w:tr>
    </w:tbl>
    <w:p>
      <w:pPr>
        <w:pStyle w:val="TextBody"/>
        <w:bidi w:val="0"/>
        <w:spacing w:before="0" w:after="0"/>
        <w:ind w:left="1440" w:right="0" w:hanging="360"/>
        <w:jc w:val="both"/>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38"/>
        <w:gridCol w:w="170"/>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62,500 Performance-Based Incentive Stock Options (ISOs):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of this portion (25% of total grant) vests upon achievement and six-month sustainability of a $600 million company valuation.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of this portion (25% of total grant) vests upon achievement and six-month sustainability of a $1 billion company valuation.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Performance-based vesting remains subject to the same time-based vesting schedule described above.</w:t>
            </w:r>
          </w:p>
        </w:tc>
      </w:tr>
    </w:tbl>
    <w:p>
      <w:pPr>
        <w:pStyle w:val="TextBody"/>
        <w:bidi w:val="0"/>
        <w:spacing w:before="0" w:after="0"/>
        <w:ind w:left="144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change in control:</w:t>
      </w:r>
    </w:p>
    <w:p>
      <w:pPr>
        <w:pStyle w:val="TextBody"/>
        <w:bidi w:val="0"/>
        <w:spacing w:before="0" w:after="0"/>
        <w:ind w:left="0" w:right="0" w:hanging="0"/>
        <w:jc w:val="both"/>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170"/>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of the total option award accelerates upon the transaction (single trigger).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50% accelerates upon a qualifying termination following the transaction (double trigger).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Severance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does not provide for severance payments upon termination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Pepmeier is eligible to participate in employee benefit plans and programs made available to senior executives, including health benefits, retirement benefits, and paid time off, in accordance with Company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the Arrive AI Inc. Stock Equity Incentive Plan (the “Plan”), which was adopted by the Board in 2023. In November 2025, the Board approved an amendment to increase the number of shares authorized for issuance under the Plan to 7,000,000 shares of common stock, after giving effect to the Reverse Stock Split. This amendment was approved by written consent of the majority shareholder on December 16,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permits the grant of stock options, restricted stock, restricted stock units, stock appreciation rights and other equity-based awards to employees, directors and consultants. The Plan is administered by the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Plan is incorporated to this Annual Report on Form 10-K as exhibit 10.8.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compensation earned by the Company’s non-employee directors for services rendered as a director during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8163" w:type="dxa"/>
        <w:jc w:val="left"/>
        <w:tblInd w:w="0" w:type="dxa"/>
        <w:tblLayout w:type="fixed"/>
        <w:tblCellMar>
          <w:top w:w="0" w:type="dxa"/>
          <w:left w:w="0" w:type="dxa"/>
          <w:bottom w:w="28" w:type="dxa"/>
          <w:right w:w="0" w:type="dxa"/>
        </w:tblCellMar>
      </w:tblPr>
      <w:tblGrid>
        <w:gridCol w:w="3665"/>
        <w:gridCol w:w="60"/>
        <w:gridCol w:w="202"/>
        <w:gridCol w:w="1992"/>
        <w:gridCol w:w="60"/>
        <w:gridCol w:w="60"/>
        <w:gridCol w:w="93"/>
        <w:gridCol w:w="1081"/>
        <w:gridCol w:w="60"/>
        <w:gridCol w:w="60"/>
        <w:gridCol w:w="60"/>
        <w:gridCol w:w="695"/>
        <w:gridCol w:w="75"/>
      </w:tblGrid>
      <w:tr>
        <w:trPr/>
        <w:tc>
          <w:tcPr>
            <w:tcW w:w="366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94" w:type="dxa"/>
            <w:gridSpan w:val="2"/>
            <w:tcBorders>
              <w:bottom w:val="single" w:sz="8"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earned or paid in cash</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Gallina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22,917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145,969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168,886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McAdams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22,917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145,969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168,886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Laurie Tucker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22,917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77,195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100,112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66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Stafford (served until July 31, 2025)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72,154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72,154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the “Stock Awards” column represent the aggregate grant date fair value of restricted stock units (“RSUs”) and fully vested shares of common stock granted during fiscal year 2025, computed in accordance with Financial Accounting Standards Board Accounting Standards Codification Topic 718, Compensation—Stock Compensation (“ASC 718”). The grant date fair value of RSUs and fully vested shares was determined based on the closing price of our common stock on the applicable grant date. The assumptions used in calculating these amounts are described in Note 17 to our audited financial statements included in this Annual Report on Form 10-K.</w:t>
            </w:r>
          </w:p>
        </w:tc>
      </w:tr>
      <w:tr>
        <w:trPr/>
        <w:tc>
          <w:tcPr>
            <w:tcW w:w="209" w:type="dxa"/>
            <w:tcBorders/>
            <w:vAlign w:val="center"/>
          </w:tcPr>
          <w:p>
            <w:pPr>
              <w:pStyle w:val="TableContents"/>
              <w:bidi w:val="0"/>
              <w:spacing w:before="0" w:after="283"/>
              <w:jc w:val="left"/>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aggregate number of unvested RSUs outstanding for each non-employee director was as follows:</w:t>
            </w:r>
          </w:p>
        </w:tc>
      </w:tr>
    </w:tbl>
    <w:p>
      <w:pPr>
        <w:pStyle w:val="TextBody"/>
        <w:bidi w:val="0"/>
        <w:spacing w:before="0" w:after="0"/>
        <w:ind w:left="360" w:right="0" w:hanging="360"/>
        <w:jc w:val="both"/>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17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Gallina – 21,551 RSUs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McAdams – 21,551 RSUs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Laurie Tucker – 21,551 RSUs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Stafford had no unvested equity awards outstanding as of December 31, 2025. No director held any stock options outstanding at fiscal year end.</w:t>
      </w:r>
    </w:p>
    <w:p>
      <w:pPr>
        <w:pStyle w:val="TextBody"/>
        <w:bidi w:val="0"/>
        <w:spacing w:before="0" w:after="0"/>
        <w:ind w:left="3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September 1, 2025, non-employee directors were entitled to receive:</w:t>
      </w:r>
    </w:p>
    <w:p>
      <w:pPr>
        <w:pStyle w:val="TextBody"/>
        <w:bidi w:val="0"/>
        <w:spacing w:before="0" w:after="0"/>
        <w:ind w:left="0" w:right="0" w:hanging="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cash retainer of $40,000, payable quarterly in arrears;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annual cash retainers for chairmen of Board committees;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annual cash retainers for service on Board committees, payable quarterly in arrears.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year 2025, John Gallina, Kevin McAdams and Laurie Tucker each received $22,917 in cash compensation. These amounts reflect prorated annual retainers beginning September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Stafford served as a director until July 31, 2025. He did not receive cash compensation during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meeting fees were paid in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year 2025, non-employee directors received long-term equity compensation in the form of RSUs and, in certain cases, fully vested shares of common stock. All equity awards were granted under the Company’s shareholder-approved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Gallina and Kevin McAdams were each granted:</w:t>
      </w:r>
    </w:p>
    <w:p>
      <w:pPr>
        <w:pStyle w:val="TextBody"/>
        <w:bidi w:val="0"/>
        <w:spacing w:before="0" w:after="0"/>
        <w:ind w:left="0" w:right="0" w:hanging="0"/>
        <w:jc w:val="both"/>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9,318 fully vested shares of common stock;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21,551 RSUs.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Laurie Tucker was granted:</w:t>
      </w:r>
    </w:p>
    <w:p>
      <w:pPr>
        <w:pStyle w:val="TextBody"/>
        <w:bidi w:val="0"/>
        <w:spacing w:before="0" w:after="0"/>
        <w:ind w:left="0" w:right="0" w:hanging="0"/>
        <w:jc w:val="both"/>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 fully vested shares of common stock;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21,551 RSUs.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Stafford was granted:</w:t>
      </w:r>
    </w:p>
    <w:p>
      <w:pPr>
        <w:pStyle w:val="TextBody"/>
        <w:bidi w:val="0"/>
        <w:spacing w:before="0" w:after="0"/>
        <w:ind w:left="0" w:right="0" w:hanging="0"/>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170"/>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9,318 fully vested shares of common stock.</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granted in fiscal year 2025 vest twelve months from the applicable grant date, subject to continued service on the Board through the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fully vested shares granted in fiscal year 2025 were issued in recognition of Board service prior to September 1, 2025 and, in certain cases, as a one-time award in connection with the Company’s public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Additional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officers who serve as directors do not receive additional compensation for their service as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compensation described above, non-employee directors did not receive any additional compensation during fiscal year 2025, including perquisites, consulting fees, or other personal benefits.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Recovery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final rules adopted by the SEC and Nasdaq implementing the incentive-based compensation recovery provisions of the Dodd-Frank Act, our Board approved the Arrive AI Inc. Compensation Recovery Policy, effective as of October 24, 2024, which provides that in the event the Company is required to restate any of its financial statements that have been filed with the SEC, then the Compensation Committee will seek to recover any erroneously awarded performance-based incentive-based compensation (including any performance-based cash and equity awards and salary increases earned wholly or in part based on the attainment of financial performance goals) received by any person who is or was a Section 16 officer during the three-fiscal year recovery period. A copy of our Compensation Recovery Policy, including any amendments thereto, is filed as Exhibit 97.1 to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promoting high standards of ethical business conduct and compliance with applicable laws, rules and regulations. As part of this commitment, we have adopted our Insider Trading Policy governing the purchase, sale, and/or other dispositions of our securities by our directors, officers and employees that we believe is reasonably designed to promote compliance with insider trading laws, rules and regulations, and the exchange listing standards applicable to us. A copy of our Insider Trading Policy, including any amendments thereto, is filed as Exhibit 19.1 to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 w:name="a_022"/>
      <w:bookmarkEnd w:id="73"/>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common stock as of April 15, 2026, by:</w:t>
      </w:r>
    </w:p>
    <w:p>
      <w:pPr>
        <w:pStyle w:val="TextBody"/>
        <w:bidi w:val="0"/>
        <w:spacing w:before="0" w:after="0"/>
        <w:ind w:left="0" w:right="0" w:hanging="0"/>
        <w:jc w:val="both"/>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17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by us to beneficially own more than 5% of our outstanding common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and executive officers as a group.</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U.S. Securities and Exchange Commission (“SEC”), including Rule 13d-3 under the Securities Exchange Act of 1934, as amended. Under these rules, a person is deemed to beneficially own shares of common stock if that person has or shares voting power or investment power with respect to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that a person has the right to acquire within 60 days of April 15, 2026, including through the exercise of options or warrants or the vesting of restricted stock units, are deemed to be beneficially owned by that person and are included in the percentage ownership of that person, but are not treated as outstanding for purposes of computing the percentage ownership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listed below is c/o Arrive AI Inc., 9100 Fall View Drive, Fishers, Indiana 46037.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15, 2026, there were 47,731,391 shares of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information is based on filings made with the SEC and information provided to the Company.</w:t>
      </w:r>
    </w:p>
    <w:p>
      <w:pPr>
        <w:pStyle w:val="TextBody"/>
        <w:bidi w:val="0"/>
        <w:spacing w:before="0" w:after="0"/>
        <w:ind w:left="0" w:right="0" w:hanging="0"/>
        <w:jc w:val="both"/>
        <w:rPr>
          <w:caps w:val="false"/>
          <w:smallCaps w:val="false"/>
        </w:rPr>
      </w:pPr>
      <w:r>
        <w:rPr>
          <w:caps w:val="false"/>
          <w:smallCaps w:val="false"/>
        </w:rPr>
        <w:t> </w:t>
      </w:r>
    </w:p>
    <w:tbl>
      <w:tblPr>
        <w:tblW w:w="9018" w:type="dxa"/>
        <w:jc w:val="left"/>
        <w:tblInd w:w="0" w:type="dxa"/>
        <w:tblLayout w:type="fixed"/>
        <w:tblCellMar>
          <w:top w:w="0" w:type="dxa"/>
          <w:left w:w="0" w:type="dxa"/>
          <w:bottom w:w="28" w:type="dxa"/>
          <w:right w:w="0" w:type="dxa"/>
        </w:tblCellMar>
      </w:tblPr>
      <w:tblGrid>
        <w:gridCol w:w="5480"/>
        <w:gridCol w:w="60"/>
        <w:gridCol w:w="100"/>
        <w:gridCol w:w="1584"/>
        <w:gridCol w:w="290"/>
        <w:gridCol w:w="60"/>
        <w:gridCol w:w="185"/>
        <w:gridCol w:w="1184"/>
        <w:gridCol w:w="75"/>
      </w:tblGrid>
      <w:tr>
        <w:trPr/>
        <w:tc>
          <w:tcPr>
            <w:tcW w:w="5480" w:type="dxa"/>
            <w:tcBorders>
              <w:bottom w:val="single" w:sz="8" w:space="0" w:color="000000"/>
            </w:tcBorders>
            <w:vAlign w:val="center"/>
          </w:tcPr>
          <w:p>
            <w:pPr>
              <w:pStyle w:val="TableContents"/>
              <w:bidi w:val="0"/>
              <w:spacing w:before="0" w:after="283"/>
              <w:jc w:val="both"/>
              <w:rPr>
                <w:b/>
                <w:sz w:val="20"/>
              </w:rPr>
            </w:pPr>
            <w:r>
              <w:rPr>
                <w:b/>
                <w:sz w:val="20"/>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1684"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and Nature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Beneficial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Ownership </w:t>
            </w:r>
            <w:r>
              <w:rPr>
                <w:rFonts w:ascii="Times New Roman;Times;Serif" w:hAnsi="Times New Roman;Times;Serif"/>
                <w:b/>
                <w:i w:val="false"/>
                <w:caps w:val="false"/>
                <w:smallCaps w:val="false"/>
                <w:position w:val="7"/>
                <w:sz w:val="16"/>
                <w:sz w:val="20"/>
              </w:rPr>
              <w:t>(1)</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9" w:type="dxa"/>
            <w:gridSpan w:val="2"/>
            <w:tcBorders>
              <w:bottom w:val="single" w:sz="8" w:space="0" w:color="000000"/>
            </w:tcBorders>
            <w:vAlign w:val="center"/>
          </w:tcPr>
          <w:p>
            <w:pPr>
              <w:pStyle w:val="TableContents"/>
              <w:bidi w:val="0"/>
              <w:spacing w:before="0" w:after="283"/>
              <w:jc w:val="center"/>
              <w:rPr>
                <w:b/>
                <w:sz w:val="20"/>
              </w:rPr>
            </w:pPr>
            <w:r>
              <w:rPr>
                <w:b/>
                <w:sz w:val="20"/>
              </w:rPr>
              <w:t>Percent of Class</w:t>
            </w:r>
          </w:p>
        </w:tc>
        <w:tc>
          <w:tcPr>
            <w:tcW w:w="75" w:type="dxa"/>
            <w:tcBorders/>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both"/>
              <w:rPr>
                <w:b/>
                <w:sz w:val="20"/>
              </w:rPr>
            </w:pPr>
            <w:r>
              <w:rPr>
                <w:b/>
                <w:sz w:val="20"/>
              </w:rPr>
              <w:t>5%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584"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283"/>
              <w:jc w:val="both"/>
              <w:rPr>
                <w:sz w:val="20"/>
              </w:rPr>
            </w:pPr>
            <w:r>
              <w:rPr>
                <w:sz w:val="20"/>
              </w:rPr>
              <w:t>Daniel O’Toole, Chairman and 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584" w:type="dxa"/>
            <w:tcBorders/>
            <w:shd w:fill="FFFFFF" w:val="clear"/>
            <w:tcMar>
              <w:bottom w:w="0" w:type="dxa"/>
            </w:tcMar>
            <w:vAlign w:val="center"/>
          </w:tcPr>
          <w:p>
            <w:pPr>
              <w:pStyle w:val="TableContents"/>
              <w:bidi w:val="0"/>
              <w:spacing w:before="0" w:after="283"/>
              <w:jc w:val="right"/>
              <w:rPr>
                <w:sz w:val="20"/>
              </w:rPr>
            </w:pPr>
            <w:r>
              <w:rPr>
                <w:sz w:val="20"/>
              </w:rPr>
              <w:t>23,155,051</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right"/>
              <w:rPr>
                <w:sz w:val="20"/>
              </w:rPr>
            </w:pPr>
            <w:r>
              <w:rPr>
                <w:sz w:val="20"/>
              </w:rPr>
              <w:t>48.5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both"/>
              <w:rPr>
                <w:sz w:val="20"/>
              </w:rPr>
            </w:pPr>
            <w:r>
              <w:rPr>
                <w:sz w:val="20"/>
              </w:rPr>
              <w:t xml:space="preserve">Streeterville Capital, LLC </w:t>
            </w:r>
            <w:r>
              <w:rPr>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584" w:type="dxa"/>
            <w:tcBorders/>
            <w:shd w:fill="CCEEFF" w:val="clear"/>
            <w:tcMar>
              <w:bottom w:w="0" w:type="dxa"/>
            </w:tcMar>
            <w:vAlign w:val="center"/>
          </w:tcPr>
          <w:p>
            <w:pPr>
              <w:pStyle w:val="TableContents"/>
              <w:bidi w:val="0"/>
              <w:spacing w:before="0" w:after="283"/>
              <w:jc w:val="right"/>
              <w:rPr>
                <w:sz w:val="20"/>
              </w:rPr>
            </w:pPr>
            <w:r>
              <w:rPr>
                <w:sz w:val="20"/>
              </w:rPr>
              <w:t>5,300,000</w:t>
            </w:r>
          </w:p>
        </w:tc>
        <w:tc>
          <w:tcPr>
            <w:tcW w:w="290" w:type="dxa"/>
            <w:tcBorders/>
            <w:shd w:fill="CCEEFF" w:val="clear"/>
            <w:tcMar>
              <w:bottom w:w="0" w:type="dxa"/>
            </w:tcMar>
            <w:vAlign w:val="center"/>
          </w:tcPr>
          <w:p>
            <w:pPr>
              <w:pStyle w:val="TableContents"/>
              <w:bidi w:val="0"/>
              <w:spacing w:before="0" w:after="283"/>
              <w:jc w:val="left"/>
              <w:rPr/>
            </w:pPr>
            <w:r>
              <w:rPr/>
              <w:t> </w:t>
            </w:r>
            <w:r>
              <w:rPr>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sz w:val="20"/>
              </w:rPr>
            </w:pPr>
            <w:r>
              <w:rPr>
                <w:sz w:val="20"/>
              </w:rPr>
              <w:t>9.9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584"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both"/>
              <w:rPr>
                <w:b/>
                <w:sz w:val="20"/>
              </w:rPr>
            </w:pPr>
            <w:r>
              <w:rPr>
                <w:b/>
                <w:sz w:val="20"/>
              </w:rPr>
              <w:t>Directors and Named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584"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283"/>
              <w:jc w:val="both"/>
              <w:rPr>
                <w:sz w:val="20"/>
              </w:rPr>
            </w:pPr>
            <w:r>
              <w:rPr>
                <w:sz w:val="20"/>
              </w:rPr>
              <w:t>Mark Hamm, Chief Operating Officer and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584" w:type="dxa"/>
            <w:tcBorders/>
            <w:shd w:fill="FFFFFF" w:val="clear"/>
            <w:tcMar>
              <w:bottom w:w="0" w:type="dxa"/>
            </w:tcMar>
            <w:vAlign w:val="center"/>
          </w:tcPr>
          <w:p>
            <w:pPr>
              <w:pStyle w:val="TableContents"/>
              <w:bidi w:val="0"/>
              <w:spacing w:before="0" w:after="283"/>
              <w:jc w:val="right"/>
              <w:rPr>
                <w:sz w:val="20"/>
              </w:rPr>
            </w:pPr>
            <w:r>
              <w:rPr>
                <w:sz w:val="20"/>
              </w:rPr>
              <w:t>209,431</w:t>
            </w:r>
          </w:p>
        </w:tc>
        <w:tc>
          <w:tcPr>
            <w:tcW w:w="290" w:type="dxa"/>
            <w:tcBorders/>
            <w:shd w:fill="FFFFFF" w:val="clear"/>
            <w:tcMar>
              <w:bottom w:w="0" w:type="dxa"/>
            </w:tcMar>
            <w:vAlign w:val="center"/>
          </w:tcPr>
          <w:p>
            <w:pPr>
              <w:pStyle w:val="TableContents"/>
              <w:bidi w:val="0"/>
              <w:spacing w:before="0" w:after="283"/>
              <w:jc w:val="left"/>
              <w:rPr/>
            </w:pPr>
            <w:r>
              <w:rPr/>
              <w:t> </w:t>
            </w:r>
            <w:r>
              <w:rPr>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right"/>
              <w:rPr>
                <w:sz w:val="20"/>
              </w:rPr>
            </w:pPr>
            <w:r>
              <w:rPr>
                <w:sz w:val="20"/>
              </w:rPr>
              <w:t>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both"/>
              <w:rPr>
                <w:sz w:val="20"/>
              </w:rPr>
            </w:pPr>
            <w:r>
              <w:rPr>
                <w:sz w:val="20"/>
              </w:rPr>
              <w:t>Neerav Shah, Chief Strategy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584" w:type="dxa"/>
            <w:tcBorders/>
            <w:shd w:fill="CCEEFF" w:val="clear"/>
            <w:tcMar>
              <w:bottom w:w="0" w:type="dxa"/>
            </w:tcMar>
            <w:vAlign w:val="center"/>
          </w:tcPr>
          <w:p>
            <w:pPr>
              <w:pStyle w:val="TableContents"/>
              <w:bidi w:val="0"/>
              <w:spacing w:before="0" w:after="283"/>
              <w:jc w:val="right"/>
              <w:rPr>
                <w:sz w:val="20"/>
              </w:rPr>
            </w:pPr>
            <w:r>
              <w:rPr>
                <w:sz w:val="20"/>
              </w:rPr>
              <w:t>108,448</w:t>
            </w:r>
          </w:p>
        </w:tc>
        <w:tc>
          <w:tcPr>
            <w:tcW w:w="290" w:type="dxa"/>
            <w:tcBorders/>
            <w:shd w:fill="CCEEFF" w:val="clear"/>
            <w:tcMar>
              <w:bottom w:w="0" w:type="dxa"/>
            </w:tcMar>
            <w:vAlign w:val="center"/>
          </w:tcPr>
          <w:p>
            <w:pPr>
              <w:pStyle w:val="TableContents"/>
              <w:bidi w:val="0"/>
              <w:spacing w:before="0" w:after="283"/>
              <w:jc w:val="left"/>
              <w:rPr/>
            </w:pPr>
            <w:r>
              <w:rPr/>
              <w:t> </w:t>
            </w:r>
            <w:r>
              <w:rPr>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sz w:val="20"/>
              </w:rPr>
            </w:pPr>
            <w:r>
              <w:rPr>
                <w:sz w:val="20"/>
              </w:rPr>
              <w:t>0.2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283"/>
              <w:jc w:val="both"/>
              <w:rPr>
                <w:sz w:val="20"/>
              </w:rPr>
            </w:pPr>
            <w:r>
              <w:rPr>
                <w:sz w:val="20"/>
              </w:rPr>
              <w:t>John Ritchison, Director and General Counsel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584" w:type="dxa"/>
            <w:tcBorders/>
            <w:shd w:fill="FFFFFF" w:val="clear"/>
            <w:tcMar>
              <w:bottom w:w="0" w:type="dxa"/>
            </w:tcMar>
            <w:vAlign w:val="center"/>
          </w:tcPr>
          <w:p>
            <w:pPr>
              <w:pStyle w:val="TableContents"/>
              <w:bidi w:val="0"/>
              <w:spacing w:before="0" w:after="283"/>
              <w:jc w:val="right"/>
              <w:rPr>
                <w:sz w:val="20"/>
              </w:rPr>
            </w:pPr>
            <w:r>
              <w:rPr>
                <w:sz w:val="20"/>
              </w:rPr>
              <w:t>1,302,500</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right"/>
              <w:rPr>
                <w:sz w:val="20"/>
              </w:rPr>
            </w:pPr>
            <w:r>
              <w:rPr>
                <w:sz w:val="20"/>
              </w:rPr>
              <w:t>2.7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both"/>
              <w:rPr>
                <w:sz w:val="20"/>
              </w:rPr>
            </w:pPr>
            <w:r>
              <w:rPr>
                <w:sz w:val="20"/>
              </w:rPr>
              <w:t>John Gallina,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584" w:type="dxa"/>
            <w:tcBorders/>
            <w:shd w:fill="CCEEFF" w:val="clear"/>
            <w:tcMar>
              <w:bottom w:w="0" w:type="dxa"/>
            </w:tcMar>
            <w:vAlign w:val="center"/>
          </w:tcPr>
          <w:p>
            <w:pPr>
              <w:pStyle w:val="TableContents"/>
              <w:bidi w:val="0"/>
              <w:spacing w:before="0" w:after="283"/>
              <w:jc w:val="right"/>
              <w:rPr>
                <w:sz w:val="20"/>
              </w:rPr>
            </w:pPr>
            <w:r>
              <w:rPr>
                <w:sz w:val="20"/>
              </w:rPr>
              <w:t>18,202</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 </w:t>
            </w:r>
            <w:r>
              <w:rPr>
                <w:sz w:val="20"/>
              </w:rPr>
              <w:t xml:space="preserve">*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283"/>
              <w:jc w:val="both"/>
              <w:rPr>
                <w:sz w:val="20"/>
              </w:rPr>
            </w:pPr>
            <w:r>
              <w:rPr>
                <w:sz w:val="20"/>
              </w:rPr>
              <w:t>Kevin McAdams,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584" w:type="dxa"/>
            <w:tcBorders/>
            <w:shd w:fill="FFFFFF" w:val="clear"/>
            <w:tcMar>
              <w:bottom w:w="0" w:type="dxa"/>
            </w:tcMar>
            <w:vAlign w:val="center"/>
          </w:tcPr>
          <w:p>
            <w:pPr>
              <w:pStyle w:val="TableContents"/>
              <w:bidi w:val="0"/>
              <w:spacing w:before="0" w:after="283"/>
              <w:jc w:val="right"/>
              <w:rPr>
                <w:sz w:val="20"/>
              </w:rPr>
            </w:pPr>
            <w:r>
              <w:rPr>
                <w:sz w:val="20"/>
              </w:rPr>
              <w:t>16,241</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right"/>
              <w:rPr/>
            </w:pPr>
            <w:r>
              <w:rPr/>
              <w:t> </w:t>
            </w:r>
            <w:r>
              <w:rPr>
                <w:sz w:val="20"/>
              </w:rPr>
              <w:t xml:space="preserve">*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both"/>
              <w:rPr>
                <w:sz w:val="20"/>
              </w:rPr>
            </w:pPr>
            <w:r>
              <w:rPr>
                <w:sz w:val="20"/>
              </w:rPr>
              <w:t>Laurie Tucker,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584" w:type="dxa"/>
            <w:tcBorders/>
            <w:shd w:fill="CCEEFF" w:val="clear"/>
            <w:tcMar>
              <w:bottom w:w="0" w:type="dxa"/>
            </w:tcMar>
            <w:vAlign w:val="center"/>
          </w:tcPr>
          <w:p>
            <w:pPr>
              <w:pStyle w:val="TableContents"/>
              <w:bidi w:val="0"/>
              <w:spacing w:before="0" w:after="283"/>
              <w:jc w:val="right"/>
              <w:rPr>
                <w:sz w:val="20"/>
              </w:rPr>
            </w:pPr>
            <w:r>
              <w:rPr>
                <w:sz w:val="20"/>
              </w:rPr>
              <w:t>7,577</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 </w:t>
            </w:r>
            <w:r>
              <w:rPr>
                <w:sz w:val="20"/>
              </w:rPr>
              <w:t xml:space="preserve">*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283"/>
              <w:jc w:val="both"/>
              <w:rPr>
                <w:sz w:val="20"/>
              </w:rPr>
            </w:pPr>
            <w:r>
              <w:rPr>
                <w:sz w:val="20"/>
              </w:rPr>
              <w:t>Todd Pepmeier, 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584" w:type="dxa"/>
            <w:tcBorders/>
            <w:shd w:fill="FFFFFF" w:val="clear"/>
            <w:tcMar>
              <w:bottom w:w="0" w:type="dxa"/>
            </w:tcMar>
            <w:vAlign w:val="center"/>
          </w:tcPr>
          <w:p>
            <w:pPr>
              <w:pStyle w:val="TableContents"/>
              <w:bidi w:val="0"/>
              <w:spacing w:before="0" w:after="283"/>
              <w:jc w:val="right"/>
              <w:rPr>
                <w:sz w:val="20"/>
              </w:rPr>
            </w:pPr>
            <w:r>
              <w:rPr>
                <w:sz w:val="20"/>
              </w:rPr>
              <w:t>67,674</w:t>
            </w:r>
          </w:p>
        </w:tc>
        <w:tc>
          <w:tcPr>
            <w:tcW w:w="290" w:type="dxa"/>
            <w:tcBorders/>
            <w:shd w:fill="FFFFFF" w:val="clear"/>
            <w:tcMar>
              <w:bottom w:w="0" w:type="dxa"/>
            </w:tcMar>
            <w:vAlign w:val="center"/>
          </w:tcPr>
          <w:p>
            <w:pPr>
              <w:pStyle w:val="TableContents"/>
              <w:bidi w:val="0"/>
              <w:spacing w:before="0" w:after="283"/>
              <w:jc w:val="left"/>
              <w:rPr/>
            </w:pPr>
            <w:r>
              <w:rPr/>
              <w:t> </w:t>
            </w:r>
            <w:r>
              <w:rPr>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right"/>
              <w:rPr>
                <w:sz w:val="20"/>
              </w:rPr>
            </w:pPr>
            <w:r>
              <w:rPr>
                <w:sz w:val="20"/>
              </w:rPr>
              <w:t>0.1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both"/>
              <w:rPr>
                <w:b/>
                <w:sz w:val="20"/>
              </w:rPr>
            </w:pPr>
            <w:r>
              <w:rPr>
                <w:b/>
                <w:sz w:val="20"/>
              </w:rPr>
              <w:t>All Directors and Executive Officers and a Group (eight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584" w:type="dxa"/>
            <w:tcBorders/>
            <w:shd w:fill="CCEEFF" w:val="clear"/>
            <w:tcMar>
              <w:bottom w:w="0" w:type="dxa"/>
            </w:tcMar>
            <w:vAlign w:val="center"/>
          </w:tcPr>
          <w:p>
            <w:pPr>
              <w:pStyle w:val="TableContents"/>
              <w:bidi w:val="0"/>
              <w:spacing w:before="0" w:after="283"/>
              <w:jc w:val="right"/>
              <w:rPr>
                <w:b/>
                <w:sz w:val="20"/>
              </w:rPr>
            </w:pPr>
            <w:r>
              <w:rPr>
                <w:b/>
                <w:sz w:val="20"/>
              </w:rPr>
              <w:t>24,885,124</w:t>
            </w:r>
          </w:p>
        </w:tc>
        <w:tc>
          <w:tcPr>
            <w:tcW w:w="290" w:type="dxa"/>
            <w:tcBorders/>
            <w:shd w:fill="CCEEFF" w:val="clear"/>
            <w:tcMar>
              <w:bottom w:w="0" w:type="dxa"/>
            </w:tcMar>
            <w:vAlign w:val="center"/>
          </w:tcPr>
          <w:p>
            <w:pPr>
              <w:pStyle w:val="TableContents"/>
              <w:bidi w:val="0"/>
              <w:spacing w:before="0" w:after="283"/>
              <w:jc w:val="left"/>
              <w:rPr/>
            </w:pPr>
            <w:r>
              <w:rPr/>
              <w:t> </w:t>
            </w:r>
            <w:r>
              <w:rPr>
                <w:b/>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b/>
                <w:sz w:val="20"/>
              </w:rPr>
            </w:pPr>
            <w:r>
              <w:rPr>
                <w:b/>
                <w:sz w:val="20"/>
              </w:rPr>
              <w:t>51.9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beneficial ownership of less than 0.1% of the outstanding shares of common stock.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 under the Securities Exchange Act of 1934. Shares subject to options or warrants exercisable within 60 days and restricted stock units vesting within 60 days are deemed outstanding for the person but not for others.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(2)</w:t>
            </w:r>
          </w:p>
        </w:tc>
        <w:tc>
          <w:tcPr>
            <w:tcW w:w="9930" w:type="dxa"/>
            <w:tcBorders/>
            <w:vAlign w:val="center"/>
          </w:tcPr>
          <w:p>
            <w:pPr>
              <w:pStyle w:val="TableContents"/>
              <w:bidi w:val="0"/>
              <w:spacing w:before="0" w:after="283"/>
              <w:jc w:val="both"/>
              <w:rPr>
                <w:sz w:val="20"/>
              </w:rPr>
            </w:pPr>
            <w:r>
              <w:rPr>
                <w:sz w:val="20"/>
              </w:rPr>
              <w:t>John M. Fife has voting and dispositive power over shares held by Streeterville Capital, LLC. The address of Streeterville Capital, LLC is 297 Auto Mall Drive Suite #4, St. George, Utah 84770.</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(3)</w:t>
            </w:r>
          </w:p>
        </w:tc>
        <w:tc>
          <w:tcPr>
            <w:tcW w:w="9930" w:type="dxa"/>
            <w:tcBorders/>
            <w:vAlign w:val="center"/>
          </w:tcPr>
          <w:p>
            <w:pPr>
              <w:pStyle w:val="TableContents"/>
              <w:bidi w:val="0"/>
              <w:spacing w:before="0" w:after="283"/>
              <w:jc w:val="both"/>
              <w:rPr>
                <w:sz w:val="20"/>
              </w:rPr>
            </w:pPr>
            <w:r>
              <w:rPr>
                <w:sz w:val="20"/>
              </w:rPr>
              <w:t>Represents shares issuable to Streeterville within 60 days of April 15, 2026, pursuant to the terms of the Streeterville Securities Purchase Agreement. Pursuant to the Pre-Paid Purchases, the Company will not effect any issuance of Purchase Shares if, after giving effect to such conversion, the holder would beneficially own, together with its affiliates, in excess of 9.99% of the outstanding shares of our common stock on such issuance date.</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(4)</w:t>
            </w:r>
          </w:p>
        </w:tc>
        <w:tc>
          <w:tcPr>
            <w:tcW w:w="9930" w:type="dxa"/>
            <w:tcBorders/>
            <w:vAlign w:val="center"/>
          </w:tcPr>
          <w:p>
            <w:pPr>
              <w:pStyle w:val="TableContents"/>
              <w:bidi w:val="0"/>
              <w:spacing w:before="0" w:after="283"/>
              <w:jc w:val="both"/>
              <w:rPr>
                <w:sz w:val="20"/>
              </w:rPr>
            </w:pPr>
            <w:r>
              <w:rPr>
                <w:sz w:val="20"/>
              </w:rPr>
              <w:t>Includes (i) 29,304 shares of common stock held by Mark Hamm;  and (ii) 180,127 shares of common stock issuable to Mark Hamm upon the exercise of outstanding options within 60 days of April 15, 2026 (all of which were issued as part of the Plan).</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(5)</w:t>
            </w:r>
          </w:p>
        </w:tc>
        <w:tc>
          <w:tcPr>
            <w:tcW w:w="9930" w:type="dxa"/>
            <w:tcBorders/>
            <w:vAlign w:val="center"/>
          </w:tcPr>
          <w:p>
            <w:pPr>
              <w:pStyle w:val="TableContents"/>
              <w:bidi w:val="0"/>
              <w:spacing w:before="0" w:after="283"/>
              <w:jc w:val="both"/>
              <w:rPr>
                <w:sz w:val="20"/>
              </w:rPr>
            </w:pPr>
            <w:r>
              <w:rPr>
                <w:sz w:val="20"/>
              </w:rPr>
              <w:t>Includes (i) 93,448 shares of common stock held by Neerav Shah; and (ii) 15,000 shares of common stock issuable upon the exercise of outstanding options within 60 days of April 15, 2026 (all of which were issued as part of the Plan).</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(6)</w:t>
            </w:r>
          </w:p>
        </w:tc>
        <w:tc>
          <w:tcPr>
            <w:tcW w:w="9930" w:type="dxa"/>
            <w:tcBorders/>
            <w:vAlign w:val="center"/>
          </w:tcPr>
          <w:p>
            <w:pPr>
              <w:pStyle w:val="TableContents"/>
              <w:bidi w:val="0"/>
              <w:spacing w:before="0" w:after="283"/>
              <w:jc w:val="both"/>
              <w:rPr>
                <w:sz w:val="20"/>
              </w:rPr>
            </w:pPr>
            <w:r>
              <w:rPr>
                <w:sz w:val="20"/>
              </w:rPr>
              <w:t>Includes (i) 23,847 shares of common stock held by Todd Pepmeier; and (ii) 43,827 shares of common stock issuable to Todd Pepmeier upon the exercise of outstanding options within 60 days of April 15, 2026 (all of which were issued as part of the Plan).</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(7)</w:t>
            </w:r>
          </w:p>
        </w:tc>
        <w:tc>
          <w:tcPr>
            <w:tcW w:w="9930" w:type="dxa"/>
            <w:tcBorders/>
            <w:vAlign w:val="center"/>
          </w:tcPr>
          <w:p>
            <w:pPr>
              <w:pStyle w:val="TableContents"/>
              <w:bidi w:val="0"/>
              <w:spacing w:before="0" w:after="283"/>
              <w:jc w:val="both"/>
              <w:rPr>
                <w:sz w:val="20"/>
              </w:rPr>
            </w:pPr>
            <w:r>
              <w:rPr>
                <w:sz w:val="20"/>
              </w:rPr>
              <w:t>Includes (i) 24,646,170 shares of common stock held by the Directors and Executive Officers as a group; and (ii) 238,954 shares of common stock issuable upon the exercise of outstanding options within 60 days of April 15, 2026 (all of which were issued as part of the Plan).</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as of December 31, 2025 regarding shares of common stock that may be used under our equity compensation plans.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91"/>
        <w:gridCol w:w="60"/>
        <w:gridCol w:w="109"/>
        <w:gridCol w:w="1569"/>
        <w:gridCol w:w="60"/>
        <w:gridCol w:w="60"/>
        <w:gridCol w:w="607"/>
        <w:gridCol w:w="1849"/>
        <w:gridCol w:w="60"/>
        <w:gridCol w:w="60"/>
        <w:gridCol w:w="163"/>
        <w:gridCol w:w="2338"/>
        <w:gridCol w:w="79"/>
      </w:tblGrid>
      <w:tr>
        <w:trPr/>
        <w:tc>
          <w:tcPr>
            <w:tcW w:w="3191"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Category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8"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to be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upon exercise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and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 of restricted stock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56"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 of outstanding options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01"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 available for</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issuance under equity</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plans (excluding securities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reflected in the first column)</w:t>
            </w:r>
          </w:p>
        </w:tc>
        <w:tc>
          <w:tcPr>
            <w:tcW w:w="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9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compensation plans approved by security holders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2,302,520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3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4,660,840</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Stock Equity Incentive Plan”</w:t>
      </w:r>
      <w:r>
        <w:rPr>
          <w:rFonts w:ascii="Times New Roman;Times;Serif" w:hAnsi="Times New Roman;Times;Serif"/>
          <w:b w:val="false"/>
          <w:i w:val="false"/>
          <w:caps w:val="false"/>
          <w:smallCaps w:val="false"/>
          <w:sz w:val="20"/>
        </w:rPr>
        <w:t xml:space="preserve"> under </w:t>
      </w:r>
      <w:r>
        <w:rPr>
          <w:rFonts w:ascii="Times New Roman;Times;Serif" w:hAnsi="Times New Roman;Times;Serif"/>
          <w:b w:val="false"/>
          <w:i/>
          <w:caps w:val="false"/>
          <w:smallCaps w:val="false"/>
          <w:sz w:val="20"/>
        </w:rPr>
        <w:t>Part III, Item 11. Executive Compensation</w:t>
      </w:r>
      <w:r>
        <w:rPr>
          <w:rFonts w:ascii="Times New Roman;Times;Serif" w:hAnsi="Times New Roman;Times;Serif"/>
          <w:b w:val="false"/>
          <w:i w:val="false"/>
          <w:caps w:val="false"/>
          <w:smallCaps w:val="false"/>
          <w:sz w:val="20"/>
        </w:rPr>
        <w:t xml:space="preserve"> and Note 17 “Stock-Based Compensation” of Notes to Financial Statements included in </w:t>
      </w:r>
      <w:r>
        <w:rPr>
          <w:rFonts w:ascii="Times New Roman;Times;Serif" w:hAnsi="Times New Roman;Times;Serif"/>
          <w:b w:val="false"/>
          <w:i/>
          <w:caps w:val="false"/>
          <w:smallCaps w:val="false"/>
          <w:sz w:val="20"/>
        </w:rPr>
        <w:t>Part II, Item 8. Financial Statements and Supplementary Data</w:t>
      </w:r>
      <w:r>
        <w:rPr>
          <w:rFonts w:ascii="Times New Roman;Times;Serif" w:hAnsi="Times New Roman;Times;Serif"/>
          <w:b w:val="false"/>
          <w:i w:val="false"/>
          <w:caps w:val="false"/>
          <w:smallCaps w:val="false"/>
          <w:sz w:val="20"/>
        </w:rPr>
        <w:t xml:space="preserve"> of this report for additional information about our equity compensation plans and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 w:name="a_023"/>
      <w:bookmarkEnd w:id="74"/>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transactions since 2020, including currently proposed transactions to which Arrive has been a party in which the amount involved exceeded or will exceed $120,000, and in which any of Arrive AI’s directors (including nominees), executive officers or beneficial holders of more than 5% of Arrive AI’s capital stock, or their immediate family members or entities affiliated with them, had or will have a direct or indirect material interest. We believe the terms and conditions set forth in such agreements are reasonable and customary for transactions of this type.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Lease of Company Headquarters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2025, the Company signed a new five-year lease agreement for office space in Fishers Indiana. The lessor and building owner is a related party owned by the Company’s CEO Daniel O’Toole. Under the triple-net lease, the Company is responsible for base rent plus separately assessed taxes, insurance, and common area maintenance charges (‘NNN costs’). The base rent is $44,481 per month for the first twelve months, increasing 3% annually thereafter. Based on current estimates, NNN costs are approximately $9,885 per month, resulting in an estimated all-in monthly cash outlay of approximately $54,366. NNN costs are variable in nature and subject to change based on actual tax assessments, insurance premiums, and maintenance charges incurred. The lease term is October 1, 2025 through September 30,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lease, including the base monthly rent and other material provisions, were determined through negotiations between the Company and the related party lessor. In establishing the rental rate of $54,366 per month, management considered prevailing market rental rates for comparable office properties in the Fishers, Indiana area, including properties of similar size, class, location and lease structure. The Company also evaluated then-current commercial real estate market conditions and customary triple-net lease terms. Management believes that the lease terms, taken as a whole, are consistent with those that would have been obtained in an arm’s-length transaction with an unrelated third party.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was reviewed and approved in accordance with the Company’s related party transaction review procedures. In evaluating the transaction, the Board of Directors (with the interested director abstaining) considered, among other factors, comparable market data for similar office properties, the strategic suitability of the premises, and the overall cost structure relative to available alternatives. The Company did not obtain an independent third-party appraisal or fairness opinion in connection with the lease; however, based on the information reviewed and the factors described above, the Board determined that the lease terms are fair to the Company and in its best interests.</w:t>
      </w:r>
    </w:p>
    <w:p>
      <w:pPr>
        <w:pStyle w:val="TextBody"/>
        <w:shd w:fill="FFFFFF" w:val="clear"/>
        <w:bidi w:val="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Lease of Warehouse</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leased warehouse space owned by the Company’s CEO Daniel O’Toole. The lease was originally signed on November 15, 2021. The monthly rent, including utilities, was $2,250. This month-to-month lease was terminated on October 5,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Patent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executed an exclusive patent license agreement on May 26, 2020 with its CEO, the licensor and sole owner of all right, title and interest in certain technology consisting of inventions, know-how, patents and patents applications, technology to be patented and trademarks relating to secured drone delivery ALM mailboxes and receiving containers for residential and commercial applications, collectively the products which are described in more detail in the table below. The Company, as licensee, has the exclusive right to sell, manufacture, and otherwise commercialize the technology and the products worldwide in exchange for a pre-revenue monthly fee equal to $10,000.00. Additionally, once revenue from sales, rentals, and leases begin and exceeds $10,000.00 a month, then the licensee must pay licensor a fee per unit or product sold, rented or leased equal to $25.00. The agreement also includes a provision where the Arrive must commence development and marketing of the products within 36 months of the execution of the agreement in order to remain in force, otherwise at the end of the 36 months, all rights shall revert to licensor with no further rights for such product or obligations of licensor to licensee, however if no action is taken by the licensor, the agreement has a term of seven years, a period which may be extended upon mutual consent and in the best interest for both parties. This license agreement also contains other customary representations and covenants of agreements of similar type and scope. Through December 31, 2024, the total of payments made to the CEO under the license agreement is $540,000, The Company estimates that the approximate value of the license agreement once the Company starts generating revenue from commercial operations is approximately $17 million over the course of ten years, this is using the formula of $25 per each installed unit and based on management’s internal sales projections of approximately 675,000 units over that period. The foregoing description of the license agreement is not complete and is qualified in its entirety by reference to the text of such document, which is filed as an exhibit to our Direct Listing Registration Statement.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and intellectual property covered by the exclusive patent license agreement with our CEO: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425"/>
        <w:gridCol w:w="60"/>
        <w:gridCol w:w="2383"/>
        <w:gridCol w:w="60"/>
        <w:gridCol w:w="3151"/>
        <w:gridCol w:w="60"/>
        <w:gridCol w:w="991"/>
        <w:gridCol w:w="60"/>
        <w:gridCol w:w="1005"/>
        <w:gridCol w:w="60"/>
        <w:gridCol w:w="895"/>
        <w:gridCol w:w="60"/>
        <w:gridCol w:w="995"/>
      </w:tblGrid>
      <w:tr>
        <w:trPr/>
        <w:tc>
          <w:tcPr>
            <w:tcW w:w="425" w:type="dxa"/>
            <w:tcBorders>
              <w:bottom w:val="single" w:sz="8" w:space="0" w:color="000000"/>
            </w:tcBorders>
            <w:shd w:fill="FFFFFF" w:val="clear"/>
            <w:vAlign w:val="center"/>
          </w:tcPr>
          <w:p>
            <w:pPr>
              <w:pStyle w:val="TableContents"/>
              <w:bidi w:val="0"/>
              <w:spacing w:before="0" w:after="283"/>
              <w:jc w:val="both"/>
              <w:rPr>
                <w:b/>
                <w:sz w:val="20"/>
              </w:rPr>
            </w:pPr>
            <w:r>
              <w:rPr>
                <w:b/>
                <w:sz w:val="20"/>
              </w:rPr>
              <w:t>Item</w:t>
            </w:r>
          </w:p>
        </w:tc>
        <w:tc>
          <w:tcPr>
            <w:tcW w:w="60" w:type="dxa"/>
            <w:tcBorders/>
            <w:shd w:fill="FFFFFF" w:val="clear"/>
            <w:tcMar>
              <w:bottom w:w="0" w:type="dxa"/>
            </w:tcMar>
            <w:vAlign w:val="center"/>
          </w:tcPr>
          <w:p>
            <w:pPr>
              <w:pStyle w:val="TableContents"/>
              <w:bidi w:val="0"/>
              <w:spacing w:before="0" w:after="283"/>
              <w:jc w:val="both"/>
              <w:rPr/>
            </w:pPr>
            <w:r>
              <w:rPr/>
              <w:t> </w:t>
            </w:r>
          </w:p>
        </w:tc>
        <w:tc>
          <w:tcPr>
            <w:tcW w:w="2383" w:type="dxa"/>
            <w:tcBorders>
              <w:bottom w:val="single" w:sz="8" w:space="0" w:color="000000"/>
            </w:tcBorders>
            <w:shd w:fill="FFFFFF" w:val="clear"/>
            <w:vAlign w:val="center"/>
          </w:tcPr>
          <w:p>
            <w:pPr>
              <w:pStyle w:val="TableContents"/>
              <w:bidi w:val="0"/>
              <w:spacing w:before="0" w:after="283"/>
              <w:jc w:val="both"/>
              <w:rPr>
                <w:b/>
                <w:sz w:val="20"/>
              </w:rPr>
            </w:pPr>
            <w:r>
              <w:rPr>
                <w:b/>
                <w:sz w:val="20"/>
              </w:rPr>
              <w:t>Patent No.</w:t>
            </w:r>
          </w:p>
        </w:tc>
        <w:tc>
          <w:tcPr>
            <w:tcW w:w="60" w:type="dxa"/>
            <w:tcBorders/>
            <w:shd w:fill="FFFFFF" w:val="clear"/>
            <w:tcMar>
              <w:bottom w:w="0" w:type="dxa"/>
            </w:tcMar>
            <w:vAlign w:val="center"/>
          </w:tcPr>
          <w:p>
            <w:pPr>
              <w:pStyle w:val="TableContents"/>
              <w:bidi w:val="0"/>
              <w:spacing w:before="0" w:after="283"/>
              <w:jc w:val="both"/>
              <w:rPr/>
            </w:pPr>
            <w:r>
              <w:rPr/>
              <w:t> </w:t>
            </w:r>
          </w:p>
        </w:tc>
        <w:tc>
          <w:tcPr>
            <w:tcW w:w="3151" w:type="dxa"/>
            <w:tcBorders>
              <w:bottom w:val="single" w:sz="8" w:space="0" w:color="000000"/>
            </w:tcBorders>
            <w:shd w:fill="FFFFFF" w:val="clear"/>
            <w:vAlign w:val="center"/>
          </w:tcPr>
          <w:p>
            <w:pPr>
              <w:pStyle w:val="TableContents"/>
              <w:bidi w:val="0"/>
              <w:spacing w:before="0" w:after="283"/>
              <w:jc w:val="left"/>
              <w:rPr>
                <w:b/>
                <w:sz w:val="20"/>
              </w:rPr>
            </w:pPr>
            <w:r>
              <w:rPr>
                <w:b/>
                <w:sz w:val="20"/>
              </w:rPr>
              <w:t>Title</w:t>
            </w:r>
          </w:p>
        </w:tc>
        <w:tc>
          <w:tcPr>
            <w:tcW w:w="60" w:type="dxa"/>
            <w:tcBorders/>
            <w:shd w:fill="FFFFFF" w:val="clear"/>
            <w:tcMar>
              <w:bottom w:w="0" w:type="dxa"/>
            </w:tcMar>
            <w:vAlign w:val="center"/>
          </w:tcPr>
          <w:p>
            <w:pPr>
              <w:pStyle w:val="TableContents"/>
              <w:bidi w:val="0"/>
              <w:spacing w:before="0" w:after="283"/>
              <w:jc w:val="both"/>
              <w:rPr/>
            </w:pPr>
            <w:r>
              <w:rPr/>
              <w:t> </w:t>
            </w:r>
          </w:p>
        </w:tc>
        <w:tc>
          <w:tcPr>
            <w:tcW w:w="991" w:type="dxa"/>
            <w:tcBorders>
              <w:bottom w:val="single" w:sz="8" w:space="0" w:color="000000"/>
            </w:tcBorders>
            <w:shd w:fill="FFFFFF" w:val="clear"/>
            <w:vAlign w:val="center"/>
          </w:tcPr>
          <w:p>
            <w:pPr>
              <w:pStyle w:val="TableContents"/>
              <w:bidi w:val="0"/>
              <w:spacing w:before="0" w:after="283"/>
              <w:jc w:val="both"/>
              <w:rPr>
                <w:b/>
                <w:sz w:val="20"/>
              </w:rPr>
            </w:pPr>
            <w:r>
              <w:rPr>
                <w:b/>
                <w:sz w:val="20"/>
              </w:rPr>
              <w:t>Issue Date</w:t>
            </w:r>
          </w:p>
        </w:tc>
        <w:tc>
          <w:tcPr>
            <w:tcW w:w="60" w:type="dxa"/>
            <w:tcBorders/>
            <w:shd w:fill="FFFFFF" w:val="clear"/>
            <w:tcMar>
              <w:bottom w:w="0" w:type="dxa"/>
            </w:tcMar>
            <w:vAlign w:val="center"/>
          </w:tcPr>
          <w:p>
            <w:pPr>
              <w:pStyle w:val="TableContents"/>
              <w:bidi w:val="0"/>
              <w:spacing w:before="0" w:after="283"/>
              <w:jc w:val="both"/>
              <w:rPr/>
            </w:pPr>
            <w:r>
              <w:rPr/>
              <w:t> </w:t>
            </w:r>
          </w:p>
        </w:tc>
        <w:tc>
          <w:tcPr>
            <w:tcW w:w="1005" w:type="dxa"/>
            <w:tcBorders>
              <w:bottom w:val="single" w:sz="8" w:space="0" w:color="000000"/>
            </w:tcBorders>
            <w:shd w:fill="FFFFFF" w:val="clear"/>
            <w:vAlign w:val="center"/>
          </w:tcPr>
          <w:p>
            <w:pPr>
              <w:pStyle w:val="TableContents"/>
              <w:bidi w:val="0"/>
              <w:spacing w:before="0" w:after="283"/>
              <w:jc w:val="both"/>
              <w:rPr>
                <w:b/>
                <w:sz w:val="20"/>
              </w:rPr>
            </w:pPr>
            <w:r>
              <w:rPr>
                <w:b/>
                <w:sz w:val="20"/>
              </w:rPr>
              <w:t>App. No.</w:t>
            </w:r>
          </w:p>
        </w:tc>
        <w:tc>
          <w:tcPr>
            <w:tcW w:w="60" w:type="dxa"/>
            <w:tcBorders/>
            <w:shd w:fill="FFFFFF" w:val="clear"/>
            <w:tcMar>
              <w:bottom w:w="0" w:type="dxa"/>
            </w:tcMar>
            <w:vAlign w:val="center"/>
          </w:tcPr>
          <w:p>
            <w:pPr>
              <w:pStyle w:val="TableContents"/>
              <w:bidi w:val="0"/>
              <w:spacing w:before="0" w:after="283"/>
              <w:jc w:val="both"/>
              <w:rPr/>
            </w:pPr>
            <w:r>
              <w:rPr/>
              <w:t> </w:t>
            </w:r>
          </w:p>
        </w:tc>
        <w:tc>
          <w:tcPr>
            <w:tcW w:w="895" w:type="dxa"/>
            <w:tcBorders>
              <w:bottom w:val="single" w:sz="8" w:space="0" w:color="000000"/>
            </w:tcBorders>
            <w:shd w:fill="FFFFFF" w:val="clear"/>
            <w:vAlign w:val="center"/>
          </w:tcPr>
          <w:p>
            <w:pPr>
              <w:pStyle w:val="TableContents"/>
              <w:bidi w:val="0"/>
              <w:spacing w:before="0" w:after="283"/>
              <w:jc w:val="both"/>
              <w:rPr>
                <w:b/>
                <w:sz w:val="20"/>
              </w:rPr>
            </w:pPr>
            <w:r>
              <w:rPr>
                <w:b/>
                <w:sz w:val="20"/>
              </w:rPr>
              <w:t>Inventor</w:t>
            </w:r>
          </w:p>
        </w:tc>
        <w:tc>
          <w:tcPr>
            <w:tcW w:w="60" w:type="dxa"/>
            <w:tcBorders/>
            <w:shd w:fill="FFFFFF" w:val="clear"/>
            <w:tcMar>
              <w:bottom w:w="0" w:type="dxa"/>
            </w:tcMar>
            <w:vAlign w:val="center"/>
          </w:tcPr>
          <w:p>
            <w:pPr>
              <w:pStyle w:val="TableContents"/>
              <w:bidi w:val="0"/>
              <w:spacing w:before="0" w:after="283"/>
              <w:jc w:val="both"/>
              <w:rPr/>
            </w:pPr>
            <w:r>
              <w:rPr/>
              <w:t> </w:t>
            </w:r>
          </w:p>
        </w:tc>
        <w:tc>
          <w:tcPr>
            <w:tcW w:w="995" w:type="dxa"/>
            <w:tcBorders>
              <w:bottom w:val="single" w:sz="8" w:space="0" w:color="000000"/>
            </w:tcBorders>
            <w:shd w:fill="FFFFFF" w:val="clear"/>
            <w:vAlign w:val="center"/>
          </w:tcPr>
          <w:p>
            <w:pPr>
              <w:pStyle w:val="TableContents"/>
              <w:bidi w:val="0"/>
              <w:spacing w:before="0" w:after="283"/>
              <w:jc w:val="both"/>
              <w:rPr>
                <w:b/>
                <w:sz w:val="20"/>
              </w:rPr>
            </w:pPr>
            <w:r>
              <w:rPr>
                <w:b/>
                <w:sz w:val="20"/>
              </w:rPr>
              <w:t>App. Date</w:t>
            </w:r>
          </w:p>
        </w:tc>
      </w:tr>
      <w:tr>
        <w:trPr/>
        <w:tc>
          <w:tcPr>
            <w:tcW w:w="425" w:type="dxa"/>
            <w:tcBorders/>
            <w:shd w:fill="CCEEFF" w:val="clear"/>
            <w:tcMar>
              <w:bottom w:w="0" w:type="dxa"/>
            </w:tcMar>
            <w:vAlign w:val="center"/>
          </w:tcPr>
          <w:p>
            <w:pPr>
              <w:pStyle w:val="TableContents"/>
              <w:bidi w:val="0"/>
              <w:spacing w:before="0" w:after="283"/>
              <w:jc w:val="both"/>
              <w:rPr>
                <w:sz w:val="20"/>
              </w:rPr>
            </w:pPr>
            <w:r>
              <w:rPr>
                <w:sz w:val="20"/>
              </w:rPr>
              <w:t>1</w:t>
            </w:r>
          </w:p>
        </w:tc>
        <w:tc>
          <w:tcPr>
            <w:tcW w:w="60" w:type="dxa"/>
            <w:tcBorders/>
            <w:shd w:fill="CCEEFF" w:val="clear"/>
            <w:tcMar>
              <w:bottom w:w="0" w:type="dxa"/>
            </w:tcMar>
            <w:vAlign w:val="center"/>
          </w:tcPr>
          <w:p>
            <w:pPr>
              <w:pStyle w:val="TableContents"/>
              <w:bidi w:val="0"/>
              <w:spacing w:before="0" w:after="283"/>
              <w:jc w:val="both"/>
              <w:rPr/>
            </w:pPr>
            <w:r>
              <w:rPr/>
              <w:t> </w:t>
            </w:r>
          </w:p>
        </w:tc>
        <w:tc>
          <w:tcPr>
            <w:tcW w:w="2383" w:type="dxa"/>
            <w:tcBorders/>
            <w:shd w:fill="CCEEFF" w:val="clear"/>
            <w:tcMar>
              <w:bottom w:w="0" w:type="dxa"/>
            </w:tcMar>
            <w:vAlign w:val="center"/>
          </w:tcPr>
          <w:p>
            <w:pPr>
              <w:pStyle w:val="TableContents"/>
              <w:bidi w:val="0"/>
              <w:spacing w:before="0" w:after="283"/>
              <w:jc w:val="both"/>
              <w:rPr>
                <w:sz w:val="20"/>
              </w:rPr>
            </w:pPr>
            <w:r>
              <w:rPr>
                <w:sz w:val="20"/>
              </w:rPr>
              <w:t>US9,840,340B2</w:t>
            </w:r>
          </w:p>
        </w:tc>
        <w:tc>
          <w:tcPr>
            <w:tcW w:w="60" w:type="dxa"/>
            <w:tcBorders/>
            <w:shd w:fill="CCEEFF" w:val="clear"/>
            <w:tcMar>
              <w:bottom w:w="0" w:type="dxa"/>
            </w:tcMar>
            <w:vAlign w:val="center"/>
          </w:tcPr>
          <w:p>
            <w:pPr>
              <w:pStyle w:val="TableContents"/>
              <w:bidi w:val="0"/>
              <w:spacing w:before="0" w:after="283"/>
              <w:jc w:val="both"/>
              <w:rPr/>
            </w:pPr>
            <w:r>
              <w:rPr/>
              <w:t> </w:t>
            </w:r>
          </w:p>
        </w:tc>
        <w:tc>
          <w:tcPr>
            <w:tcW w:w="3151" w:type="dxa"/>
            <w:tcBorders/>
            <w:shd w:fill="CCEEFF" w:val="clear"/>
            <w:tcMar>
              <w:bottom w:w="0" w:type="dxa"/>
            </w:tcMar>
            <w:vAlign w:val="center"/>
          </w:tcPr>
          <w:p>
            <w:pPr>
              <w:pStyle w:val="TableContents"/>
              <w:bidi w:val="0"/>
              <w:spacing w:before="0" w:after="283"/>
              <w:jc w:val="left"/>
              <w:rPr>
                <w:sz w:val="20"/>
              </w:rPr>
            </w:pPr>
            <w:r>
              <w:rPr>
                <w:sz w:val="20"/>
              </w:rPr>
              <w:t>Drone Docking Station and delivery system</w:t>
            </w:r>
          </w:p>
        </w:tc>
        <w:tc>
          <w:tcPr>
            <w:tcW w:w="60" w:type="dxa"/>
            <w:tcBorders/>
            <w:shd w:fill="CCEEFF" w:val="clear"/>
            <w:tcMar>
              <w:bottom w:w="0" w:type="dxa"/>
            </w:tcMar>
            <w:vAlign w:val="center"/>
          </w:tcPr>
          <w:p>
            <w:pPr>
              <w:pStyle w:val="TableContents"/>
              <w:bidi w:val="0"/>
              <w:spacing w:before="0" w:after="283"/>
              <w:jc w:val="both"/>
              <w:rPr/>
            </w:pPr>
            <w:r>
              <w:rPr/>
              <w:t> </w:t>
            </w:r>
          </w:p>
        </w:tc>
        <w:tc>
          <w:tcPr>
            <w:tcW w:w="991" w:type="dxa"/>
            <w:tcBorders/>
            <w:shd w:fill="CCEEFF" w:val="clear"/>
            <w:tcMar>
              <w:bottom w:w="0" w:type="dxa"/>
            </w:tcMar>
            <w:vAlign w:val="center"/>
          </w:tcPr>
          <w:p>
            <w:pPr>
              <w:pStyle w:val="TableContents"/>
              <w:bidi w:val="0"/>
              <w:spacing w:before="0" w:after="283"/>
              <w:jc w:val="both"/>
              <w:rPr>
                <w:sz w:val="20"/>
              </w:rPr>
            </w:pPr>
            <w:r>
              <w:rPr>
                <w:sz w:val="20"/>
              </w:rPr>
              <w:t>December 12 2017</w:t>
            </w:r>
          </w:p>
        </w:tc>
        <w:tc>
          <w:tcPr>
            <w:tcW w:w="60" w:type="dxa"/>
            <w:tcBorders/>
            <w:shd w:fill="CCEEFF" w:val="clear"/>
            <w:tcMar>
              <w:bottom w:w="0" w:type="dxa"/>
            </w:tcMar>
            <w:vAlign w:val="center"/>
          </w:tcPr>
          <w:p>
            <w:pPr>
              <w:pStyle w:val="TableContents"/>
              <w:bidi w:val="0"/>
              <w:spacing w:before="0" w:after="283"/>
              <w:jc w:val="both"/>
              <w:rPr/>
            </w:pPr>
            <w:r>
              <w:rPr/>
              <w:t> </w:t>
            </w:r>
          </w:p>
        </w:tc>
        <w:tc>
          <w:tcPr>
            <w:tcW w:w="1005" w:type="dxa"/>
            <w:tcBorders/>
            <w:shd w:fill="CCEEFF" w:val="clear"/>
            <w:tcMar>
              <w:bottom w:w="0" w:type="dxa"/>
            </w:tcMar>
            <w:vAlign w:val="center"/>
          </w:tcPr>
          <w:p>
            <w:pPr>
              <w:pStyle w:val="TableContents"/>
              <w:bidi w:val="0"/>
              <w:spacing w:before="0" w:after="283"/>
              <w:jc w:val="both"/>
              <w:rPr>
                <w:sz w:val="20"/>
              </w:rPr>
            </w:pPr>
            <w:r>
              <w:rPr>
                <w:sz w:val="20"/>
              </w:rPr>
              <w:t>14/55,418</w:t>
            </w:r>
          </w:p>
        </w:tc>
        <w:tc>
          <w:tcPr>
            <w:tcW w:w="60" w:type="dxa"/>
            <w:tcBorders/>
            <w:shd w:fill="CCEEFF" w:val="clear"/>
            <w:tcMar>
              <w:bottom w:w="0" w:type="dxa"/>
            </w:tcMar>
            <w:vAlign w:val="center"/>
          </w:tcPr>
          <w:p>
            <w:pPr>
              <w:pStyle w:val="TableContents"/>
              <w:bidi w:val="0"/>
              <w:spacing w:before="0" w:after="283"/>
              <w:jc w:val="both"/>
              <w:rPr/>
            </w:pPr>
            <w:r>
              <w:rPr/>
              <w:t> </w:t>
            </w:r>
          </w:p>
        </w:tc>
        <w:tc>
          <w:tcPr>
            <w:tcW w:w="895" w:type="dxa"/>
            <w:tcBorders/>
            <w:shd w:fill="CCEEFF" w:val="clear"/>
            <w:tcMar>
              <w:bottom w:w="0" w:type="dxa"/>
            </w:tcMar>
            <w:vAlign w:val="center"/>
          </w:tcPr>
          <w:p>
            <w:pPr>
              <w:pStyle w:val="TableContents"/>
              <w:bidi w:val="0"/>
              <w:spacing w:before="0" w:after="283"/>
              <w:jc w:val="both"/>
              <w:rPr>
                <w:sz w:val="20"/>
              </w:rPr>
            </w:pPr>
            <w:r>
              <w:rPr>
                <w:sz w:val="20"/>
              </w:rPr>
              <w:t>Daniel O’Toole</w:t>
            </w:r>
          </w:p>
        </w:tc>
        <w:tc>
          <w:tcPr>
            <w:tcW w:w="60" w:type="dxa"/>
            <w:tcBorders/>
            <w:shd w:fill="CCEEFF" w:val="clear"/>
            <w:tcMar>
              <w:bottom w:w="0" w:type="dxa"/>
            </w:tcMar>
            <w:vAlign w:val="center"/>
          </w:tcPr>
          <w:p>
            <w:pPr>
              <w:pStyle w:val="TableContents"/>
              <w:bidi w:val="0"/>
              <w:spacing w:before="0" w:after="283"/>
              <w:jc w:val="both"/>
              <w:rPr/>
            </w:pPr>
            <w:r>
              <w:rPr/>
              <w:t> </w:t>
            </w:r>
          </w:p>
        </w:tc>
        <w:tc>
          <w:tcPr>
            <w:tcW w:w="995" w:type="dxa"/>
            <w:tcBorders/>
            <w:shd w:fill="CCEEFF" w:val="clear"/>
            <w:tcMar>
              <w:bottom w:w="0" w:type="dxa"/>
            </w:tcMar>
            <w:vAlign w:val="center"/>
          </w:tcPr>
          <w:p>
            <w:pPr>
              <w:pStyle w:val="TableContents"/>
              <w:bidi w:val="0"/>
              <w:spacing w:before="0" w:after="283"/>
              <w:jc w:val="both"/>
              <w:rPr>
                <w:sz w:val="20"/>
              </w:rPr>
            </w:pPr>
            <w:r>
              <w:rPr>
                <w:sz w:val="20"/>
              </w:rPr>
              <w:t>December 9, 2014</w:t>
            </w:r>
          </w:p>
        </w:tc>
      </w:tr>
      <w:tr>
        <w:trPr/>
        <w:tc>
          <w:tcPr>
            <w:tcW w:w="4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2383"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315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9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00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89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95" w:type="dxa"/>
            <w:tcBorders/>
            <w:shd w:fill="FFFFFF" w:val="clear"/>
            <w:tcMar>
              <w:bottom w:w="0" w:type="dxa"/>
            </w:tcMar>
            <w:vAlign w:val="center"/>
          </w:tcPr>
          <w:p>
            <w:pPr>
              <w:pStyle w:val="TableContents"/>
              <w:bidi w:val="0"/>
              <w:spacing w:before="0" w:after="283"/>
              <w:jc w:val="both"/>
              <w:rPr/>
            </w:pPr>
            <w:r>
              <w:rPr/>
              <w:t> </w:t>
            </w:r>
          </w:p>
        </w:tc>
      </w:tr>
      <w:tr>
        <w:trPr/>
        <w:tc>
          <w:tcPr>
            <w:tcW w:w="425" w:type="dxa"/>
            <w:tcBorders/>
            <w:shd w:fill="CCEEFF" w:val="clear"/>
            <w:tcMar>
              <w:bottom w:w="0" w:type="dxa"/>
            </w:tcMar>
            <w:vAlign w:val="center"/>
          </w:tcPr>
          <w:p>
            <w:pPr>
              <w:pStyle w:val="TableContents"/>
              <w:bidi w:val="0"/>
              <w:spacing w:before="0" w:after="283"/>
              <w:jc w:val="both"/>
              <w:rPr>
                <w:sz w:val="20"/>
              </w:rPr>
            </w:pPr>
            <w:r>
              <w:rPr>
                <w:sz w:val="20"/>
              </w:rPr>
              <w:t>2</w:t>
            </w:r>
          </w:p>
        </w:tc>
        <w:tc>
          <w:tcPr>
            <w:tcW w:w="60" w:type="dxa"/>
            <w:tcBorders/>
            <w:shd w:fill="CCEEFF" w:val="clear"/>
            <w:tcMar>
              <w:bottom w:w="0" w:type="dxa"/>
            </w:tcMar>
            <w:vAlign w:val="center"/>
          </w:tcPr>
          <w:p>
            <w:pPr>
              <w:pStyle w:val="TableContents"/>
              <w:bidi w:val="0"/>
              <w:spacing w:before="0" w:after="283"/>
              <w:jc w:val="both"/>
              <w:rPr/>
            </w:pPr>
            <w:r>
              <w:rPr/>
              <w:t> </w:t>
            </w:r>
          </w:p>
        </w:tc>
        <w:tc>
          <w:tcPr>
            <w:tcW w:w="2383" w:type="dxa"/>
            <w:tcBorders/>
            <w:shd w:fill="CCEEFF" w:val="clear"/>
            <w:tcMar>
              <w:bottom w:w="0" w:type="dxa"/>
            </w:tcMar>
            <w:vAlign w:val="center"/>
          </w:tcPr>
          <w:p>
            <w:pPr>
              <w:pStyle w:val="TableContents"/>
              <w:bidi w:val="0"/>
              <w:spacing w:before="0" w:after="283"/>
              <w:jc w:val="both"/>
              <w:rPr>
                <w:sz w:val="20"/>
              </w:rPr>
            </w:pPr>
            <w:r>
              <w:rPr>
                <w:sz w:val="20"/>
              </w:rPr>
              <w:t>US10,457,421B2</w:t>
            </w:r>
          </w:p>
        </w:tc>
        <w:tc>
          <w:tcPr>
            <w:tcW w:w="60" w:type="dxa"/>
            <w:tcBorders/>
            <w:shd w:fill="CCEEFF" w:val="clear"/>
            <w:tcMar>
              <w:bottom w:w="0" w:type="dxa"/>
            </w:tcMar>
            <w:vAlign w:val="center"/>
          </w:tcPr>
          <w:p>
            <w:pPr>
              <w:pStyle w:val="TableContents"/>
              <w:bidi w:val="0"/>
              <w:spacing w:before="0" w:after="283"/>
              <w:jc w:val="both"/>
              <w:rPr/>
            </w:pPr>
            <w:r>
              <w:rPr/>
              <w:t> </w:t>
            </w:r>
          </w:p>
        </w:tc>
        <w:tc>
          <w:tcPr>
            <w:tcW w:w="3151" w:type="dxa"/>
            <w:tcBorders/>
            <w:shd w:fill="CCEEFF" w:val="clear"/>
            <w:tcMar>
              <w:bottom w:w="0" w:type="dxa"/>
            </w:tcMar>
            <w:vAlign w:val="center"/>
          </w:tcPr>
          <w:p>
            <w:pPr>
              <w:pStyle w:val="TableContents"/>
              <w:bidi w:val="0"/>
              <w:spacing w:before="0" w:after="283"/>
              <w:jc w:val="left"/>
              <w:rPr>
                <w:sz w:val="20"/>
              </w:rPr>
            </w:pPr>
            <w:r>
              <w:rPr>
                <w:sz w:val="20"/>
              </w:rPr>
              <w:t>Drone Docking Station and delivery system</w:t>
            </w:r>
          </w:p>
        </w:tc>
        <w:tc>
          <w:tcPr>
            <w:tcW w:w="60" w:type="dxa"/>
            <w:tcBorders/>
            <w:shd w:fill="CCEEFF" w:val="clear"/>
            <w:tcMar>
              <w:bottom w:w="0" w:type="dxa"/>
            </w:tcMar>
            <w:vAlign w:val="center"/>
          </w:tcPr>
          <w:p>
            <w:pPr>
              <w:pStyle w:val="TableContents"/>
              <w:bidi w:val="0"/>
              <w:spacing w:before="0" w:after="283"/>
              <w:jc w:val="both"/>
              <w:rPr/>
            </w:pPr>
            <w:r>
              <w:rPr/>
              <w:t> </w:t>
            </w:r>
          </w:p>
        </w:tc>
        <w:tc>
          <w:tcPr>
            <w:tcW w:w="991" w:type="dxa"/>
            <w:tcBorders/>
            <w:shd w:fill="CCEEFF" w:val="clear"/>
            <w:tcMar>
              <w:bottom w:w="0" w:type="dxa"/>
            </w:tcMar>
            <w:vAlign w:val="center"/>
          </w:tcPr>
          <w:p>
            <w:pPr>
              <w:pStyle w:val="TableContents"/>
              <w:bidi w:val="0"/>
              <w:spacing w:before="0" w:after="283"/>
              <w:jc w:val="both"/>
              <w:rPr>
                <w:sz w:val="20"/>
              </w:rPr>
            </w:pPr>
            <w:r>
              <w:rPr>
                <w:sz w:val="20"/>
              </w:rPr>
              <w:t>October 29, 2019</w:t>
            </w:r>
          </w:p>
        </w:tc>
        <w:tc>
          <w:tcPr>
            <w:tcW w:w="60" w:type="dxa"/>
            <w:tcBorders/>
            <w:shd w:fill="CCEEFF" w:val="clear"/>
            <w:tcMar>
              <w:bottom w:w="0" w:type="dxa"/>
            </w:tcMar>
            <w:vAlign w:val="center"/>
          </w:tcPr>
          <w:p>
            <w:pPr>
              <w:pStyle w:val="TableContents"/>
              <w:bidi w:val="0"/>
              <w:spacing w:before="0" w:after="283"/>
              <w:jc w:val="both"/>
              <w:rPr/>
            </w:pPr>
            <w:r>
              <w:rPr/>
              <w:t> </w:t>
            </w:r>
          </w:p>
        </w:tc>
        <w:tc>
          <w:tcPr>
            <w:tcW w:w="1005" w:type="dxa"/>
            <w:tcBorders/>
            <w:shd w:fill="CCEEFF" w:val="clear"/>
            <w:tcMar>
              <w:bottom w:w="0" w:type="dxa"/>
            </w:tcMar>
            <w:vAlign w:val="center"/>
          </w:tcPr>
          <w:p>
            <w:pPr>
              <w:pStyle w:val="TableContents"/>
              <w:bidi w:val="0"/>
              <w:spacing w:before="0" w:after="283"/>
              <w:jc w:val="both"/>
              <w:rPr>
                <w:sz w:val="20"/>
              </w:rPr>
            </w:pPr>
            <w:r>
              <w:rPr>
                <w:sz w:val="20"/>
              </w:rPr>
              <w:t>15/328,027</w:t>
            </w:r>
          </w:p>
        </w:tc>
        <w:tc>
          <w:tcPr>
            <w:tcW w:w="60" w:type="dxa"/>
            <w:tcBorders/>
            <w:shd w:fill="CCEEFF" w:val="clear"/>
            <w:tcMar>
              <w:bottom w:w="0" w:type="dxa"/>
            </w:tcMar>
            <w:vAlign w:val="center"/>
          </w:tcPr>
          <w:p>
            <w:pPr>
              <w:pStyle w:val="TableContents"/>
              <w:bidi w:val="0"/>
              <w:spacing w:before="0" w:after="283"/>
              <w:jc w:val="both"/>
              <w:rPr/>
            </w:pPr>
            <w:r>
              <w:rPr/>
              <w:t> </w:t>
            </w:r>
          </w:p>
        </w:tc>
        <w:tc>
          <w:tcPr>
            <w:tcW w:w="895" w:type="dxa"/>
            <w:tcBorders/>
            <w:shd w:fill="CCEEFF" w:val="clear"/>
            <w:tcMar>
              <w:bottom w:w="0" w:type="dxa"/>
            </w:tcMar>
            <w:vAlign w:val="center"/>
          </w:tcPr>
          <w:p>
            <w:pPr>
              <w:pStyle w:val="TableContents"/>
              <w:bidi w:val="0"/>
              <w:spacing w:before="0" w:after="283"/>
              <w:jc w:val="both"/>
              <w:rPr>
                <w:sz w:val="20"/>
              </w:rPr>
            </w:pPr>
            <w:r>
              <w:rPr>
                <w:sz w:val="20"/>
              </w:rPr>
              <w:t>Daniel O’Toole</w:t>
            </w:r>
          </w:p>
        </w:tc>
        <w:tc>
          <w:tcPr>
            <w:tcW w:w="60" w:type="dxa"/>
            <w:tcBorders/>
            <w:shd w:fill="CCEEFF" w:val="clear"/>
            <w:tcMar>
              <w:bottom w:w="0" w:type="dxa"/>
            </w:tcMar>
            <w:vAlign w:val="center"/>
          </w:tcPr>
          <w:p>
            <w:pPr>
              <w:pStyle w:val="TableContents"/>
              <w:bidi w:val="0"/>
              <w:spacing w:before="0" w:after="283"/>
              <w:jc w:val="both"/>
              <w:rPr/>
            </w:pPr>
            <w:r>
              <w:rPr/>
              <w:t> </w:t>
            </w:r>
          </w:p>
        </w:tc>
        <w:tc>
          <w:tcPr>
            <w:tcW w:w="995" w:type="dxa"/>
            <w:tcBorders/>
            <w:shd w:fill="CCEEFF" w:val="clear"/>
            <w:tcMar>
              <w:bottom w:w="0" w:type="dxa"/>
            </w:tcMar>
            <w:vAlign w:val="center"/>
          </w:tcPr>
          <w:p>
            <w:pPr>
              <w:pStyle w:val="TableContents"/>
              <w:bidi w:val="0"/>
              <w:spacing w:before="0" w:after="283"/>
              <w:jc w:val="both"/>
              <w:rPr>
                <w:sz w:val="20"/>
              </w:rPr>
            </w:pPr>
            <w:r>
              <w:rPr>
                <w:sz w:val="20"/>
              </w:rPr>
              <w:t>January 21, 2017</w:t>
            </w:r>
          </w:p>
        </w:tc>
      </w:tr>
      <w:tr>
        <w:trPr/>
        <w:tc>
          <w:tcPr>
            <w:tcW w:w="4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2383"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315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9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00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89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95" w:type="dxa"/>
            <w:tcBorders/>
            <w:shd w:fill="FFFFFF" w:val="clear"/>
            <w:tcMar>
              <w:bottom w:w="0" w:type="dxa"/>
            </w:tcMar>
            <w:vAlign w:val="center"/>
          </w:tcPr>
          <w:p>
            <w:pPr>
              <w:pStyle w:val="TableContents"/>
              <w:bidi w:val="0"/>
              <w:spacing w:before="0" w:after="283"/>
              <w:jc w:val="both"/>
              <w:rPr/>
            </w:pPr>
            <w:r>
              <w:rPr/>
              <w:t> </w:t>
            </w:r>
          </w:p>
        </w:tc>
      </w:tr>
      <w:tr>
        <w:trPr/>
        <w:tc>
          <w:tcPr>
            <w:tcW w:w="425" w:type="dxa"/>
            <w:tcBorders/>
            <w:shd w:fill="CCEEFF" w:val="clear"/>
            <w:tcMar>
              <w:bottom w:w="0" w:type="dxa"/>
            </w:tcMar>
            <w:vAlign w:val="center"/>
          </w:tcPr>
          <w:p>
            <w:pPr>
              <w:pStyle w:val="TableContents"/>
              <w:bidi w:val="0"/>
              <w:spacing w:before="0" w:after="283"/>
              <w:jc w:val="both"/>
              <w:rPr>
                <w:sz w:val="20"/>
              </w:rPr>
            </w:pPr>
            <w:r>
              <w:rPr>
                <w:sz w:val="20"/>
              </w:rPr>
              <w:t>3</w:t>
            </w:r>
          </w:p>
        </w:tc>
        <w:tc>
          <w:tcPr>
            <w:tcW w:w="60" w:type="dxa"/>
            <w:tcBorders/>
            <w:shd w:fill="CCEEFF" w:val="clear"/>
            <w:tcMar>
              <w:bottom w:w="0" w:type="dxa"/>
            </w:tcMar>
            <w:vAlign w:val="center"/>
          </w:tcPr>
          <w:p>
            <w:pPr>
              <w:pStyle w:val="TableContents"/>
              <w:bidi w:val="0"/>
              <w:spacing w:before="0" w:after="283"/>
              <w:jc w:val="both"/>
              <w:rPr/>
            </w:pPr>
            <w:r>
              <w:rPr/>
              <w:t> </w:t>
            </w:r>
          </w:p>
        </w:tc>
        <w:tc>
          <w:tcPr>
            <w:tcW w:w="2383" w:type="dxa"/>
            <w:tcBorders/>
            <w:shd w:fill="CCEEFF" w:val="clear"/>
            <w:tcMar>
              <w:bottom w:w="0" w:type="dxa"/>
            </w:tcMar>
            <w:vAlign w:val="center"/>
          </w:tcPr>
          <w:p>
            <w:pPr>
              <w:pStyle w:val="TableContents"/>
              <w:bidi w:val="0"/>
              <w:spacing w:before="0" w:after="283"/>
              <w:jc w:val="both"/>
              <w:rPr>
                <w:sz w:val="20"/>
              </w:rPr>
            </w:pPr>
            <w:r>
              <w:rPr>
                <w:sz w:val="20"/>
              </w:rPr>
              <w:t>Pending-PubNoWO2016/094067 June 16, 2016</w:t>
            </w:r>
          </w:p>
        </w:tc>
        <w:tc>
          <w:tcPr>
            <w:tcW w:w="60" w:type="dxa"/>
            <w:tcBorders/>
            <w:shd w:fill="CCEEFF" w:val="clear"/>
            <w:tcMar>
              <w:bottom w:w="0" w:type="dxa"/>
            </w:tcMar>
            <w:vAlign w:val="center"/>
          </w:tcPr>
          <w:p>
            <w:pPr>
              <w:pStyle w:val="TableContents"/>
              <w:bidi w:val="0"/>
              <w:spacing w:before="0" w:after="283"/>
              <w:jc w:val="both"/>
              <w:rPr/>
            </w:pPr>
            <w:r>
              <w:rPr/>
              <w:t> </w:t>
            </w:r>
          </w:p>
        </w:tc>
        <w:tc>
          <w:tcPr>
            <w:tcW w:w="3151" w:type="dxa"/>
            <w:tcBorders/>
            <w:shd w:fill="CCEEFF" w:val="clear"/>
            <w:tcMar>
              <w:bottom w:w="0" w:type="dxa"/>
            </w:tcMar>
            <w:vAlign w:val="center"/>
          </w:tcPr>
          <w:p>
            <w:pPr>
              <w:pStyle w:val="TableContents"/>
              <w:bidi w:val="0"/>
              <w:spacing w:before="0" w:after="283"/>
              <w:jc w:val="left"/>
              <w:rPr>
                <w:sz w:val="20"/>
              </w:rPr>
            </w:pPr>
            <w:r>
              <w:rPr>
                <w:sz w:val="20"/>
              </w:rPr>
              <w:t>Drone Docking Station and delivery system</w:t>
            </w:r>
          </w:p>
        </w:tc>
        <w:tc>
          <w:tcPr>
            <w:tcW w:w="60" w:type="dxa"/>
            <w:tcBorders/>
            <w:shd w:fill="CCEEFF" w:val="clear"/>
            <w:tcMar>
              <w:bottom w:w="0" w:type="dxa"/>
            </w:tcMar>
            <w:vAlign w:val="center"/>
          </w:tcPr>
          <w:p>
            <w:pPr>
              <w:pStyle w:val="TableContents"/>
              <w:bidi w:val="0"/>
              <w:spacing w:before="0" w:after="283"/>
              <w:jc w:val="both"/>
              <w:rPr/>
            </w:pPr>
            <w:r>
              <w:rPr/>
              <w:t> </w:t>
            </w:r>
          </w:p>
        </w:tc>
        <w:tc>
          <w:tcPr>
            <w:tcW w:w="991" w:type="dxa"/>
            <w:tcBorders/>
            <w:shd w:fill="CCEEFF" w:val="clear"/>
            <w:tcMar>
              <w:bottom w:w="0" w:type="dxa"/>
            </w:tcMar>
            <w:vAlign w:val="center"/>
          </w:tcPr>
          <w:p>
            <w:pPr>
              <w:pStyle w:val="TableContents"/>
              <w:bidi w:val="0"/>
              <w:spacing w:before="0" w:after="283"/>
              <w:jc w:val="both"/>
              <w:rPr/>
            </w:pPr>
            <w:r>
              <w:rPr/>
              <w:t>—</w:t>
            </w:r>
          </w:p>
        </w:tc>
        <w:tc>
          <w:tcPr>
            <w:tcW w:w="60" w:type="dxa"/>
            <w:tcBorders/>
            <w:shd w:fill="CCEEFF" w:val="clear"/>
            <w:tcMar>
              <w:bottom w:w="0" w:type="dxa"/>
            </w:tcMar>
            <w:vAlign w:val="center"/>
          </w:tcPr>
          <w:p>
            <w:pPr>
              <w:pStyle w:val="TableContents"/>
              <w:bidi w:val="0"/>
              <w:spacing w:before="0" w:after="283"/>
              <w:jc w:val="both"/>
              <w:rPr/>
            </w:pPr>
            <w:r>
              <w:rPr/>
              <w:t> </w:t>
            </w:r>
          </w:p>
        </w:tc>
        <w:tc>
          <w:tcPr>
            <w:tcW w:w="1005" w:type="dxa"/>
            <w:tcBorders/>
            <w:shd w:fill="CCEEFF" w:val="clear"/>
            <w:tcMar>
              <w:bottom w:w="0" w:type="dxa"/>
            </w:tcMar>
            <w:vAlign w:val="center"/>
          </w:tcPr>
          <w:p>
            <w:pPr>
              <w:pStyle w:val="TableContents"/>
              <w:bidi w:val="0"/>
              <w:spacing w:before="0" w:after="283"/>
              <w:jc w:val="both"/>
              <w:rPr>
                <w:sz w:val="20"/>
              </w:rPr>
            </w:pPr>
            <w:r>
              <w:rPr>
                <w:sz w:val="20"/>
              </w:rPr>
              <w:t>PCT/US15/62034</w:t>
            </w:r>
          </w:p>
        </w:tc>
        <w:tc>
          <w:tcPr>
            <w:tcW w:w="60" w:type="dxa"/>
            <w:tcBorders/>
            <w:shd w:fill="CCEEFF" w:val="clear"/>
            <w:tcMar>
              <w:bottom w:w="0" w:type="dxa"/>
            </w:tcMar>
            <w:vAlign w:val="center"/>
          </w:tcPr>
          <w:p>
            <w:pPr>
              <w:pStyle w:val="TableContents"/>
              <w:bidi w:val="0"/>
              <w:spacing w:before="0" w:after="283"/>
              <w:jc w:val="both"/>
              <w:rPr/>
            </w:pPr>
            <w:r>
              <w:rPr/>
              <w:t> </w:t>
            </w:r>
          </w:p>
        </w:tc>
        <w:tc>
          <w:tcPr>
            <w:tcW w:w="895" w:type="dxa"/>
            <w:tcBorders/>
            <w:shd w:fill="CCEEFF" w:val="clear"/>
            <w:tcMar>
              <w:bottom w:w="0" w:type="dxa"/>
            </w:tcMar>
            <w:vAlign w:val="center"/>
          </w:tcPr>
          <w:p>
            <w:pPr>
              <w:pStyle w:val="TableContents"/>
              <w:bidi w:val="0"/>
              <w:spacing w:before="0" w:after="283"/>
              <w:jc w:val="both"/>
              <w:rPr>
                <w:sz w:val="20"/>
              </w:rPr>
            </w:pPr>
            <w:r>
              <w:rPr>
                <w:sz w:val="20"/>
              </w:rPr>
              <w:t>Daniel O’Toole</w:t>
            </w:r>
          </w:p>
        </w:tc>
        <w:tc>
          <w:tcPr>
            <w:tcW w:w="60" w:type="dxa"/>
            <w:tcBorders/>
            <w:shd w:fill="CCEEFF" w:val="clear"/>
            <w:tcMar>
              <w:bottom w:w="0" w:type="dxa"/>
            </w:tcMar>
            <w:vAlign w:val="center"/>
          </w:tcPr>
          <w:p>
            <w:pPr>
              <w:pStyle w:val="TableContents"/>
              <w:bidi w:val="0"/>
              <w:spacing w:before="0" w:after="283"/>
              <w:jc w:val="both"/>
              <w:rPr/>
            </w:pPr>
            <w:r>
              <w:rPr/>
              <w:t> </w:t>
            </w:r>
          </w:p>
        </w:tc>
        <w:tc>
          <w:tcPr>
            <w:tcW w:w="995" w:type="dxa"/>
            <w:tcBorders/>
            <w:shd w:fill="CCEEFF" w:val="clear"/>
            <w:tcMar>
              <w:bottom w:w="0" w:type="dxa"/>
            </w:tcMar>
            <w:vAlign w:val="center"/>
          </w:tcPr>
          <w:p>
            <w:pPr>
              <w:pStyle w:val="TableContents"/>
              <w:bidi w:val="0"/>
              <w:spacing w:before="0" w:after="283"/>
              <w:jc w:val="both"/>
              <w:rPr>
                <w:sz w:val="20"/>
              </w:rPr>
            </w:pPr>
            <w:r>
              <w:rPr>
                <w:sz w:val="20"/>
              </w:rPr>
              <w:t>November 21, 2015</w:t>
            </w:r>
          </w:p>
        </w:tc>
      </w:tr>
      <w:tr>
        <w:trPr/>
        <w:tc>
          <w:tcPr>
            <w:tcW w:w="4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2383"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315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9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00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89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95" w:type="dxa"/>
            <w:tcBorders/>
            <w:shd w:fill="FFFFFF" w:val="clear"/>
            <w:tcMar>
              <w:bottom w:w="0" w:type="dxa"/>
            </w:tcMar>
            <w:vAlign w:val="center"/>
          </w:tcPr>
          <w:p>
            <w:pPr>
              <w:pStyle w:val="TableContents"/>
              <w:bidi w:val="0"/>
              <w:spacing w:before="0" w:after="283"/>
              <w:jc w:val="both"/>
              <w:rPr/>
            </w:pPr>
            <w:r>
              <w:rPr/>
              <w:t> </w:t>
            </w:r>
          </w:p>
        </w:tc>
      </w:tr>
      <w:tr>
        <w:trPr/>
        <w:tc>
          <w:tcPr>
            <w:tcW w:w="425" w:type="dxa"/>
            <w:tcBorders/>
            <w:shd w:fill="CCEEFF" w:val="clear"/>
            <w:tcMar>
              <w:bottom w:w="0" w:type="dxa"/>
            </w:tcMar>
            <w:vAlign w:val="center"/>
          </w:tcPr>
          <w:p>
            <w:pPr>
              <w:pStyle w:val="TableContents"/>
              <w:bidi w:val="0"/>
              <w:spacing w:before="0" w:after="283"/>
              <w:jc w:val="both"/>
              <w:rPr>
                <w:sz w:val="20"/>
              </w:rPr>
            </w:pPr>
            <w:r>
              <w:rPr>
                <w:sz w:val="20"/>
              </w:rPr>
              <w:t>4</w:t>
            </w:r>
          </w:p>
        </w:tc>
        <w:tc>
          <w:tcPr>
            <w:tcW w:w="60" w:type="dxa"/>
            <w:tcBorders/>
            <w:shd w:fill="CCEEFF" w:val="clear"/>
            <w:tcMar>
              <w:bottom w:w="0" w:type="dxa"/>
            </w:tcMar>
            <w:vAlign w:val="center"/>
          </w:tcPr>
          <w:p>
            <w:pPr>
              <w:pStyle w:val="TableContents"/>
              <w:bidi w:val="0"/>
              <w:spacing w:before="0" w:after="283"/>
              <w:jc w:val="both"/>
              <w:rPr/>
            </w:pPr>
            <w:r>
              <w:rPr/>
              <w:t> </w:t>
            </w:r>
          </w:p>
        </w:tc>
        <w:tc>
          <w:tcPr>
            <w:tcW w:w="2383" w:type="dxa"/>
            <w:tcBorders/>
            <w:shd w:fill="CCEEFF" w:val="clear"/>
            <w:tcMar>
              <w:bottom w:w="0" w:type="dxa"/>
            </w:tcMar>
            <w:vAlign w:val="center"/>
          </w:tcPr>
          <w:p>
            <w:pPr>
              <w:pStyle w:val="TableContents"/>
              <w:bidi w:val="0"/>
              <w:spacing w:before="0" w:after="283"/>
              <w:jc w:val="both"/>
              <w:rPr>
                <w:sz w:val="20"/>
              </w:rPr>
            </w:pPr>
            <w:r>
              <w:rPr>
                <w:sz w:val="20"/>
              </w:rPr>
              <w:t>Trademark App 88522545</w:t>
            </w:r>
          </w:p>
        </w:tc>
        <w:tc>
          <w:tcPr>
            <w:tcW w:w="60" w:type="dxa"/>
            <w:tcBorders/>
            <w:shd w:fill="CCEEFF" w:val="clear"/>
            <w:tcMar>
              <w:bottom w:w="0" w:type="dxa"/>
            </w:tcMar>
            <w:vAlign w:val="center"/>
          </w:tcPr>
          <w:p>
            <w:pPr>
              <w:pStyle w:val="TableContents"/>
              <w:bidi w:val="0"/>
              <w:spacing w:before="0" w:after="283"/>
              <w:jc w:val="both"/>
              <w:rPr/>
            </w:pPr>
            <w:r>
              <w:rPr/>
              <w:t> </w:t>
            </w:r>
          </w:p>
        </w:tc>
        <w:tc>
          <w:tcPr>
            <w:tcW w:w="3151" w:type="dxa"/>
            <w:tcBorders/>
            <w:shd w:fill="CCEEFF" w:val="clear"/>
            <w:tcMar>
              <w:bottom w:w="0" w:type="dxa"/>
            </w:tcMar>
            <w:vAlign w:val="center"/>
          </w:tcPr>
          <w:p>
            <w:pPr>
              <w:pStyle w:val="TableContents"/>
              <w:bidi w:val="0"/>
              <w:spacing w:before="0" w:after="283"/>
              <w:jc w:val="left"/>
              <w:rPr>
                <w:sz w:val="20"/>
              </w:rPr>
            </w:pPr>
            <w:r>
              <w:rPr>
                <w:sz w:val="20"/>
              </w:rPr>
              <w:t>DRONEDEK</w:t>
            </w:r>
          </w:p>
        </w:tc>
        <w:tc>
          <w:tcPr>
            <w:tcW w:w="60" w:type="dxa"/>
            <w:tcBorders/>
            <w:shd w:fill="CCEEFF" w:val="clear"/>
            <w:tcMar>
              <w:bottom w:w="0" w:type="dxa"/>
            </w:tcMar>
            <w:vAlign w:val="center"/>
          </w:tcPr>
          <w:p>
            <w:pPr>
              <w:pStyle w:val="TableContents"/>
              <w:bidi w:val="0"/>
              <w:spacing w:before="0" w:after="283"/>
              <w:jc w:val="both"/>
              <w:rPr/>
            </w:pPr>
            <w:r>
              <w:rPr/>
              <w:t> </w:t>
            </w:r>
          </w:p>
        </w:tc>
        <w:tc>
          <w:tcPr>
            <w:tcW w:w="991" w:type="dxa"/>
            <w:tcBorders/>
            <w:shd w:fill="CCEEFF" w:val="clear"/>
            <w:tcMar>
              <w:bottom w:w="0" w:type="dxa"/>
            </w:tcMar>
            <w:vAlign w:val="center"/>
          </w:tcPr>
          <w:p>
            <w:pPr>
              <w:pStyle w:val="TableContents"/>
              <w:bidi w:val="0"/>
              <w:spacing w:before="0" w:after="283"/>
              <w:jc w:val="both"/>
              <w:rPr>
                <w:sz w:val="20"/>
              </w:rPr>
            </w:pPr>
            <w:r>
              <w:rPr>
                <w:sz w:val="20"/>
              </w:rPr>
              <w:t>Registered</w:t>
            </w:r>
          </w:p>
        </w:tc>
        <w:tc>
          <w:tcPr>
            <w:tcW w:w="60" w:type="dxa"/>
            <w:tcBorders/>
            <w:shd w:fill="CCEEFF" w:val="clear"/>
            <w:tcMar>
              <w:bottom w:w="0" w:type="dxa"/>
            </w:tcMar>
            <w:vAlign w:val="center"/>
          </w:tcPr>
          <w:p>
            <w:pPr>
              <w:pStyle w:val="TableContents"/>
              <w:bidi w:val="0"/>
              <w:spacing w:before="0" w:after="283"/>
              <w:jc w:val="both"/>
              <w:rPr/>
            </w:pPr>
            <w:r>
              <w:rPr/>
              <w:t> </w:t>
            </w:r>
          </w:p>
        </w:tc>
        <w:tc>
          <w:tcPr>
            <w:tcW w:w="1005" w:type="dxa"/>
            <w:tcBorders/>
            <w:shd w:fill="CCEEFF" w:val="clear"/>
            <w:tcMar>
              <w:bottom w:w="0" w:type="dxa"/>
            </w:tcMar>
            <w:vAlign w:val="center"/>
          </w:tcPr>
          <w:p>
            <w:pPr>
              <w:pStyle w:val="TableContents"/>
              <w:bidi w:val="0"/>
              <w:spacing w:before="0" w:after="283"/>
              <w:jc w:val="both"/>
              <w:rPr>
                <w:sz w:val="20"/>
              </w:rPr>
            </w:pPr>
            <w:r>
              <w:rPr>
                <w:sz w:val="20"/>
              </w:rPr>
              <w:t>88522545</w:t>
            </w:r>
          </w:p>
        </w:tc>
        <w:tc>
          <w:tcPr>
            <w:tcW w:w="60" w:type="dxa"/>
            <w:tcBorders/>
            <w:shd w:fill="CCEEFF" w:val="clear"/>
            <w:tcMar>
              <w:bottom w:w="0" w:type="dxa"/>
            </w:tcMar>
            <w:vAlign w:val="center"/>
          </w:tcPr>
          <w:p>
            <w:pPr>
              <w:pStyle w:val="TableContents"/>
              <w:bidi w:val="0"/>
              <w:spacing w:before="0" w:after="283"/>
              <w:jc w:val="both"/>
              <w:rPr/>
            </w:pPr>
            <w:r>
              <w:rPr/>
              <w:t> </w:t>
            </w:r>
          </w:p>
        </w:tc>
        <w:tc>
          <w:tcPr>
            <w:tcW w:w="895" w:type="dxa"/>
            <w:tcBorders/>
            <w:shd w:fill="CCEEFF" w:val="clear"/>
            <w:tcMar>
              <w:bottom w:w="0" w:type="dxa"/>
            </w:tcMar>
            <w:vAlign w:val="center"/>
          </w:tcPr>
          <w:p>
            <w:pPr>
              <w:pStyle w:val="TableContents"/>
              <w:bidi w:val="0"/>
              <w:spacing w:before="0" w:after="283"/>
              <w:jc w:val="both"/>
              <w:rPr>
                <w:sz w:val="20"/>
              </w:rPr>
            </w:pPr>
            <w:r>
              <w:rPr>
                <w:sz w:val="20"/>
              </w:rPr>
              <w:t>Daniel O’Toole</w:t>
            </w:r>
          </w:p>
        </w:tc>
        <w:tc>
          <w:tcPr>
            <w:tcW w:w="60" w:type="dxa"/>
            <w:tcBorders/>
            <w:shd w:fill="CCEEFF" w:val="clear"/>
            <w:tcMar>
              <w:bottom w:w="0" w:type="dxa"/>
            </w:tcMar>
            <w:vAlign w:val="center"/>
          </w:tcPr>
          <w:p>
            <w:pPr>
              <w:pStyle w:val="TableContents"/>
              <w:bidi w:val="0"/>
              <w:spacing w:before="0" w:after="283"/>
              <w:jc w:val="both"/>
              <w:rPr/>
            </w:pPr>
            <w:r>
              <w:rPr/>
              <w:t> </w:t>
            </w:r>
          </w:p>
        </w:tc>
        <w:tc>
          <w:tcPr>
            <w:tcW w:w="995" w:type="dxa"/>
            <w:tcBorders/>
            <w:shd w:fill="CCEEFF" w:val="clear"/>
            <w:tcMar>
              <w:bottom w:w="0" w:type="dxa"/>
            </w:tcMar>
            <w:vAlign w:val="center"/>
          </w:tcPr>
          <w:p>
            <w:pPr>
              <w:pStyle w:val="TableContents"/>
              <w:bidi w:val="0"/>
              <w:spacing w:before="0" w:after="283"/>
              <w:jc w:val="both"/>
              <w:rPr>
                <w:sz w:val="20"/>
              </w:rPr>
            </w:pPr>
            <w:r>
              <w:rPr>
                <w:sz w:val="20"/>
              </w:rPr>
              <w:t>July 18, 2019</w:t>
            </w:r>
          </w:p>
        </w:tc>
      </w:tr>
      <w:tr>
        <w:trPr/>
        <w:tc>
          <w:tcPr>
            <w:tcW w:w="4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2383"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315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9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00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89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95" w:type="dxa"/>
            <w:tcBorders/>
            <w:shd w:fill="FFFFFF" w:val="clear"/>
            <w:tcMar>
              <w:bottom w:w="0" w:type="dxa"/>
            </w:tcMar>
            <w:vAlign w:val="center"/>
          </w:tcPr>
          <w:p>
            <w:pPr>
              <w:pStyle w:val="TableContents"/>
              <w:bidi w:val="0"/>
              <w:spacing w:before="0" w:after="283"/>
              <w:jc w:val="both"/>
              <w:rPr/>
            </w:pPr>
            <w:r>
              <w:rPr/>
              <w:t> </w:t>
            </w:r>
          </w:p>
        </w:tc>
      </w:tr>
      <w:tr>
        <w:trPr/>
        <w:tc>
          <w:tcPr>
            <w:tcW w:w="425" w:type="dxa"/>
            <w:tcBorders/>
            <w:shd w:fill="CCEEFF" w:val="clear"/>
            <w:tcMar>
              <w:bottom w:w="0" w:type="dxa"/>
            </w:tcMar>
            <w:vAlign w:val="center"/>
          </w:tcPr>
          <w:p>
            <w:pPr>
              <w:pStyle w:val="TableContents"/>
              <w:bidi w:val="0"/>
              <w:spacing w:before="0" w:after="283"/>
              <w:jc w:val="both"/>
              <w:rPr>
                <w:sz w:val="20"/>
              </w:rPr>
            </w:pPr>
            <w:r>
              <w:rPr>
                <w:sz w:val="20"/>
              </w:rPr>
              <w:t>5</w:t>
            </w:r>
          </w:p>
        </w:tc>
        <w:tc>
          <w:tcPr>
            <w:tcW w:w="60" w:type="dxa"/>
            <w:tcBorders/>
            <w:shd w:fill="CCEEFF" w:val="clear"/>
            <w:tcMar>
              <w:bottom w:w="0" w:type="dxa"/>
            </w:tcMar>
            <w:vAlign w:val="center"/>
          </w:tcPr>
          <w:p>
            <w:pPr>
              <w:pStyle w:val="TableContents"/>
              <w:bidi w:val="0"/>
              <w:spacing w:before="0" w:after="283"/>
              <w:jc w:val="both"/>
              <w:rPr/>
            </w:pPr>
            <w:r>
              <w:rPr/>
              <w:t> </w:t>
            </w:r>
          </w:p>
        </w:tc>
        <w:tc>
          <w:tcPr>
            <w:tcW w:w="2383" w:type="dxa"/>
            <w:tcBorders/>
            <w:shd w:fill="CCEEFF" w:val="clear"/>
            <w:tcMar>
              <w:bottom w:w="0" w:type="dxa"/>
            </w:tcMar>
            <w:vAlign w:val="center"/>
          </w:tcPr>
          <w:p>
            <w:pPr>
              <w:pStyle w:val="TableContents"/>
              <w:bidi w:val="0"/>
              <w:spacing w:before="0" w:after="283"/>
              <w:jc w:val="both"/>
              <w:rPr>
                <w:sz w:val="20"/>
              </w:rPr>
            </w:pPr>
            <w:r>
              <w:rPr>
                <w:sz w:val="20"/>
              </w:rPr>
              <w:t>US 12,304,671</w:t>
            </w:r>
          </w:p>
        </w:tc>
        <w:tc>
          <w:tcPr>
            <w:tcW w:w="60" w:type="dxa"/>
            <w:tcBorders/>
            <w:shd w:fill="CCEEFF" w:val="clear"/>
            <w:tcMar>
              <w:bottom w:w="0" w:type="dxa"/>
            </w:tcMar>
            <w:vAlign w:val="center"/>
          </w:tcPr>
          <w:p>
            <w:pPr>
              <w:pStyle w:val="TableContents"/>
              <w:bidi w:val="0"/>
              <w:spacing w:before="0" w:after="283"/>
              <w:jc w:val="both"/>
              <w:rPr/>
            </w:pPr>
            <w:r>
              <w:rPr/>
              <w:t> </w:t>
            </w:r>
          </w:p>
        </w:tc>
        <w:tc>
          <w:tcPr>
            <w:tcW w:w="3151" w:type="dxa"/>
            <w:tcBorders/>
            <w:shd w:fill="CCEEFF" w:val="clear"/>
            <w:tcMar>
              <w:bottom w:w="0" w:type="dxa"/>
            </w:tcMar>
            <w:vAlign w:val="center"/>
          </w:tcPr>
          <w:p>
            <w:pPr>
              <w:pStyle w:val="TableContents"/>
              <w:bidi w:val="0"/>
              <w:spacing w:before="0" w:after="283"/>
              <w:jc w:val="left"/>
              <w:rPr>
                <w:sz w:val="20"/>
              </w:rPr>
            </w:pPr>
            <w:r>
              <w:rPr>
                <w:sz w:val="20"/>
              </w:rPr>
              <w:t>Hot and Cold Section drone docking station Temperature Controlled Devic</w:t>
            </w:r>
          </w:p>
        </w:tc>
        <w:tc>
          <w:tcPr>
            <w:tcW w:w="60" w:type="dxa"/>
            <w:tcBorders/>
            <w:shd w:fill="CCEEFF" w:val="clear"/>
            <w:tcMar>
              <w:bottom w:w="0" w:type="dxa"/>
            </w:tcMar>
            <w:vAlign w:val="center"/>
          </w:tcPr>
          <w:p>
            <w:pPr>
              <w:pStyle w:val="TableContents"/>
              <w:bidi w:val="0"/>
              <w:spacing w:before="0" w:after="283"/>
              <w:jc w:val="both"/>
              <w:rPr/>
            </w:pPr>
            <w:r>
              <w:rPr/>
              <w:t> </w:t>
            </w:r>
          </w:p>
        </w:tc>
        <w:tc>
          <w:tcPr>
            <w:tcW w:w="991" w:type="dxa"/>
            <w:tcBorders/>
            <w:shd w:fill="CCEEFF" w:val="clear"/>
            <w:tcMar>
              <w:bottom w:w="0" w:type="dxa"/>
            </w:tcMar>
            <w:vAlign w:val="center"/>
          </w:tcPr>
          <w:p>
            <w:pPr>
              <w:pStyle w:val="TableContents"/>
              <w:bidi w:val="0"/>
              <w:spacing w:before="0" w:after="283"/>
              <w:jc w:val="both"/>
              <w:rPr>
                <w:sz w:val="20"/>
              </w:rPr>
            </w:pPr>
            <w:r>
              <w:rPr>
                <w:sz w:val="20"/>
              </w:rPr>
              <w:t>May 2025</w:t>
            </w:r>
          </w:p>
        </w:tc>
        <w:tc>
          <w:tcPr>
            <w:tcW w:w="60" w:type="dxa"/>
            <w:tcBorders/>
            <w:shd w:fill="CCEEFF" w:val="clear"/>
            <w:tcMar>
              <w:bottom w:w="0" w:type="dxa"/>
            </w:tcMar>
            <w:vAlign w:val="center"/>
          </w:tcPr>
          <w:p>
            <w:pPr>
              <w:pStyle w:val="TableContents"/>
              <w:bidi w:val="0"/>
              <w:spacing w:before="0" w:after="283"/>
              <w:jc w:val="both"/>
              <w:rPr/>
            </w:pPr>
            <w:r>
              <w:rPr/>
              <w:t> </w:t>
            </w:r>
          </w:p>
        </w:tc>
        <w:tc>
          <w:tcPr>
            <w:tcW w:w="1005" w:type="dxa"/>
            <w:tcBorders/>
            <w:shd w:fill="CCEEFF" w:val="clear"/>
            <w:tcMar>
              <w:bottom w:w="0" w:type="dxa"/>
            </w:tcMar>
            <w:vAlign w:val="center"/>
          </w:tcPr>
          <w:p>
            <w:pPr>
              <w:pStyle w:val="TableContents"/>
              <w:bidi w:val="0"/>
              <w:spacing w:before="0" w:after="283"/>
              <w:jc w:val="both"/>
              <w:rPr>
                <w:sz w:val="20"/>
              </w:rPr>
            </w:pPr>
            <w:r>
              <w:rPr>
                <w:sz w:val="20"/>
              </w:rPr>
              <w:t>63012824 17/233635</w:t>
            </w:r>
          </w:p>
        </w:tc>
        <w:tc>
          <w:tcPr>
            <w:tcW w:w="60" w:type="dxa"/>
            <w:tcBorders/>
            <w:shd w:fill="CCEEFF" w:val="clear"/>
            <w:tcMar>
              <w:bottom w:w="0" w:type="dxa"/>
            </w:tcMar>
            <w:vAlign w:val="center"/>
          </w:tcPr>
          <w:p>
            <w:pPr>
              <w:pStyle w:val="TableContents"/>
              <w:bidi w:val="0"/>
              <w:spacing w:before="0" w:after="283"/>
              <w:jc w:val="both"/>
              <w:rPr/>
            </w:pPr>
            <w:r>
              <w:rPr/>
              <w:t> </w:t>
            </w:r>
          </w:p>
        </w:tc>
        <w:tc>
          <w:tcPr>
            <w:tcW w:w="895" w:type="dxa"/>
            <w:tcBorders/>
            <w:shd w:fill="CCEEFF" w:val="clear"/>
            <w:tcMar>
              <w:bottom w:w="0" w:type="dxa"/>
            </w:tcMar>
            <w:vAlign w:val="center"/>
          </w:tcPr>
          <w:p>
            <w:pPr>
              <w:pStyle w:val="TableContents"/>
              <w:bidi w:val="0"/>
              <w:spacing w:before="0" w:after="283"/>
              <w:jc w:val="both"/>
              <w:rPr>
                <w:sz w:val="20"/>
              </w:rPr>
            </w:pPr>
            <w:r>
              <w:rPr>
                <w:sz w:val="20"/>
              </w:rPr>
              <w:t>Daniel O’Toole</w:t>
            </w:r>
          </w:p>
        </w:tc>
        <w:tc>
          <w:tcPr>
            <w:tcW w:w="60" w:type="dxa"/>
            <w:tcBorders/>
            <w:shd w:fill="CCEEFF" w:val="clear"/>
            <w:tcMar>
              <w:bottom w:w="0" w:type="dxa"/>
            </w:tcMar>
            <w:vAlign w:val="center"/>
          </w:tcPr>
          <w:p>
            <w:pPr>
              <w:pStyle w:val="TableContents"/>
              <w:bidi w:val="0"/>
              <w:spacing w:before="0" w:after="283"/>
              <w:jc w:val="both"/>
              <w:rPr/>
            </w:pPr>
            <w:r>
              <w:rPr/>
              <w:t> </w:t>
            </w:r>
          </w:p>
        </w:tc>
        <w:tc>
          <w:tcPr>
            <w:tcW w:w="995" w:type="dxa"/>
            <w:tcBorders/>
            <w:shd w:fill="CCEEFF" w:val="clear"/>
            <w:tcMar>
              <w:bottom w:w="0" w:type="dxa"/>
            </w:tcMar>
            <w:vAlign w:val="center"/>
          </w:tcPr>
          <w:p>
            <w:pPr>
              <w:pStyle w:val="TableContents"/>
              <w:bidi w:val="0"/>
              <w:spacing w:before="0" w:after="283"/>
              <w:jc w:val="both"/>
              <w:rPr>
                <w:sz w:val="20"/>
              </w:rPr>
            </w:pPr>
            <w:r>
              <w:rPr>
                <w:sz w:val="20"/>
              </w:rPr>
              <w:t>April 20, 2020</w:t>
            </w:r>
          </w:p>
        </w:tc>
      </w:tr>
      <w:tr>
        <w:trPr/>
        <w:tc>
          <w:tcPr>
            <w:tcW w:w="4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2383"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315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9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00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89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95" w:type="dxa"/>
            <w:tcBorders/>
            <w:shd w:fill="FFFFFF" w:val="clear"/>
            <w:tcMar>
              <w:bottom w:w="0" w:type="dxa"/>
            </w:tcMar>
            <w:vAlign w:val="center"/>
          </w:tcPr>
          <w:p>
            <w:pPr>
              <w:pStyle w:val="TableContents"/>
              <w:bidi w:val="0"/>
              <w:spacing w:before="0" w:after="283"/>
              <w:jc w:val="both"/>
              <w:rPr/>
            </w:pPr>
            <w:r>
              <w:rPr/>
              <w:t> </w:t>
            </w:r>
          </w:p>
        </w:tc>
      </w:tr>
      <w:tr>
        <w:trPr/>
        <w:tc>
          <w:tcPr>
            <w:tcW w:w="425" w:type="dxa"/>
            <w:tcBorders/>
            <w:shd w:fill="CCEEFF" w:val="clear"/>
            <w:tcMar>
              <w:bottom w:w="0" w:type="dxa"/>
            </w:tcMar>
            <w:vAlign w:val="center"/>
          </w:tcPr>
          <w:p>
            <w:pPr>
              <w:pStyle w:val="TableContents"/>
              <w:bidi w:val="0"/>
              <w:spacing w:before="0" w:after="283"/>
              <w:jc w:val="both"/>
              <w:rPr>
                <w:sz w:val="20"/>
              </w:rPr>
            </w:pPr>
            <w:r>
              <w:rPr>
                <w:sz w:val="20"/>
              </w:rPr>
              <w:t>6</w:t>
            </w:r>
          </w:p>
        </w:tc>
        <w:tc>
          <w:tcPr>
            <w:tcW w:w="60" w:type="dxa"/>
            <w:tcBorders/>
            <w:shd w:fill="CCEEFF" w:val="clear"/>
            <w:tcMar>
              <w:bottom w:w="0" w:type="dxa"/>
            </w:tcMar>
            <w:vAlign w:val="center"/>
          </w:tcPr>
          <w:p>
            <w:pPr>
              <w:pStyle w:val="TableContents"/>
              <w:bidi w:val="0"/>
              <w:spacing w:before="0" w:after="283"/>
              <w:jc w:val="both"/>
              <w:rPr/>
            </w:pPr>
            <w:r>
              <w:rPr/>
              <w:t> </w:t>
            </w:r>
          </w:p>
        </w:tc>
        <w:tc>
          <w:tcPr>
            <w:tcW w:w="2383" w:type="dxa"/>
            <w:tcBorders/>
            <w:shd w:fill="CCEEFF" w:val="clear"/>
            <w:tcMar>
              <w:bottom w:w="0" w:type="dxa"/>
            </w:tcMar>
            <w:vAlign w:val="center"/>
          </w:tcPr>
          <w:p>
            <w:pPr>
              <w:pStyle w:val="TableContents"/>
              <w:bidi w:val="0"/>
              <w:spacing w:before="0" w:after="283"/>
              <w:jc w:val="both"/>
              <w:rPr>
                <w:sz w:val="20"/>
              </w:rPr>
            </w:pPr>
            <w:r>
              <w:rPr>
                <w:sz w:val="20"/>
              </w:rPr>
              <w:t>US 11,738,883</w:t>
            </w:r>
          </w:p>
        </w:tc>
        <w:tc>
          <w:tcPr>
            <w:tcW w:w="60" w:type="dxa"/>
            <w:tcBorders/>
            <w:shd w:fill="CCEEFF" w:val="clear"/>
            <w:tcMar>
              <w:bottom w:w="0" w:type="dxa"/>
            </w:tcMar>
            <w:vAlign w:val="center"/>
          </w:tcPr>
          <w:p>
            <w:pPr>
              <w:pStyle w:val="TableContents"/>
              <w:bidi w:val="0"/>
              <w:spacing w:before="0" w:after="283"/>
              <w:jc w:val="both"/>
              <w:rPr/>
            </w:pPr>
            <w:r>
              <w:rPr/>
              <w:t> </w:t>
            </w:r>
          </w:p>
        </w:tc>
        <w:tc>
          <w:tcPr>
            <w:tcW w:w="3151" w:type="dxa"/>
            <w:tcBorders/>
            <w:shd w:fill="CCEEFF" w:val="clear"/>
            <w:tcMar>
              <w:bottom w:w="0" w:type="dxa"/>
            </w:tcMar>
            <w:vAlign w:val="center"/>
          </w:tcPr>
          <w:p>
            <w:pPr>
              <w:pStyle w:val="TableContents"/>
              <w:bidi w:val="0"/>
              <w:spacing w:before="0" w:after="283"/>
              <w:jc w:val="left"/>
              <w:rPr>
                <w:sz w:val="20"/>
              </w:rPr>
            </w:pPr>
            <w:r>
              <w:rPr>
                <w:sz w:val="20"/>
              </w:rPr>
              <w:t>Special Expanding Floor Accordion drone docking station called a Dronedeck Temperature Control Device</w:t>
            </w:r>
          </w:p>
        </w:tc>
        <w:tc>
          <w:tcPr>
            <w:tcW w:w="60" w:type="dxa"/>
            <w:tcBorders/>
            <w:shd w:fill="CCEEFF" w:val="clear"/>
            <w:tcMar>
              <w:bottom w:w="0" w:type="dxa"/>
            </w:tcMar>
            <w:vAlign w:val="center"/>
          </w:tcPr>
          <w:p>
            <w:pPr>
              <w:pStyle w:val="TableContents"/>
              <w:bidi w:val="0"/>
              <w:spacing w:before="0" w:after="283"/>
              <w:jc w:val="both"/>
              <w:rPr/>
            </w:pPr>
            <w:r>
              <w:rPr/>
              <w:t> </w:t>
            </w:r>
          </w:p>
        </w:tc>
        <w:tc>
          <w:tcPr>
            <w:tcW w:w="991" w:type="dxa"/>
            <w:tcBorders/>
            <w:shd w:fill="CCEEFF" w:val="clear"/>
            <w:tcMar>
              <w:bottom w:w="0" w:type="dxa"/>
            </w:tcMar>
            <w:vAlign w:val="center"/>
          </w:tcPr>
          <w:p>
            <w:pPr>
              <w:pStyle w:val="TableContents"/>
              <w:bidi w:val="0"/>
              <w:spacing w:before="0" w:after="283"/>
              <w:jc w:val="both"/>
              <w:rPr>
                <w:sz w:val="20"/>
              </w:rPr>
            </w:pPr>
            <w:r>
              <w:rPr>
                <w:sz w:val="20"/>
              </w:rPr>
              <w:t>August 2023</w:t>
            </w:r>
          </w:p>
        </w:tc>
        <w:tc>
          <w:tcPr>
            <w:tcW w:w="60" w:type="dxa"/>
            <w:tcBorders/>
            <w:shd w:fill="CCEEFF" w:val="clear"/>
            <w:tcMar>
              <w:bottom w:w="0" w:type="dxa"/>
            </w:tcMar>
            <w:vAlign w:val="center"/>
          </w:tcPr>
          <w:p>
            <w:pPr>
              <w:pStyle w:val="TableContents"/>
              <w:bidi w:val="0"/>
              <w:spacing w:before="0" w:after="283"/>
              <w:jc w:val="both"/>
              <w:rPr/>
            </w:pPr>
            <w:r>
              <w:rPr/>
              <w:t> </w:t>
            </w:r>
          </w:p>
        </w:tc>
        <w:tc>
          <w:tcPr>
            <w:tcW w:w="1005" w:type="dxa"/>
            <w:tcBorders/>
            <w:shd w:fill="CCEEFF" w:val="clear"/>
            <w:tcMar>
              <w:bottom w:w="0" w:type="dxa"/>
            </w:tcMar>
            <w:vAlign w:val="center"/>
          </w:tcPr>
          <w:p>
            <w:pPr>
              <w:pStyle w:val="TableContents"/>
              <w:bidi w:val="0"/>
              <w:spacing w:before="0" w:after="283"/>
              <w:jc w:val="both"/>
              <w:rPr>
                <w:sz w:val="20"/>
              </w:rPr>
            </w:pPr>
            <w:r>
              <w:rPr>
                <w:sz w:val="20"/>
              </w:rPr>
              <w:t>63012824 17/233624</w:t>
            </w:r>
          </w:p>
        </w:tc>
        <w:tc>
          <w:tcPr>
            <w:tcW w:w="60" w:type="dxa"/>
            <w:tcBorders/>
            <w:shd w:fill="CCEEFF" w:val="clear"/>
            <w:tcMar>
              <w:bottom w:w="0" w:type="dxa"/>
            </w:tcMar>
            <w:vAlign w:val="center"/>
          </w:tcPr>
          <w:p>
            <w:pPr>
              <w:pStyle w:val="TableContents"/>
              <w:bidi w:val="0"/>
              <w:spacing w:before="0" w:after="283"/>
              <w:jc w:val="both"/>
              <w:rPr/>
            </w:pPr>
            <w:r>
              <w:rPr/>
              <w:t> </w:t>
            </w:r>
          </w:p>
        </w:tc>
        <w:tc>
          <w:tcPr>
            <w:tcW w:w="895" w:type="dxa"/>
            <w:tcBorders/>
            <w:shd w:fill="CCEEFF" w:val="clear"/>
            <w:tcMar>
              <w:bottom w:w="0" w:type="dxa"/>
            </w:tcMar>
            <w:vAlign w:val="center"/>
          </w:tcPr>
          <w:p>
            <w:pPr>
              <w:pStyle w:val="TableContents"/>
              <w:bidi w:val="0"/>
              <w:spacing w:before="0" w:after="283"/>
              <w:jc w:val="both"/>
              <w:rPr>
                <w:sz w:val="20"/>
              </w:rPr>
            </w:pPr>
            <w:r>
              <w:rPr>
                <w:sz w:val="20"/>
              </w:rPr>
              <w:t>Daniel O’Toole</w:t>
            </w:r>
          </w:p>
        </w:tc>
        <w:tc>
          <w:tcPr>
            <w:tcW w:w="60" w:type="dxa"/>
            <w:tcBorders/>
            <w:shd w:fill="CCEEFF" w:val="clear"/>
            <w:tcMar>
              <w:bottom w:w="0" w:type="dxa"/>
            </w:tcMar>
            <w:vAlign w:val="center"/>
          </w:tcPr>
          <w:p>
            <w:pPr>
              <w:pStyle w:val="TableContents"/>
              <w:bidi w:val="0"/>
              <w:spacing w:before="0" w:after="283"/>
              <w:jc w:val="both"/>
              <w:rPr/>
            </w:pPr>
            <w:r>
              <w:rPr/>
              <w:t> </w:t>
            </w:r>
          </w:p>
        </w:tc>
        <w:tc>
          <w:tcPr>
            <w:tcW w:w="995" w:type="dxa"/>
            <w:tcBorders/>
            <w:shd w:fill="CCEEFF" w:val="clear"/>
            <w:tcMar>
              <w:bottom w:w="0" w:type="dxa"/>
            </w:tcMar>
            <w:vAlign w:val="center"/>
          </w:tcPr>
          <w:p>
            <w:pPr>
              <w:pStyle w:val="TableContents"/>
              <w:bidi w:val="0"/>
              <w:spacing w:before="0" w:after="283"/>
              <w:jc w:val="both"/>
              <w:rPr>
                <w:sz w:val="20"/>
              </w:rPr>
            </w:pPr>
            <w:r>
              <w:rPr>
                <w:sz w:val="20"/>
              </w:rPr>
              <w:t>April 20, 2020</w:t>
            </w:r>
          </w:p>
        </w:tc>
      </w:tr>
      <w:tr>
        <w:trPr/>
        <w:tc>
          <w:tcPr>
            <w:tcW w:w="4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2383"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315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9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00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89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95" w:type="dxa"/>
            <w:tcBorders/>
            <w:shd w:fill="FFFFFF" w:val="clear"/>
            <w:tcMar>
              <w:bottom w:w="0" w:type="dxa"/>
            </w:tcMar>
            <w:vAlign w:val="center"/>
          </w:tcPr>
          <w:p>
            <w:pPr>
              <w:pStyle w:val="TableContents"/>
              <w:bidi w:val="0"/>
              <w:spacing w:before="0" w:after="283"/>
              <w:jc w:val="both"/>
              <w:rPr/>
            </w:pPr>
            <w:r>
              <w:rPr/>
              <w:t> </w:t>
            </w:r>
          </w:p>
        </w:tc>
      </w:tr>
      <w:tr>
        <w:trPr/>
        <w:tc>
          <w:tcPr>
            <w:tcW w:w="425" w:type="dxa"/>
            <w:tcBorders/>
            <w:shd w:fill="CCEEFF" w:val="clear"/>
            <w:tcMar>
              <w:bottom w:w="0" w:type="dxa"/>
            </w:tcMar>
            <w:vAlign w:val="center"/>
          </w:tcPr>
          <w:p>
            <w:pPr>
              <w:pStyle w:val="TableContents"/>
              <w:bidi w:val="0"/>
              <w:spacing w:before="0" w:after="283"/>
              <w:jc w:val="both"/>
              <w:rPr>
                <w:sz w:val="20"/>
              </w:rPr>
            </w:pPr>
            <w:r>
              <w:rPr>
                <w:sz w:val="20"/>
              </w:rPr>
              <w:t>7</w:t>
            </w:r>
          </w:p>
        </w:tc>
        <w:tc>
          <w:tcPr>
            <w:tcW w:w="60" w:type="dxa"/>
            <w:tcBorders/>
            <w:shd w:fill="CCEEFF" w:val="clear"/>
            <w:tcMar>
              <w:bottom w:w="0" w:type="dxa"/>
            </w:tcMar>
            <w:vAlign w:val="center"/>
          </w:tcPr>
          <w:p>
            <w:pPr>
              <w:pStyle w:val="TableContents"/>
              <w:bidi w:val="0"/>
              <w:spacing w:before="0" w:after="283"/>
              <w:jc w:val="both"/>
              <w:rPr/>
            </w:pPr>
            <w:r>
              <w:rPr/>
              <w:t> </w:t>
            </w:r>
          </w:p>
        </w:tc>
        <w:tc>
          <w:tcPr>
            <w:tcW w:w="2383" w:type="dxa"/>
            <w:tcBorders/>
            <w:shd w:fill="CCEEFF" w:val="clear"/>
            <w:tcMar>
              <w:bottom w:w="0" w:type="dxa"/>
            </w:tcMar>
            <w:vAlign w:val="center"/>
          </w:tcPr>
          <w:p>
            <w:pPr>
              <w:pStyle w:val="TableContents"/>
              <w:bidi w:val="0"/>
              <w:spacing w:before="0" w:after="283"/>
              <w:jc w:val="both"/>
              <w:rPr>
                <w:sz w:val="20"/>
              </w:rPr>
            </w:pPr>
            <w:r>
              <w:rPr>
                <w:sz w:val="20"/>
              </w:rPr>
              <w:t>US 12,591,840</w:t>
            </w:r>
          </w:p>
        </w:tc>
        <w:tc>
          <w:tcPr>
            <w:tcW w:w="60" w:type="dxa"/>
            <w:tcBorders/>
            <w:shd w:fill="CCEEFF" w:val="clear"/>
            <w:tcMar>
              <w:bottom w:w="0" w:type="dxa"/>
            </w:tcMar>
            <w:vAlign w:val="center"/>
          </w:tcPr>
          <w:p>
            <w:pPr>
              <w:pStyle w:val="TableContents"/>
              <w:bidi w:val="0"/>
              <w:spacing w:before="0" w:after="283"/>
              <w:jc w:val="both"/>
              <w:rPr/>
            </w:pPr>
            <w:r>
              <w:rPr/>
              <w:t> </w:t>
            </w:r>
          </w:p>
        </w:tc>
        <w:tc>
          <w:tcPr>
            <w:tcW w:w="3151" w:type="dxa"/>
            <w:tcBorders/>
            <w:shd w:fill="CCEEFF" w:val="clear"/>
            <w:tcMar>
              <w:bottom w:w="0" w:type="dxa"/>
            </w:tcMar>
            <w:vAlign w:val="center"/>
          </w:tcPr>
          <w:p>
            <w:pPr>
              <w:pStyle w:val="TableContents"/>
              <w:bidi w:val="0"/>
              <w:spacing w:before="0" w:after="283"/>
              <w:jc w:val="left"/>
              <w:rPr>
                <w:sz w:val="20"/>
              </w:rPr>
            </w:pPr>
            <w:r>
              <w:rPr>
                <w:sz w:val="20"/>
              </w:rPr>
              <w:t>Device and system for an autonomous mobile robot, drone, and/or courier to deliver, hold, protect, and return parcels for multi-users in both residential and commercial applications</w:t>
            </w:r>
          </w:p>
        </w:tc>
        <w:tc>
          <w:tcPr>
            <w:tcW w:w="60" w:type="dxa"/>
            <w:tcBorders/>
            <w:shd w:fill="CCEEFF" w:val="clear"/>
            <w:tcMar>
              <w:bottom w:w="0" w:type="dxa"/>
            </w:tcMar>
            <w:vAlign w:val="center"/>
          </w:tcPr>
          <w:p>
            <w:pPr>
              <w:pStyle w:val="TableContents"/>
              <w:bidi w:val="0"/>
              <w:spacing w:before="0" w:after="283"/>
              <w:jc w:val="both"/>
              <w:rPr/>
            </w:pPr>
            <w:r>
              <w:rPr/>
              <w:t> </w:t>
            </w:r>
          </w:p>
        </w:tc>
        <w:tc>
          <w:tcPr>
            <w:tcW w:w="991" w:type="dxa"/>
            <w:tcBorders/>
            <w:shd w:fill="CCEEFF" w:val="clear"/>
            <w:tcMar>
              <w:bottom w:w="0" w:type="dxa"/>
            </w:tcMar>
            <w:vAlign w:val="center"/>
          </w:tcPr>
          <w:p>
            <w:pPr>
              <w:pStyle w:val="TableContents"/>
              <w:bidi w:val="0"/>
              <w:spacing w:before="0" w:after="283"/>
              <w:jc w:val="both"/>
              <w:rPr>
                <w:sz w:val="20"/>
              </w:rPr>
            </w:pPr>
            <w:r>
              <w:rPr>
                <w:sz w:val="20"/>
              </w:rPr>
              <w:t>March 2026</w:t>
            </w:r>
          </w:p>
        </w:tc>
        <w:tc>
          <w:tcPr>
            <w:tcW w:w="60" w:type="dxa"/>
            <w:tcBorders/>
            <w:shd w:fill="CCEEFF" w:val="clear"/>
            <w:tcMar>
              <w:bottom w:w="0" w:type="dxa"/>
            </w:tcMar>
            <w:vAlign w:val="center"/>
          </w:tcPr>
          <w:p>
            <w:pPr>
              <w:pStyle w:val="TableContents"/>
              <w:bidi w:val="0"/>
              <w:spacing w:before="0" w:after="283"/>
              <w:jc w:val="both"/>
              <w:rPr/>
            </w:pPr>
            <w:r>
              <w:rPr/>
              <w:t> </w:t>
            </w:r>
          </w:p>
        </w:tc>
        <w:tc>
          <w:tcPr>
            <w:tcW w:w="1005" w:type="dxa"/>
            <w:tcBorders/>
            <w:shd w:fill="CCEEFF" w:val="clear"/>
            <w:tcMar>
              <w:bottom w:w="0" w:type="dxa"/>
            </w:tcMar>
            <w:vAlign w:val="center"/>
          </w:tcPr>
          <w:p>
            <w:pPr>
              <w:pStyle w:val="TableContents"/>
              <w:bidi w:val="0"/>
              <w:spacing w:before="0" w:after="283"/>
              <w:jc w:val="both"/>
              <w:rPr>
                <w:sz w:val="20"/>
              </w:rPr>
            </w:pPr>
            <w:r>
              <w:rPr>
                <w:sz w:val="20"/>
              </w:rPr>
              <w:t>18/208,803</w:t>
            </w:r>
          </w:p>
        </w:tc>
        <w:tc>
          <w:tcPr>
            <w:tcW w:w="60" w:type="dxa"/>
            <w:tcBorders/>
            <w:shd w:fill="CCEEFF" w:val="clear"/>
            <w:tcMar>
              <w:bottom w:w="0" w:type="dxa"/>
            </w:tcMar>
            <w:vAlign w:val="center"/>
          </w:tcPr>
          <w:p>
            <w:pPr>
              <w:pStyle w:val="TableContents"/>
              <w:bidi w:val="0"/>
              <w:spacing w:before="0" w:after="283"/>
              <w:jc w:val="both"/>
              <w:rPr/>
            </w:pPr>
            <w:r>
              <w:rPr/>
              <w:t> </w:t>
            </w:r>
          </w:p>
        </w:tc>
        <w:tc>
          <w:tcPr>
            <w:tcW w:w="895" w:type="dxa"/>
            <w:tcBorders/>
            <w:shd w:fill="CCEEFF" w:val="clear"/>
            <w:tcMar>
              <w:bottom w:w="0" w:type="dxa"/>
            </w:tcMar>
            <w:vAlign w:val="center"/>
          </w:tcPr>
          <w:p>
            <w:pPr>
              <w:pStyle w:val="TableContents"/>
              <w:bidi w:val="0"/>
              <w:spacing w:before="0" w:after="283"/>
              <w:jc w:val="both"/>
              <w:rPr>
                <w:sz w:val="20"/>
              </w:rPr>
            </w:pPr>
            <w:r>
              <w:rPr>
                <w:sz w:val="20"/>
              </w:rPr>
              <w:t>Daniel O’Toole et al</w:t>
            </w:r>
          </w:p>
        </w:tc>
        <w:tc>
          <w:tcPr>
            <w:tcW w:w="60" w:type="dxa"/>
            <w:tcBorders/>
            <w:shd w:fill="CCEEFF" w:val="clear"/>
            <w:tcMar>
              <w:bottom w:w="0" w:type="dxa"/>
            </w:tcMar>
            <w:vAlign w:val="center"/>
          </w:tcPr>
          <w:p>
            <w:pPr>
              <w:pStyle w:val="TableContents"/>
              <w:bidi w:val="0"/>
              <w:spacing w:before="0" w:after="283"/>
              <w:jc w:val="both"/>
              <w:rPr/>
            </w:pPr>
            <w:r>
              <w:rPr/>
              <w:t> </w:t>
            </w:r>
          </w:p>
        </w:tc>
        <w:tc>
          <w:tcPr>
            <w:tcW w:w="995" w:type="dxa"/>
            <w:tcBorders/>
            <w:shd w:fill="CCEEFF" w:val="clear"/>
            <w:tcMar>
              <w:bottom w:w="0" w:type="dxa"/>
            </w:tcMar>
            <w:vAlign w:val="center"/>
          </w:tcPr>
          <w:p>
            <w:pPr>
              <w:pStyle w:val="TableContents"/>
              <w:bidi w:val="0"/>
              <w:spacing w:before="0" w:after="283"/>
              <w:jc w:val="both"/>
              <w:rPr/>
            </w:pPr>
            <w:r>
              <w:rPr/>
              <w:t> </w:t>
            </w:r>
            <w:r>
              <w:rPr>
                <w:sz w:val="20"/>
              </w:rPr>
              <w:t>June 12, 2023</w:t>
            </w:r>
          </w:p>
        </w:tc>
      </w:tr>
      <w:tr>
        <w:trPr/>
        <w:tc>
          <w:tcPr>
            <w:tcW w:w="4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2383"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315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9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00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89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95" w:type="dxa"/>
            <w:tcBorders/>
            <w:shd w:fill="FFFFFF" w:val="clear"/>
            <w:tcMar>
              <w:bottom w:w="0" w:type="dxa"/>
            </w:tcMar>
            <w:vAlign w:val="center"/>
          </w:tcPr>
          <w:p>
            <w:pPr>
              <w:pStyle w:val="TableContents"/>
              <w:bidi w:val="0"/>
              <w:spacing w:before="0" w:after="283"/>
              <w:jc w:val="both"/>
              <w:rPr/>
            </w:pPr>
            <w:r>
              <w:rPr/>
              <w:t> </w:t>
            </w:r>
          </w:p>
        </w:tc>
      </w:tr>
      <w:tr>
        <w:trPr/>
        <w:tc>
          <w:tcPr>
            <w:tcW w:w="425" w:type="dxa"/>
            <w:tcBorders/>
            <w:shd w:fill="CCEEFF" w:val="clear"/>
            <w:tcMar>
              <w:bottom w:w="0" w:type="dxa"/>
            </w:tcMar>
            <w:vAlign w:val="center"/>
          </w:tcPr>
          <w:p>
            <w:pPr>
              <w:pStyle w:val="TableContents"/>
              <w:bidi w:val="0"/>
              <w:spacing w:before="0" w:after="283"/>
              <w:jc w:val="both"/>
              <w:rPr>
                <w:sz w:val="20"/>
              </w:rPr>
            </w:pPr>
            <w:r>
              <w:rPr>
                <w:sz w:val="20"/>
              </w:rPr>
              <w:t>8</w:t>
            </w:r>
          </w:p>
        </w:tc>
        <w:tc>
          <w:tcPr>
            <w:tcW w:w="60" w:type="dxa"/>
            <w:tcBorders/>
            <w:shd w:fill="CCEEFF" w:val="clear"/>
            <w:tcMar>
              <w:bottom w:w="0" w:type="dxa"/>
            </w:tcMar>
            <w:vAlign w:val="center"/>
          </w:tcPr>
          <w:p>
            <w:pPr>
              <w:pStyle w:val="TableContents"/>
              <w:bidi w:val="0"/>
              <w:spacing w:before="0" w:after="283"/>
              <w:jc w:val="both"/>
              <w:rPr/>
            </w:pPr>
            <w:r>
              <w:rPr/>
              <w:t> </w:t>
            </w:r>
          </w:p>
        </w:tc>
        <w:tc>
          <w:tcPr>
            <w:tcW w:w="2383" w:type="dxa"/>
            <w:tcBorders/>
            <w:shd w:fill="CCEEFF" w:val="clear"/>
            <w:tcMar>
              <w:bottom w:w="0" w:type="dxa"/>
            </w:tcMar>
            <w:vAlign w:val="center"/>
          </w:tcPr>
          <w:p>
            <w:pPr>
              <w:pStyle w:val="TableContents"/>
              <w:bidi w:val="0"/>
              <w:spacing w:before="0" w:after="283"/>
              <w:jc w:val="both"/>
              <w:rPr>
                <w:sz w:val="20"/>
              </w:rPr>
            </w:pPr>
            <w:r>
              <w:rPr>
                <w:sz w:val="20"/>
              </w:rPr>
              <w:t>US12,387,072</w:t>
            </w:r>
          </w:p>
        </w:tc>
        <w:tc>
          <w:tcPr>
            <w:tcW w:w="60" w:type="dxa"/>
            <w:tcBorders/>
            <w:shd w:fill="CCEEFF" w:val="clear"/>
            <w:tcMar>
              <w:bottom w:w="0" w:type="dxa"/>
            </w:tcMar>
            <w:vAlign w:val="center"/>
          </w:tcPr>
          <w:p>
            <w:pPr>
              <w:pStyle w:val="TableContents"/>
              <w:bidi w:val="0"/>
              <w:spacing w:before="0" w:after="283"/>
              <w:jc w:val="both"/>
              <w:rPr/>
            </w:pPr>
            <w:r>
              <w:rPr/>
              <w:t> </w:t>
            </w:r>
          </w:p>
        </w:tc>
        <w:tc>
          <w:tcPr>
            <w:tcW w:w="3151" w:type="dxa"/>
            <w:tcBorders/>
            <w:shd w:fill="CCEEFF" w:val="clear"/>
            <w:tcMar>
              <w:bottom w:w="0" w:type="dxa"/>
            </w:tcMar>
            <w:vAlign w:val="center"/>
          </w:tcPr>
          <w:p>
            <w:pPr>
              <w:pStyle w:val="TableContents"/>
              <w:bidi w:val="0"/>
              <w:spacing w:before="0" w:after="283"/>
              <w:jc w:val="left"/>
              <w:rPr>
                <w:sz w:val="20"/>
              </w:rPr>
            </w:pPr>
            <w:r>
              <w:rPr>
                <w:sz w:val="20"/>
              </w:rPr>
              <w:t>Smart mailbox receptacle and platform to ship packages and goods from a Trimodal system that includes a courier service, an automated vehicle or robot, and/or an unmanned drone</w:t>
            </w:r>
          </w:p>
        </w:tc>
        <w:tc>
          <w:tcPr>
            <w:tcW w:w="60" w:type="dxa"/>
            <w:tcBorders/>
            <w:shd w:fill="CCEEFF" w:val="clear"/>
            <w:tcMar>
              <w:bottom w:w="0" w:type="dxa"/>
            </w:tcMar>
            <w:vAlign w:val="center"/>
          </w:tcPr>
          <w:p>
            <w:pPr>
              <w:pStyle w:val="TableContents"/>
              <w:bidi w:val="0"/>
              <w:spacing w:before="0" w:after="283"/>
              <w:jc w:val="both"/>
              <w:rPr/>
            </w:pPr>
            <w:r>
              <w:rPr/>
              <w:t> </w:t>
            </w:r>
          </w:p>
        </w:tc>
        <w:tc>
          <w:tcPr>
            <w:tcW w:w="991" w:type="dxa"/>
            <w:tcBorders/>
            <w:shd w:fill="CCEEFF" w:val="clear"/>
            <w:tcMar>
              <w:bottom w:w="0" w:type="dxa"/>
            </w:tcMar>
            <w:vAlign w:val="center"/>
          </w:tcPr>
          <w:p>
            <w:pPr>
              <w:pStyle w:val="TableContents"/>
              <w:bidi w:val="0"/>
              <w:spacing w:before="0" w:after="283"/>
              <w:jc w:val="both"/>
              <w:rPr>
                <w:sz w:val="20"/>
              </w:rPr>
            </w:pPr>
            <w:r>
              <w:rPr>
                <w:sz w:val="20"/>
              </w:rPr>
              <w:t>August 2025</w:t>
            </w:r>
          </w:p>
        </w:tc>
        <w:tc>
          <w:tcPr>
            <w:tcW w:w="60" w:type="dxa"/>
            <w:tcBorders/>
            <w:shd w:fill="CCEEFF" w:val="clear"/>
            <w:tcMar>
              <w:bottom w:w="0" w:type="dxa"/>
            </w:tcMar>
            <w:vAlign w:val="center"/>
          </w:tcPr>
          <w:p>
            <w:pPr>
              <w:pStyle w:val="TableContents"/>
              <w:bidi w:val="0"/>
              <w:spacing w:before="0" w:after="283"/>
              <w:jc w:val="both"/>
              <w:rPr/>
            </w:pPr>
            <w:r>
              <w:rPr/>
              <w:t> </w:t>
            </w:r>
          </w:p>
        </w:tc>
        <w:tc>
          <w:tcPr>
            <w:tcW w:w="1005" w:type="dxa"/>
            <w:tcBorders/>
            <w:shd w:fill="CCEEFF" w:val="clear"/>
            <w:tcMar>
              <w:bottom w:w="0" w:type="dxa"/>
            </w:tcMar>
            <w:vAlign w:val="center"/>
          </w:tcPr>
          <w:p>
            <w:pPr>
              <w:pStyle w:val="TableContents"/>
              <w:bidi w:val="0"/>
              <w:spacing w:before="0" w:after="283"/>
              <w:jc w:val="both"/>
              <w:rPr>
                <w:sz w:val="20"/>
              </w:rPr>
            </w:pPr>
            <w:r>
              <w:rPr>
                <w:sz w:val="20"/>
              </w:rPr>
              <w:t>19/173,731</w:t>
            </w:r>
          </w:p>
        </w:tc>
        <w:tc>
          <w:tcPr>
            <w:tcW w:w="60" w:type="dxa"/>
            <w:tcBorders/>
            <w:shd w:fill="CCEEFF" w:val="clear"/>
            <w:tcMar>
              <w:bottom w:w="0" w:type="dxa"/>
            </w:tcMar>
            <w:vAlign w:val="center"/>
          </w:tcPr>
          <w:p>
            <w:pPr>
              <w:pStyle w:val="TableContents"/>
              <w:bidi w:val="0"/>
              <w:spacing w:before="0" w:after="283"/>
              <w:jc w:val="both"/>
              <w:rPr/>
            </w:pPr>
            <w:r>
              <w:rPr/>
              <w:t> </w:t>
            </w:r>
          </w:p>
        </w:tc>
        <w:tc>
          <w:tcPr>
            <w:tcW w:w="895" w:type="dxa"/>
            <w:tcBorders/>
            <w:shd w:fill="CCEEFF" w:val="clear"/>
            <w:tcMar>
              <w:bottom w:w="0" w:type="dxa"/>
            </w:tcMar>
            <w:vAlign w:val="center"/>
          </w:tcPr>
          <w:p>
            <w:pPr>
              <w:pStyle w:val="TableContents"/>
              <w:bidi w:val="0"/>
              <w:spacing w:before="0" w:after="283"/>
              <w:jc w:val="both"/>
              <w:rPr>
                <w:sz w:val="20"/>
              </w:rPr>
            </w:pPr>
            <w:r>
              <w:rPr>
                <w:sz w:val="20"/>
              </w:rPr>
              <w:t>Daniel O’Toole et al</w:t>
            </w:r>
          </w:p>
        </w:tc>
        <w:tc>
          <w:tcPr>
            <w:tcW w:w="60" w:type="dxa"/>
            <w:tcBorders/>
            <w:shd w:fill="CCEEFF" w:val="clear"/>
            <w:tcMar>
              <w:bottom w:w="0" w:type="dxa"/>
            </w:tcMar>
            <w:vAlign w:val="center"/>
          </w:tcPr>
          <w:p>
            <w:pPr>
              <w:pStyle w:val="TableContents"/>
              <w:bidi w:val="0"/>
              <w:spacing w:before="0" w:after="283"/>
              <w:jc w:val="both"/>
              <w:rPr/>
            </w:pPr>
            <w:r>
              <w:rPr/>
              <w:t> </w:t>
            </w:r>
          </w:p>
        </w:tc>
        <w:tc>
          <w:tcPr>
            <w:tcW w:w="995" w:type="dxa"/>
            <w:tcBorders/>
            <w:shd w:fill="CCEEFF" w:val="clear"/>
            <w:tcMar>
              <w:bottom w:w="0" w:type="dxa"/>
            </w:tcMar>
            <w:vAlign w:val="center"/>
          </w:tcPr>
          <w:p>
            <w:pPr>
              <w:pStyle w:val="TableContents"/>
              <w:bidi w:val="0"/>
              <w:spacing w:before="0" w:after="283"/>
              <w:jc w:val="both"/>
              <w:rPr>
                <w:sz w:val="20"/>
              </w:rPr>
            </w:pPr>
            <w:r>
              <w:rPr>
                <w:sz w:val="20"/>
              </w:rPr>
              <w:t>July 25, 2023 CIP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the Company and its CEO, Mr. O’Toole, entered into the First Amendment to the Exclusive Patent License Agreement, whereby the term of such agreement was extended beyond the original seven years to perpetuity for the full life of the covered patents. If the Company materially defaults in performing any terms of the agreement and does not cure timely to Mr. O’Toole’s satisfaction, Mr. O’Toole may terminate the agreement upon proper notice. Subsequent to the termination of the agreement, the Company agrees to not engage in the use, sale, or other commercialization of the intellectual properties and not sell related products. The foregoing description of the license agreement is not complete and is qualified in its entirety by reference to the text of such document, which is filed as an exhibit to our Direct Listing Registration Statement.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2025, the Company and its CEO, Mr. O’Toole, entered into the Second Amendment to the Exclusive Patent License Agreement. The Second Amendment extends the license to perpetuity, covering the full term and life of the patents, and incorporates all terms from the original Agreement and the First Amendment. In the event of a default, the defaulting party has 60 days to cure. If the default is not cured, the license transitions to a non-exclusive license, allowing both parties to seek additional licensees or sources for similar technology, while royalty payments continue into perpetuity or until the 20-year patent term ends. The Second Amendment also removes prior restrictions on the Company’s use, sale, or commercialization of the technology after termination, permitting the sale of remaining inventory for up to 90 days post-termination, provided all required reports and payments are made under the Agreement. The foregoing description of the license agreement is not complete and is qualified in its entirety by reference to the text of such document, which is filed as an exhibit to our Direct Listing Registration Statement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terms of the Exclusive Patent License Agreement, including the $10,000 monthly pre-revenue fee and the $25 per-unit royalty once monthly revenues exceed $10,000, were determined through negotiations between the Company and the licensor. In determining the consideration structure, the parties considered, among other factors: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and exclusivity of the license (worldwide and exclusive rights);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stage of development and commercial readiness of the licensed technology at the time of execution;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Comparable royalty structures observed in technology and intellectual property licensing arrangements within the industry;</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anticipated commercial value of the patents and related intellectual property;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allocation of development, commercialization, and market risk to the Company.</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the structure of fixed pre-revenue payments combined with a per-unit royalty is consistent with licensing practices for early-stage, exclusive technology arrangements.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subsequent amendments were reviewed and approved in accordance with the Company’s related party transaction approval policies. In evaluating the fairness of the transaction, the Board of Directors (with the interested director abstaining) considered the strategic importance of securing exclusive rights to the core intellectual property underlying the Company’s business model, the projected long-term economic benefits to the Company, and the expected royalty obligations relative to projected unit economics and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obtain an independent third-party valuation or fairness opinion with respect to the license agreement or its amendments. The Board concluded that the terms of the agreement, including the amendments extending the term and modifying termination provisions, were fair to the Company and in its best interests based on the totality of the circumstances and information reviewed at the time of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5" w:name="a_024"/>
      <w:bookmarkEnd w:id="75"/>
      <w:r>
        <w:rPr>
          <w:rFonts w:ascii="Times New Roman;Times;Serif" w:hAnsi="Times New Roman;Times;Serif"/>
          <w:b/>
          <w:i w:val="false"/>
          <w:caps w:val="false"/>
          <w:smallCaps w:val="false"/>
          <w:sz w:val="20"/>
        </w:rPr>
        <w:t>Item 14. Principal Accounting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engaged Stephano Slack LLC (“Stephano Slack”) to serve as the Company’s independent registered public accounting firm for the fiscal year ended December 31, 2025. For the fiscal year ended December 31, 2024, the Company engaged Assurance Dimensions LLC (“Assurance Dimensions”) as its independent registered public accounting firm. The change in the Company’s independent registered public accounting firm from Assurance Dimensions to Stephano Slack was disclosed in the Company’s Registration Statement on Form S-1, as declared effective by the SEC on May 13,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aggregate fees billed by Stephano Slack and Assurance Dimensions for professional services rendered for the fiscal year ended December 31, 2025, and by Assurance Dimensions for professional services rendered for the fiscal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1730"/>
        <w:gridCol w:w="60"/>
        <w:gridCol w:w="125"/>
        <w:gridCol w:w="695"/>
        <w:gridCol w:w="60"/>
        <w:gridCol w:w="60"/>
        <w:gridCol w:w="125"/>
        <w:gridCol w:w="590"/>
        <w:gridCol w:w="75"/>
      </w:tblGrid>
      <w:tr>
        <w:trPr/>
        <w:tc>
          <w:tcPr>
            <w:tcW w:w="173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Audit fees </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184,433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Audit-related fees </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Tax fees </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other fees </w:t>
            </w:r>
            <w:r>
              <w:rPr>
                <w:rFonts w:ascii="Times New Roman;Times;Serif" w:hAnsi="Times New Roman;Times;Serif"/>
                <w:b w:val="false"/>
                <w:i w:val="false"/>
                <w:caps w:val="false"/>
                <w:smallCaps w:val="false"/>
                <w:position w:val="7"/>
                <w:sz w:val="16"/>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184,433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fees consist of fees billed for professional services rendered by our independent registered public accounting firm for the audit of our annual financial statements and review of our interim financial statements or services that are normally provided by our independent registered public accounting firm in connection with statutory and regulatory filings or engagements. $177,433 of the fees for the audit services billed and to be billed for the year ended December 31, 2025 relate to services provided by Stephano Slack, our current auditor for 2025. The remaining $7,000 relates to consent fees charged by Assurance Dimensions in connection with reissuing prior year financial statements for use in 2025 S-1 filings. The 2024 audit fees were related to audit and review services conducted by Assurance Dimensions, our prior auditor.</w:t>
            </w:r>
          </w:p>
        </w:tc>
      </w:tr>
      <w:tr>
        <w:trPr/>
        <w:tc>
          <w:tcPr>
            <w:tcW w:w="193" w:type="dxa"/>
            <w:tcBorders/>
            <w:vAlign w:val="center"/>
          </w:tcPr>
          <w:p>
            <w:pPr>
              <w:pStyle w:val="TableContents"/>
              <w:bidi w:val="0"/>
              <w:spacing w:before="0" w:after="283"/>
              <w:jc w:val="both"/>
              <w:rPr/>
            </w:pPr>
            <w:r>
              <w:rPr/>
              <w:t> </w:t>
            </w:r>
          </w:p>
        </w:tc>
        <w:tc>
          <w:tcPr>
            <w:tcW w:w="10012" w:type="dxa"/>
            <w:tcBorders/>
            <w:vAlign w:val="center"/>
          </w:tcPr>
          <w:p>
            <w:pPr>
              <w:pStyle w:val="TableContents"/>
              <w:bidi w:val="0"/>
              <w:spacing w:before="0" w:after="283"/>
              <w:jc w:val="both"/>
              <w:rPr/>
            </w:pPr>
            <w:r>
              <w:rPr/>
              <w:t> </w:t>
            </w:r>
          </w:p>
        </w:tc>
      </w:tr>
      <w:tr>
        <w:trPr/>
        <w:tc>
          <w:tcPr>
            <w:tcW w:w="1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Audit-related fees consist of fees billed for professional services rendered outside the scope of the audit and review of our financial statements by our independent auditors. There were no audit-related fees billed by Stephano Slack or Assurance Dimensions for audit-related services for the years ended December 31, 2025 and 2024.</w:t>
            </w:r>
          </w:p>
        </w:tc>
      </w:tr>
      <w:tr>
        <w:trPr/>
        <w:tc>
          <w:tcPr>
            <w:tcW w:w="193" w:type="dxa"/>
            <w:tcBorders/>
            <w:vAlign w:val="center"/>
          </w:tcPr>
          <w:p>
            <w:pPr>
              <w:pStyle w:val="TableContents"/>
              <w:bidi w:val="0"/>
              <w:spacing w:before="0" w:after="283"/>
              <w:jc w:val="both"/>
              <w:rPr/>
            </w:pPr>
            <w:r>
              <w:rPr/>
              <w:t> </w:t>
            </w:r>
          </w:p>
        </w:tc>
        <w:tc>
          <w:tcPr>
            <w:tcW w:w="10012" w:type="dxa"/>
            <w:tcBorders/>
            <w:vAlign w:val="center"/>
          </w:tcPr>
          <w:p>
            <w:pPr>
              <w:pStyle w:val="TableContents"/>
              <w:bidi w:val="0"/>
              <w:spacing w:before="0" w:after="283"/>
              <w:jc w:val="both"/>
              <w:rPr/>
            </w:pPr>
            <w:r>
              <w:rPr/>
              <w:t> </w:t>
            </w:r>
          </w:p>
        </w:tc>
      </w:tr>
      <w:tr>
        <w:trPr/>
        <w:tc>
          <w:tcPr>
            <w:tcW w:w="1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 fees consist of fees billed for professional services rendered by our independent registered public accounting firm for tax compliance, tax advice, and tax planning. There were no fees billed by Stephano Slack or Assurance Dimensions for tax services for the years ended December 31, 2025 and 2024.</w:t>
            </w:r>
          </w:p>
        </w:tc>
      </w:tr>
      <w:tr>
        <w:trPr/>
        <w:tc>
          <w:tcPr>
            <w:tcW w:w="193" w:type="dxa"/>
            <w:tcBorders/>
            <w:vAlign w:val="center"/>
          </w:tcPr>
          <w:p>
            <w:pPr>
              <w:pStyle w:val="TableContents"/>
              <w:bidi w:val="0"/>
              <w:spacing w:before="0" w:after="283"/>
              <w:jc w:val="both"/>
              <w:rPr/>
            </w:pPr>
            <w:r>
              <w:rPr/>
              <w:t> </w:t>
            </w:r>
          </w:p>
        </w:tc>
        <w:tc>
          <w:tcPr>
            <w:tcW w:w="10012" w:type="dxa"/>
            <w:tcBorders/>
            <w:vAlign w:val="center"/>
          </w:tcPr>
          <w:p>
            <w:pPr>
              <w:pStyle w:val="TableContents"/>
              <w:bidi w:val="0"/>
              <w:spacing w:before="0" w:after="283"/>
              <w:jc w:val="both"/>
              <w:rPr/>
            </w:pPr>
            <w:r>
              <w:rPr/>
              <w:t> </w:t>
            </w:r>
          </w:p>
        </w:tc>
      </w:tr>
      <w:tr>
        <w:trPr/>
        <w:tc>
          <w:tcPr>
            <w:tcW w:w="1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other fees consist of fees billed for all other services. There were no fees billed by Stephano Slack or Assurance Dimensions for other products and services for the years ended December 31, 2025 and 2024.</w:t>
            </w:r>
          </w:p>
        </w:tc>
      </w:tr>
    </w:tbl>
    <w:p>
      <w:pPr>
        <w:pStyle w:val="TextBody"/>
        <w:bidi w:val="0"/>
        <w:spacing w:before="0" w:after="0"/>
        <w:ind w:left="0" w:right="0" w:hanging="27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Committee’s Pre-Approval Policy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Audit Committee’s charter, the Audit Committee is required to pre-approve all audit and permitted non-audit services performed by our independent registered public accountants to ensure that the provision of such services does not impair the public accountants’ independence. All audit and audit-related services by Stephano Slack and Assurance Dimensions were approved by the Audit Committee in accordance with SEC requirements.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76" w:name="a_025"/>
      <w:bookmarkEnd w:id="76"/>
      <w:r>
        <w:rPr>
          <w:rFonts w:ascii="Times New Roman;Times;Serif" w:hAnsi="Times New Roman;Times;Serif"/>
          <w:b/>
          <w:i w:val="false"/>
          <w:caps w:val="false"/>
          <w:smallCaps w:val="false"/>
          <w:sz w:val="20"/>
          <w:u w:val="single"/>
        </w:rPr>
        <w:t>PART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7" w:name="a_026"/>
      <w:bookmarkEnd w:id="77"/>
      <w:r>
        <w:rPr>
          <w:rFonts w:ascii="Times New Roman;Times;Serif" w:hAnsi="Times New Roman;Times;Serif"/>
          <w:b/>
          <w:i w:val="false"/>
          <w:caps w:val="false"/>
          <w:smallCaps w:val="false"/>
          <w:sz w:val="20"/>
        </w:rPr>
        <w:t>Item 15. Exhibits,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the following documents as part of this Form 10-K:</w:t>
      </w:r>
    </w:p>
    <w:p>
      <w:pPr>
        <w:pStyle w:val="TextBody"/>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260"/>
        <w:gridCol w:w="173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r>
    </w:tbl>
    <w:p>
      <w:pPr>
        <w:pStyle w:val="TextBody"/>
        <w:bidi w:val="0"/>
        <w:spacing w:before="0" w:after="0"/>
        <w:ind w:left="9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Audited Financial Statement Schedules are filed as part of this Form 10-K Report.</w:t>
      </w:r>
    </w:p>
    <w:p>
      <w:pPr>
        <w:pStyle w:val="TextBody"/>
        <w:bidi w:val="0"/>
        <w:spacing w:before="0" w:after="0"/>
        <w:ind w:left="0" w:right="0" w:hanging="0"/>
        <w:jc w:val="both"/>
        <w:rPr>
          <w:caps w:val="false"/>
          <w:smallCaps w:val="false"/>
        </w:rPr>
      </w:pPr>
      <w:r>
        <w:rPr>
          <w:caps w:val="false"/>
          <w:smallCaps w:val="false"/>
        </w:rPr>
        <w:t> </w:t>
      </w:r>
    </w:p>
    <w:tbl>
      <w:tblPr>
        <w:tblW w:w="7445" w:type="dxa"/>
        <w:jc w:val="left"/>
        <w:tblInd w:w="0" w:type="dxa"/>
        <w:tblLayout w:type="fixed"/>
        <w:tblCellMar>
          <w:top w:w="0" w:type="dxa"/>
          <w:left w:w="0" w:type="dxa"/>
          <w:bottom w:w="0" w:type="dxa"/>
          <w:right w:w="0" w:type="dxa"/>
        </w:tblCellMar>
      </w:tblPr>
      <w:tblGrid>
        <w:gridCol w:w="7445"/>
      </w:tblGrid>
      <w:tr>
        <w:trPr/>
        <w:tc>
          <w:tcPr>
            <w:tcW w:w="7445" w:type="dxa"/>
            <w:tcBorders/>
            <w:shd w:fill="CCEEFF" w:val="clear"/>
            <w:vAlign w:val="center"/>
          </w:tcPr>
          <w:p>
            <w:pPr>
              <w:pStyle w:val="TableContents"/>
              <w:bidi w:val="0"/>
              <w:spacing w:before="0" w:after="283"/>
              <w:ind w:left="0" w:right="0" w:hanging="200"/>
              <w:jc w:val="both"/>
              <w:rPr/>
            </w:pPr>
            <w:hyperlink w:anchor="vvv_001">
              <w:r>
                <w:rPr>
                  <w:rStyle w:val="InternetLink"/>
                  <w:rFonts w:ascii="Times New Roman;Times;Serif" w:hAnsi="Times New Roman;Times;Serif"/>
                  <w:sz w:val="20"/>
                </w:rPr>
                <w:t>Report of Independent Registered Public Accounting Firm</w:t>
              </w:r>
            </w:hyperlink>
            <w:r>
              <w:rPr>
                <w:rFonts w:ascii="Times New Roman;Times;Serif" w:hAnsi="Times New Roman;Times;Serif"/>
                <w:sz w:val="20"/>
              </w:rPr>
              <w:t xml:space="preserve"> (PCAOB ID 3523)</w:t>
            </w:r>
          </w:p>
        </w:tc>
      </w:tr>
      <w:tr>
        <w:trPr/>
        <w:tc>
          <w:tcPr>
            <w:tcW w:w="7445" w:type="dxa"/>
            <w:tcBorders/>
            <w:shd w:fill="FFFFFF" w:val="clear"/>
            <w:vAlign w:val="center"/>
          </w:tcPr>
          <w:p>
            <w:pPr>
              <w:pStyle w:val="TableContents"/>
              <w:bidi w:val="0"/>
              <w:spacing w:before="0" w:after="283"/>
              <w:ind w:left="0" w:right="0" w:hanging="200"/>
              <w:jc w:val="both"/>
              <w:rPr/>
            </w:pPr>
            <w:hyperlink w:anchor="vvv_002">
              <w:r>
                <w:rPr>
                  <w:rStyle w:val="InternetLink"/>
                  <w:rFonts w:ascii="Times New Roman;Times;Serif" w:hAnsi="Times New Roman;Times;Serif"/>
                </w:rPr>
                <w:t>Report of Independent Registered Public Accounting Firm</w:t>
              </w:r>
            </w:hyperlink>
            <w:r>
              <w:rPr>
                <w:rFonts w:ascii="Times New Roman;Times;Serif" w:hAnsi="Times New Roman;Times;Serif"/>
              </w:rPr>
              <w:t xml:space="preserve"> (PCAOB ID 5036)</w:t>
            </w:r>
          </w:p>
        </w:tc>
      </w:tr>
      <w:tr>
        <w:trPr/>
        <w:tc>
          <w:tcPr>
            <w:tcW w:w="7445" w:type="dxa"/>
            <w:tcBorders/>
            <w:shd w:fill="CCEEFF" w:val="clear"/>
            <w:vAlign w:val="center"/>
          </w:tcPr>
          <w:p>
            <w:pPr>
              <w:pStyle w:val="TableContents"/>
              <w:bidi w:val="0"/>
              <w:spacing w:before="0" w:after="283"/>
              <w:jc w:val="both"/>
              <w:rPr/>
            </w:pPr>
            <w:hyperlink w:anchor="fin_001">
              <w:r>
                <w:rPr>
                  <w:rStyle w:val="InternetLink"/>
                  <w:rFonts w:ascii="Times New Roman;Times;Serif" w:hAnsi="Times New Roman;Times;Serif"/>
                </w:rPr>
                <w:t>Balance Sheets</w:t>
              </w:r>
            </w:hyperlink>
          </w:p>
        </w:tc>
      </w:tr>
      <w:tr>
        <w:trPr/>
        <w:tc>
          <w:tcPr>
            <w:tcW w:w="7445" w:type="dxa"/>
            <w:tcBorders/>
            <w:shd w:fill="FFFFFF" w:val="clear"/>
            <w:vAlign w:val="center"/>
          </w:tcPr>
          <w:p>
            <w:pPr>
              <w:pStyle w:val="TableContents"/>
              <w:bidi w:val="0"/>
              <w:spacing w:before="0" w:after="283"/>
              <w:ind w:left="0" w:right="0" w:hanging="200"/>
              <w:jc w:val="both"/>
              <w:rPr/>
            </w:pPr>
            <w:hyperlink w:anchor="fin_002">
              <w:r>
                <w:rPr>
                  <w:rStyle w:val="InternetLink"/>
                  <w:rFonts w:ascii="Times New Roman;Times;Serif" w:hAnsi="Times New Roman;Times;Serif"/>
                </w:rPr>
                <w:t>Statements of Operations</w:t>
              </w:r>
            </w:hyperlink>
          </w:p>
        </w:tc>
      </w:tr>
      <w:tr>
        <w:trPr/>
        <w:tc>
          <w:tcPr>
            <w:tcW w:w="7445" w:type="dxa"/>
            <w:tcBorders/>
            <w:shd w:fill="CCEEFF" w:val="clear"/>
            <w:vAlign w:val="center"/>
          </w:tcPr>
          <w:p>
            <w:pPr>
              <w:pStyle w:val="TableContents"/>
              <w:bidi w:val="0"/>
              <w:spacing w:before="0" w:after="283"/>
              <w:ind w:left="0" w:right="0" w:hanging="200"/>
              <w:jc w:val="both"/>
              <w:rPr/>
            </w:pPr>
            <w:hyperlink w:anchor="fin_003">
              <w:r>
                <w:rPr>
                  <w:rStyle w:val="InternetLink"/>
                  <w:rFonts w:ascii="Times New Roman;Times;Serif" w:hAnsi="Times New Roman;Times;Serif"/>
                </w:rPr>
                <w:t>Statements of Changes in Stockholders’ Equity (Deficit)</w:t>
              </w:r>
            </w:hyperlink>
          </w:p>
        </w:tc>
      </w:tr>
      <w:tr>
        <w:trPr/>
        <w:tc>
          <w:tcPr>
            <w:tcW w:w="7445" w:type="dxa"/>
            <w:tcBorders/>
            <w:shd w:fill="FFFFFF" w:val="clear"/>
            <w:vAlign w:val="center"/>
          </w:tcPr>
          <w:p>
            <w:pPr>
              <w:pStyle w:val="TableContents"/>
              <w:bidi w:val="0"/>
              <w:spacing w:before="0" w:after="283"/>
              <w:ind w:left="0" w:right="0" w:hanging="200"/>
              <w:jc w:val="both"/>
              <w:rPr/>
            </w:pPr>
            <w:hyperlink w:anchor="fin_004">
              <w:r>
                <w:rPr>
                  <w:rStyle w:val="InternetLink"/>
                  <w:rFonts w:ascii="Times New Roman;Times;Serif" w:hAnsi="Times New Roman;Times;Serif"/>
                </w:rPr>
                <w:t>Statements of Cash Flow</w:t>
              </w:r>
            </w:hyperlink>
          </w:p>
        </w:tc>
      </w:tr>
      <w:tr>
        <w:trPr/>
        <w:tc>
          <w:tcPr>
            <w:tcW w:w="7445" w:type="dxa"/>
            <w:tcBorders/>
            <w:shd w:fill="CCEEFF" w:val="clear"/>
            <w:vAlign w:val="center"/>
          </w:tcPr>
          <w:p>
            <w:pPr>
              <w:pStyle w:val="TableContents"/>
              <w:bidi w:val="0"/>
              <w:spacing w:before="0" w:after="283"/>
              <w:jc w:val="both"/>
              <w:rPr/>
            </w:pPr>
            <w:hyperlink w:anchor="fin_005">
              <w:r>
                <w:rPr>
                  <w:rStyle w:val="InternetLink"/>
                  <w:rFonts w:ascii="Times New Roman;Times;Serif" w:hAnsi="Times New Roman;Times;Serif"/>
                </w:rPr>
                <w:t>Notes to Financial Statements</w:t>
              </w:r>
            </w:hyperlink>
          </w:p>
        </w:tc>
      </w:tr>
    </w:tbl>
    <w:p>
      <w:pPr>
        <w:pStyle w:val="TextBody"/>
        <w:bidi w:val="0"/>
        <w:spacing w:before="0" w:after="0"/>
        <w:ind w:left="0" w:right="0" w:hanging="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245"/>
        <w:gridCol w:w="2510"/>
      </w:tblGrid>
      <w:tr>
        <w:trPr/>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Statement Schedules</w:t>
            </w:r>
          </w:p>
        </w:tc>
      </w:tr>
    </w:tbl>
    <w:p>
      <w:pPr>
        <w:pStyle w:val="TextBody"/>
        <w:bidi w:val="0"/>
        <w:spacing w:before="0" w:after="0"/>
        <w:ind w:left="0" w:right="0" w:hanging="27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schedules have been omitted because they are not required, not applicable, not present in amounts sufficient to require submission of the schedule, or the required information is otherwise included.</w:t>
      </w:r>
    </w:p>
    <w:p>
      <w:pPr>
        <w:pStyle w:val="TextBody"/>
        <w:bidi w:val="0"/>
        <w:spacing w:before="0" w:after="0"/>
        <w:ind w:left="0" w:right="0" w:hanging="0"/>
        <w:jc w:val="both"/>
        <w:rPr>
          <w:caps w:val="false"/>
          <w:smallCaps w:val="false"/>
        </w:rPr>
      </w:pPr>
      <w:r>
        <w:rPr>
          <w:caps w:val="false"/>
          <w:smallCaps w:val="false"/>
        </w:rPr>
        <w:t> </w:t>
      </w:r>
    </w:p>
    <w:tbl>
      <w:tblPr>
        <w:tblW w:w="985" w:type="dxa"/>
        <w:jc w:val="left"/>
        <w:tblInd w:w="0" w:type="dxa"/>
        <w:tblLayout w:type="fixed"/>
        <w:tblCellMar>
          <w:top w:w="0" w:type="dxa"/>
          <w:left w:w="0" w:type="dxa"/>
          <w:bottom w:w="0" w:type="dxa"/>
          <w:right w:w="0" w:type="dxa"/>
        </w:tblCellMar>
      </w:tblPr>
      <w:tblGrid>
        <w:gridCol w:w="260"/>
        <w:gridCol w:w="72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bidi w:val="0"/>
        <w:spacing w:before="0" w:after="0"/>
        <w:ind w:left="9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filed in response to Item 601 of Regulation S-K are listed in the Exhibit Index.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8" w:name="EX_001"/>
      <w:bookmarkEnd w:id="78"/>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5877"/>
        <w:gridCol w:w="60"/>
        <w:gridCol w:w="527"/>
        <w:gridCol w:w="60"/>
        <w:gridCol w:w="650"/>
        <w:gridCol w:w="60"/>
        <w:gridCol w:w="801"/>
        <w:gridCol w:w="60"/>
        <w:gridCol w:w="1325"/>
      </w:tblGrid>
      <w:tr>
        <w:trPr/>
        <w:tc>
          <w:tcPr>
            <w:tcW w:w="7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87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2098"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or Furnished</w:t>
            </w:r>
          </w:p>
        </w:tc>
      </w:tr>
      <w:tr>
        <w:trPr/>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c>
          <w:tcPr>
            <w:tcW w:w="60" w:type="dxa"/>
            <w:tcBorders/>
            <w:vAlign w:val="center"/>
          </w:tcPr>
          <w:p>
            <w:pPr>
              <w:pStyle w:val="TableContents"/>
              <w:bidi w:val="0"/>
              <w:spacing w:before="0" w:after="283"/>
              <w:jc w:val="left"/>
              <w:rPr/>
            </w:pPr>
            <w:r>
              <w:rPr/>
              <w:t> </w:t>
            </w:r>
          </w:p>
        </w:tc>
        <w:tc>
          <w:tcPr>
            <w:tcW w:w="52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p>
        </w:tc>
        <w:tc>
          <w:tcPr>
            <w:tcW w:w="60" w:type="dxa"/>
            <w:tcBorders/>
            <w:vAlign w:val="center"/>
          </w:tcPr>
          <w:p>
            <w:pPr>
              <w:pStyle w:val="TableContents"/>
              <w:bidi w:val="0"/>
              <w:spacing w:before="0" w:after="283"/>
              <w:jc w:val="left"/>
              <w:rPr/>
            </w:pPr>
            <w:r>
              <w:rPr/>
              <w:t> </w:t>
            </w:r>
          </w:p>
        </w:tc>
        <w:tc>
          <w:tcPr>
            <w:tcW w:w="6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center"/>
              <w:rPr/>
            </w:pPr>
            <w:r>
              <w:rPr/>
              <w:t> </w:t>
            </w:r>
          </w:p>
        </w:tc>
        <w:tc>
          <w:tcPr>
            <w:tcW w:w="80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center"/>
              <w:rPr/>
            </w:pPr>
            <w:r>
              <w:rPr/>
              <w:t> </w:t>
            </w:r>
          </w:p>
        </w:tc>
        <w:tc>
          <w:tcPr>
            <w:tcW w:w="13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Herewith</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77" w:type="dxa"/>
            <w:tcBorders/>
            <w:shd w:fill="CCEEFF" w:val="cle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Certificate of Incorporation</w:t>
              </w:r>
            </w:hyperlink>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vAlign w:val="center"/>
          </w:tcPr>
          <w:p>
            <w:pPr>
              <w:pStyle w:val="TableContents"/>
              <w:bidi w:val="0"/>
              <w:spacing w:before="0" w:after="283"/>
              <w:jc w:val="center"/>
              <w:rPr/>
            </w:pPr>
            <w:r>
              <w:rPr/>
              <w:t> </w:t>
            </w:r>
          </w:p>
        </w:tc>
        <w:tc>
          <w:tcPr>
            <w:tcW w:w="80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03/24/2025</w:t>
            </w:r>
          </w:p>
        </w:tc>
        <w:tc>
          <w:tcPr>
            <w:tcW w:w="6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left"/>
              <w:rPr>
                <w:sz w:val="4"/>
                <w:szCs w:val="4"/>
              </w:rPr>
            </w:pPr>
            <w:r>
              <w:rPr>
                <w:sz w:val="4"/>
                <w:szCs w:val="4"/>
              </w:rPr>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877" w:type="dxa"/>
            <w:tcBorders/>
            <w:shd w:fill="FFFFFF" w:val="clear"/>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Certificate of Amendment of Certificate of Incorporation</w:t>
              </w:r>
            </w:hyperlink>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03/24/2025</w:t>
            </w:r>
          </w:p>
        </w:tc>
        <w:tc>
          <w:tcPr>
            <w:tcW w:w="60" w:type="dxa"/>
            <w:tcBorders/>
            <w:shd w:fill="FFFFFF" w:val="clear"/>
            <w:vAlign w:val="center"/>
          </w:tcPr>
          <w:p>
            <w:pPr>
              <w:pStyle w:val="TableContents"/>
              <w:bidi w:val="0"/>
              <w:spacing w:before="0" w:after="283"/>
              <w:jc w:val="center"/>
              <w:rPr/>
            </w:pPr>
            <w:r>
              <w:rPr/>
              <w:t> </w:t>
            </w:r>
          </w:p>
        </w:tc>
        <w:tc>
          <w:tcPr>
            <w:tcW w:w="132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77" w:type="dxa"/>
            <w:tcBorders/>
            <w:shd w:fill="CCEEFF" w:val="cle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Bylaws</w:t>
              </w:r>
            </w:hyperlink>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CCEEFF" w:val="clear"/>
            <w:vAlign w:val="center"/>
          </w:tcPr>
          <w:p>
            <w:pPr>
              <w:pStyle w:val="TableContents"/>
              <w:bidi w:val="0"/>
              <w:spacing w:before="0" w:after="283"/>
              <w:jc w:val="center"/>
              <w:rPr/>
            </w:pPr>
            <w:r>
              <w:rPr/>
              <w:t> </w:t>
            </w:r>
          </w:p>
        </w:tc>
        <w:tc>
          <w:tcPr>
            <w:tcW w:w="80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03/24/2025</w:t>
            </w:r>
          </w:p>
        </w:tc>
        <w:tc>
          <w:tcPr>
            <w:tcW w:w="6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center"/>
              <w:rPr/>
            </w:pPr>
            <w:r>
              <w:rPr/>
              <w:t> </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77" w:type="dxa"/>
            <w:tcBorders/>
            <w:shd w:fill="FFFFFF" w:val="cle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Executive Employment Agreement with chief financial officer (Todd Pepmeier)</w:t>
              </w:r>
            </w:hyperlink>
            <w:r>
              <w:rPr>
                <w:rFonts w:ascii="Times New Roman;Times;Serif" w:hAnsi="Times New Roman;Times;Serif"/>
                <w:b w:val="false"/>
                <w:i w:val="false"/>
                <w:caps w:val="false"/>
                <w:smallCaps w:val="false"/>
                <w:sz w:val="20"/>
              </w:rPr>
              <w:t xml:space="preserve">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01/27/2025</w:t>
            </w:r>
          </w:p>
        </w:tc>
        <w:tc>
          <w:tcPr>
            <w:tcW w:w="60" w:type="dxa"/>
            <w:tcBorders/>
            <w:shd w:fill="FFFFFF" w:val="clear"/>
            <w:vAlign w:val="center"/>
          </w:tcPr>
          <w:p>
            <w:pPr>
              <w:pStyle w:val="TableContents"/>
              <w:bidi w:val="0"/>
              <w:spacing w:before="0" w:after="283"/>
              <w:jc w:val="center"/>
              <w:rPr/>
            </w:pPr>
            <w:r>
              <w:rPr/>
              <w:t> </w:t>
            </w:r>
          </w:p>
        </w:tc>
        <w:tc>
          <w:tcPr>
            <w:tcW w:w="132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877" w:type="dxa"/>
            <w:tcBorders/>
            <w:shd w:fill="CCEEFF" w:val="cle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Executive Employment Agreement with chief operating officer (Mark D. Hamm)</w:t>
              </w:r>
            </w:hyperlink>
            <w:r>
              <w:rPr>
                <w:rFonts w:ascii="Times New Roman;Times;Serif" w:hAnsi="Times New Roman;Times;Serif"/>
                <w:b w:val="false"/>
                <w:i w:val="false"/>
                <w:caps w:val="false"/>
                <w:smallCaps w:val="false"/>
                <w:sz w:val="20"/>
              </w:rPr>
              <w:t xml:space="preserve">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vAlign w:val="center"/>
          </w:tcPr>
          <w:p>
            <w:pPr>
              <w:pStyle w:val="TableContents"/>
              <w:bidi w:val="0"/>
              <w:spacing w:before="0" w:after="283"/>
              <w:jc w:val="center"/>
              <w:rPr/>
            </w:pPr>
            <w:r>
              <w:rPr/>
              <w:t> </w:t>
            </w:r>
          </w:p>
        </w:tc>
        <w:tc>
          <w:tcPr>
            <w:tcW w:w="80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01/27/2025</w:t>
            </w:r>
          </w:p>
        </w:tc>
        <w:tc>
          <w:tcPr>
            <w:tcW w:w="6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center"/>
              <w:rPr/>
            </w:pPr>
            <w:r>
              <w:rPr/>
              <w:t> </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877" w:type="dxa"/>
            <w:tcBorders/>
            <w:shd w:fill="FFFFFF" w:val="cle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Design Engineering Services Agreement with HUSH Aerospace, LLC</w:t>
              </w:r>
            </w:hyperlink>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03/24/2025</w:t>
            </w:r>
          </w:p>
        </w:tc>
        <w:tc>
          <w:tcPr>
            <w:tcW w:w="60" w:type="dxa"/>
            <w:tcBorders/>
            <w:shd w:fill="FFFFFF" w:val="clear"/>
            <w:vAlign w:val="center"/>
          </w:tcPr>
          <w:p>
            <w:pPr>
              <w:pStyle w:val="TableContents"/>
              <w:bidi w:val="0"/>
              <w:spacing w:before="0" w:after="283"/>
              <w:jc w:val="center"/>
              <w:rPr/>
            </w:pPr>
            <w:r>
              <w:rPr/>
              <w:t> </w:t>
            </w:r>
          </w:p>
        </w:tc>
        <w:tc>
          <w:tcPr>
            <w:tcW w:w="132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877" w:type="dxa"/>
            <w:tcBorders/>
            <w:shd w:fill="CCEEFF" w:val="cle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Memorandum of Understanding with Helium Systems Inc.</w:t>
              </w:r>
            </w:hyperlink>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center"/>
              <w:rPr/>
            </w:pPr>
            <w:r>
              <w:rPr/>
              <w:t> </w:t>
            </w:r>
          </w:p>
        </w:tc>
        <w:tc>
          <w:tcPr>
            <w:tcW w:w="80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03/24/2025</w:t>
            </w:r>
          </w:p>
        </w:tc>
        <w:tc>
          <w:tcPr>
            <w:tcW w:w="6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center"/>
              <w:rPr/>
            </w:pPr>
            <w:r>
              <w:rPr/>
              <w:t> </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877" w:type="dxa"/>
            <w:tcBorders/>
            <w:shd w:fill="FFFFFF" w:val="cle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Exclusive Patent License Agreement</w:t>
              </w:r>
            </w:hyperlink>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01/27/2025</w:t>
            </w:r>
          </w:p>
        </w:tc>
        <w:tc>
          <w:tcPr>
            <w:tcW w:w="60" w:type="dxa"/>
            <w:tcBorders/>
            <w:shd w:fill="FFFFFF" w:val="clear"/>
            <w:vAlign w:val="center"/>
          </w:tcPr>
          <w:p>
            <w:pPr>
              <w:pStyle w:val="TableContents"/>
              <w:bidi w:val="0"/>
              <w:spacing w:before="0" w:after="283"/>
              <w:jc w:val="center"/>
              <w:rPr/>
            </w:pPr>
            <w:r>
              <w:rPr/>
              <w:t> </w:t>
            </w:r>
          </w:p>
        </w:tc>
        <w:tc>
          <w:tcPr>
            <w:tcW w:w="132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877" w:type="dxa"/>
            <w:tcBorders/>
            <w:shd w:fill="CCEEFF" w:val="clear"/>
            <w:vAlign w:val="center"/>
          </w:tcPr>
          <w:p>
            <w:pPr>
              <w:pStyle w:val="TableContents"/>
              <w:bidi w:val="0"/>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First Amendment to Exclusive Patent License Agreement</w:t>
              </w:r>
            </w:hyperlink>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shd w:fill="CCEEFF" w:val="clear"/>
            <w:vAlign w:val="center"/>
          </w:tcPr>
          <w:p>
            <w:pPr>
              <w:pStyle w:val="TableContents"/>
              <w:bidi w:val="0"/>
              <w:spacing w:before="0" w:after="283"/>
              <w:jc w:val="center"/>
              <w:rPr/>
            </w:pPr>
            <w:r>
              <w:rPr/>
              <w:t> </w:t>
            </w:r>
          </w:p>
        </w:tc>
        <w:tc>
          <w:tcPr>
            <w:tcW w:w="80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01/27/2025</w:t>
            </w:r>
          </w:p>
        </w:tc>
        <w:tc>
          <w:tcPr>
            <w:tcW w:w="6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center"/>
              <w:rPr/>
            </w:pPr>
            <w:r>
              <w:rPr/>
              <w:t> </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877" w:type="dxa"/>
            <w:tcBorders/>
            <w:shd w:fill="FFFFFF" w:val="cle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Asset Purchase Agreement with Airbox</w:t>
              </w:r>
            </w:hyperlink>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01/27/2025</w:t>
            </w:r>
          </w:p>
        </w:tc>
        <w:tc>
          <w:tcPr>
            <w:tcW w:w="60" w:type="dxa"/>
            <w:tcBorders/>
            <w:shd w:fill="FFFFFF" w:val="clear"/>
            <w:vAlign w:val="center"/>
          </w:tcPr>
          <w:p>
            <w:pPr>
              <w:pStyle w:val="TableContents"/>
              <w:bidi w:val="0"/>
              <w:spacing w:before="0" w:after="283"/>
              <w:jc w:val="center"/>
              <w:rPr/>
            </w:pPr>
            <w:r>
              <w:rPr/>
              <w:t> </w:t>
            </w:r>
          </w:p>
        </w:tc>
        <w:tc>
          <w:tcPr>
            <w:tcW w:w="132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877" w:type="dxa"/>
            <w:tcBorders/>
            <w:shd w:fill="CCEEFF" w:val="clear"/>
            <w:vAlign w:val="center"/>
          </w:tcPr>
          <w:p>
            <w:pPr>
              <w:pStyle w:val="TableContents"/>
              <w:bidi w:val="0"/>
              <w:spacing w:before="0" w:after="0"/>
              <w:ind w:left="0" w:right="0" w:hanging="0"/>
              <w:jc w:val="both"/>
              <w:rPr/>
            </w:pPr>
            <w:hyperlink w:anchor="ex10-8.htm">
              <w:r>
                <w:rPr>
                  <w:rStyle w:val="InternetLink"/>
                  <w:rFonts w:ascii="Times New Roman;Times;Serif" w:hAnsi="Times New Roman;Times;Serif"/>
                  <w:b w:val="false"/>
                  <w:i w:val="false"/>
                  <w:caps w:val="false"/>
                  <w:smallCaps w:val="false"/>
                  <w:sz w:val="20"/>
                </w:rPr>
                <w:t>Stock Equity Incentive Plan</w:t>
              </w:r>
            </w:hyperlink>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center"/>
              <w:rPr/>
            </w:pPr>
            <w:r>
              <w:rPr/>
              <w:t> </w:t>
            </w:r>
          </w:p>
        </w:tc>
        <w:tc>
          <w:tcPr>
            <w:tcW w:w="80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center"/>
              <w:rPr/>
            </w:pPr>
            <w:r>
              <w:rPr/>
              <w:t>X</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877" w:type="dxa"/>
            <w:tcBorders/>
            <w:shd w:fill="FFFFFF" w:val="cle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Service Agreement, dated November 29, 2023, by and between the Registrant and Brandon Pargoe</w:t>
              </w:r>
            </w:hyperlink>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01/27/2025</w:t>
            </w:r>
          </w:p>
        </w:tc>
        <w:tc>
          <w:tcPr>
            <w:tcW w:w="60" w:type="dxa"/>
            <w:tcBorders/>
            <w:shd w:fill="FFFFFF" w:val="clear"/>
            <w:vAlign w:val="center"/>
          </w:tcPr>
          <w:p>
            <w:pPr>
              <w:pStyle w:val="TableContents"/>
              <w:bidi w:val="0"/>
              <w:spacing w:before="0" w:after="283"/>
              <w:jc w:val="center"/>
              <w:rPr/>
            </w:pPr>
            <w:r>
              <w:rPr/>
              <w:t> </w:t>
            </w:r>
          </w:p>
        </w:tc>
        <w:tc>
          <w:tcPr>
            <w:tcW w:w="132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877" w:type="dxa"/>
            <w:tcBorders/>
            <w:shd w:fill="CCEEFF" w:val="clear"/>
            <w:vAlign w:val="center"/>
          </w:tcPr>
          <w:p>
            <w:pPr>
              <w:pStyle w:val="TableContents"/>
              <w:bidi w:val="0"/>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Second Amendment to Exclusive Patent License Agreement</w:t>
              </w:r>
            </w:hyperlink>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CCEEFF" w:val="clear"/>
            <w:vAlign w:val="center"/>
          </w:tcPr>
          <w:p>
            <w:pPr>
              <w:pStyle w:val="TableContents"/>
              <w:bidi w:val="0"/>
              <w:spacing w:before="0" w:after="283"/>
              <w:jc w:val="center"/>
              <w:rPr/>
            </w:pPr>
            <w:r>
              <w:rPr/>
              <w:t> </w:t>
            </w:r>
          </w:p>
        </w:tc>
        <w:tc>
          <w:tcPr>
            <w:tcW w:w="80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03/24/2025</w:t>
            </w:r>
          </w:p>
        </w:tc>
        <w:tc>
          <w:tcPr>
            <w:tcW w:w="6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center"/>
              <w:rPr/>
            </w:pPr>
            <w:r>
              <w:rPr/>
              <w:t> </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877" w:type="dxa"/>
            <w:tcBorders/>
            <w:shd w:fill="FFFFFF" w:val="cle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Securities Purchase Agreement between Arrive AI Inc. and Streeterville Capital LLC</w:t>
              </w:r>
            </w:hyperlink>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06/17/2025</w:t>
            </w:r>
          </w:p>
        </w:tc>
        <w:tc>
          <w:tcPr>
            <w:tcW w:w="60" w:type="dxa"/>
            <w:tcBorders/>
            <w:shd w:fill="FFFFFF" w:val="clear"/>
            <w:vAlign w:val="center"/>
          </w:tcPr>
          <w:p>
            <w:pPr>
              <w:pStyle w:val="TableContents"/>
              <w:bidi w:val="0"/>
              <w:spacing w:before="0" w:after="283"/>
              <w:jc w:val="center"/>
              <w:rPr/>
            </w:pPr>
            <w:r>
              <w:rPr/>
              <w:t> </w:t>
            </w:r>
          </w:p>
        </w:tc>
        <w:tc>
          <w:tcPr>
            <w:tcW w:w="132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877" w:type="dxa"/>
            <w:tcBorders/>
            <w:shd w:fill="CCEEFF" w:val="cle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Pre-Paid Purchase No. 2, dated August 11, 2025, by and between Arrive AI Inc. and Streeterville Capital LLC</w:t>
              </w:r>
            </w:hyperlink>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vAlign w:val="center"/>
          </w:tcPr>
          <w:p>
            <w:pPr>
              <w:pStyle w:val="TableContents"/>
              <w:bidi w:val="0"/>
              <w:spacing w:before="0" w:after="283"/>
              <w:jc w:val="center"/>
              <w:rPr/>
            </w:pPr>
            <w:r>
              <w:rPr/>
              <w:t> </w:t>
            </w:r>
          </w:p>
        </w:tc>
        <w:tc>
          <w:tcPr>
            <w:tcW w:w="80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08/14/2025</w:t>
            </w:r>
          </w:p>
        </w:tc>
        <w:tc>
          <w:tcPr>
            <w:tcW w:w="6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center"/>
              <w:rPr/>
            </w:pPr>
            <w:r>
              <w:rPr/>
              <w:t> </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877" w:type="dxa"/>
            <w:tcBorders/>
            <w:shd w:fill="FFFFFF" w:val="cle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Pre-Paid Purchase No. 3, dated December 3, 2025, by and between Arrive AI Inc. and Streeterville Capital LLC</w:t>
              </w:r>
            </w:hyperlink>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12/08/2025</w:t>
            </w:r>
          </w:p>
        </w:tc>
        <w:tc>
          <w:tcPr>
            <w:tcW w:w="60" w:type="dxa"/>
            <w:tcBorders/>
            <w:shd w:fill="FFFFFF" w:val="clear"/>
            <w:vAlign w:val="center"/>
          </w:tcPr>
          <w:p>
            <w:pPr>
              <w:pStyle w:val="TableContents"/>
              <w:bidi w:val="0"/>
              <w:spacing w:before="0" w:after="283"/>
              <w:jc w:val="center"/>
              <w:rPr/>
            </w:pPr>
            <w:r>
              <w:rPr/>
              <w:t> </w:t>
            </w:r>
          </w:p>
        </w:tc>
        <w:tc>
          <w:tcPr>
            <w:tcW w:w="132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877" w:type="dxa"/>
            <w:tcBorders/>
            <w:shd w:fill="CCEEFF" w:val="cle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Pre-Paid Purchase No. 4, dated January 26, 2026, by and between Arrive AI Inc. and Streeterville Capital, LLC</w:t>
              </w:r>
            </w:hyperlink>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vAlign w:val="center"/>
          </w:tcPr>
          <w:p>
            <w:pPr>
              <w:pStyle w:val="TableContents"/>
              <w:bidi w:val="0"/>
              <w:spacing w:before="0" w:after="283"/>
              <w:jc w:val="center"/>
              <w:rPr/>
            </w:pPr>
            <w:r>
              <w:rPr/>
              <w:t> </w:t>
            </w:r>
          </w:p>
        </w:tc>
        <w:tc>
          <w:tcPr>
            <w:tcW w:w="80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01/30/2026</w:t>
            </w:r>
          </w:p>
        </w:tc>
        <w:tc>
          <w:tcPr>
            <w:tcW w:w="6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center"/>
              <w:rPr/>
            </w:pPr>
            <w:r>
              <w:rPr/>
              <w:t> </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877" w:type="dxa"/>
            <w:tcBorders/>
            <w:shd w:fill="FFFFFF" w:val="cle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Side Letter Agreement, dated January 26, 2026, by and between Arrive AI Inc. and Streeterville Capital, LLC</w:t>
              </w:r>
            </w:hyperlink>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01/30/2026</w:t>
            </w:r>
          </w:p>
        </w:tc>
        <w:tc>
          <w:tcPr>
            <w:tcW w:w="60" w:type="dxa"/>
            <w:tcBorders/>
            <w:shd w:fill="FFFFFF" w:val="clear"/>
            <w:vAlign w:val="center"/>
          </w:tcPr>
          <w:p>
            <w:pPr>
              <w:pStyle w:val="TableContents"/>
              <w:bidi w:val="0"/>
              <w:spacing w:before="0" w:after="283"/>
              <w:jc w:val="center"/>
              <w:rPr/>
            </w:pPr>
            <w:r>
              <w:rPr/>
              <w:t> </w:t>
            </w:r>
          </w:p>
        </w:tc>
        <w:tc>
          <w:tcPr>
            <w:tcW w:w="132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877" w:type="dxa"/>
            <w:tcBorders/>
            <w:shd w:fill="CCEEFF" w:val="clear"/>
            <w:vAlign w:val="center"/>
          </w:tcPr>
          <w:p>
            <w:pPr>
              <w:pStyle w:val="TableContents"/>
              <w:bidi w:val="0"/>
              <w:spacing w:before="0" w:after="283"/>
              <w:jc w:val="both"/>
              <w:rPr/>
            </w:pPr>
            <w:hyperlink w:anchor="ex14-1.htm">
              <w:r>
                <w:rPr>
                  <w:rStyle w:val="InternetLink"/>
                  <w:rFonts w:ascii="Times New Roman;Times;Serif" w:hAnsi="Times New Roman;Times;Serif"/>
                  <w:b w:val="false"/>
                  <w:i w:val="false"/>
                  <w:caps w:val="false"/>
                  <w:smallCaps w:val="false"/>
                  <w:sz w:val="20"/>
                </w:rPr>
                <w:t>Code of Business Ethics</w:t>
              </w:r>
            </w:hyperlink>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pPr>
            <w:r>
              <w:rPr/>
              <w:t> </w:t>
            </w:r>
          </w:p>
        </w:tc>
        <w:tc>
          <w:tcPr>
            <w:tcW w:w="801"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pPr>
            <w:r>
              <w:rPr/>
              <w:t> </w:t>
            </w:r>
          </w:p>
        </w:tc>
        <w:tc>
          <w:tcPr>
            <w:tcW w:w="1325" w:type="dxa"/>
            <w:tcBorders/>
            <w:shd w:fill="CCEEFF" w:val="clear"/>
            <w:vAlign w:val="center"/>
          </w:tcPr>
          <w:p>
            <w:pPr>
              <w:pStyle w:val="TableContents"/>
              <w:bidi w:val="0"/>
              <w:spacing w:before="0" w:after="283"/>
              <w:jc w:val="center"/>
              <w:rPr/>
            </w:pPr>
            <w:r>
              <w:rPr/>
              <w:t>X</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84"/>
        <w:gridCol w:w="60"/>
        <w:gridCol w:w="7729"/>
        <w:gridCol w:w="60"/>
        <w:gridCol w:w="317"/>
        <w:gridCol w:w="60"/>
        <w:gridCol w:w="380"/>
        <w:gridCol w:w="60"/>
        <w:gridCol w:w="678"/>
        <w:gridCol w:w="60"/>
        <w:gridCol w:w="217"/>
      </w:tblGrid>
      <w:tr>
        <w:trPr/>
        <w:tc>
          <w:tcPr>
            <w:tcW w:w="58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729" w:type="dxa"/>
            <w:tcBorders/>
            <w:shd w:fill="CCEEFF" w:val="cle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Letter from Assurance Dimensions, LLC to the Securities and Exchange Commission</w:t>
              </w:r>
            </w:hyperlink>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60"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05/13/2025</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center"/>
              <w:rPr/>
            </w:pPr>
            <w:r>
              <w:rPr/>
              <w:t> </w:t>
            </w:r>
          </w:p>
        </w:tc>
      </w:tr>
      <w:tr>
        <w:trPr/>
        <w:tc>
          <w:tcPr>
            <w:tcW w:w="5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729" w:type="dxa"/>
            <w:tcBorders/>
            <w:shd w:fill="FFFFFF" w:val="clear"/>
            <w:vAlign w:val="center"/>
          </w:tcPr>
          <w:p>
            <w:pPr>
              <w:pStyle w:val="TableContents"/>
              <w:bidi w:val="0"/>
              <w:spacing w:before="0" w:after="283"/>
              <w:jc w:val="both"/>
              <w:rPr/>
            </w:pPr>
            <w:hyperlink w:anchor="ex19-1.htm">
              <w:r>
                <w:rPr>
                  <w:rStyle w:val="InternetLink"/>
                  <w:rFonts w:ascii="Times New Roman;Times;Serif" w:hAnsi="Times New Roman;Times;Serif"/>
                  <w:b w:val="false"/>
                  <w:i w:val="false"/>
                  <w:caps w:val="false"/>
                  <w:smallCaps w:val="false"/>
                  <w:sz w:val="20"/>
                </w:rPr>
                <w:t>Insider Trading Policy</w:t>
              </w:r>
            </w:hyperlink>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center"/>
              <w:rPr/>
            </w:pPr>
            <w:r>
              <w:rPr/>
              <w:t>X</w:t>
            </w:r>
          </w:p>
        </w:tc>
      </w:tr>
      <w:tr>
        <w:trPr/>
        <w:tc>
          <w:tcPr>
            <w:tcW w:w="58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729" w:type="dxa"/>
            <w:tcBorders/>
            <w:shd w:fill="CCEEFF" w:val="clear"/>
            <w:vAlign w:val="center"/>
          </w:tcPr>
          <w:p>
            <w:pPr>
              <w:pStyle w:val="TableContents"/>
              <w:bidi w:val="0"/>
              <w:spacing w:before="0" w:after="0"/>
              <w:ind w:left="0" w:right="0" w:hanging="0"/>
              <w:jc w:val="both"/>
              <w:rPr/>
            </w:pPr>
            <w:hyperlink r:id="rId24">
              <w:r>
                <w:rPr>
                  <w:rStyle w:val="InternetLink"/>
                  <w:rFonts w:ascii="Times New Roman;Times;Serif" w:hAnsi="Times New Roman;Times;Serif"/>
                  <w:b w:val="false"/>
                  <w:i w:val="false"/>
                  <w:caps w:val="false"/>
                  <w:smallCaps w:val="false"/>
                  <w:sz w:val="20"/>
                </w:rPr>
                <w:t>List of subsidiaries of the registrant</w:t>
              </w:r>
            </w:hyperlink>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03/24/2025</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center"/>
              <w:rPr/>
            </w:pPr>
            <w:r>
              <w:rPr/>
              <w:t> </w:t>
            </w:r>
          </w:p>
        </w:tc>
      </w:tr>
      <w:tr>
        <w:trPr/>
        <w:tc>
          <w:tcPr>
            <w:tcW w:w="5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7729" w:type="dxa"/>
            <w:tcBorders/>
            <w:shd w:fill="FFFFFF" w:val="clear"/>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Stephano Slack</w:t>
              </w:r>
            </w:hyperlink>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center"/>
              <w:rPr/>
            </w:pPr>
            <w:r>
              <w:rPr/>
              <w:t>X</w:t>
            </w:r>
          </w:p>
        </w:tc>
      </w:tr>
      <w:tr>
        <w:trPr/>
        <w:tc>
          <w:tcPr>
            <w:tcW w:w="58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7729" w:type="dxa"/>
            <w:tcBorders/>
            <w:shd w:fill="CCEEFF" w:val="clear"/>
            <w:vAlign w:val="center"/>
          </w:tcPr>
          <w:p>
            <w:pPr>
              <w:pStyle w:val="TableContents"/>
              <w:bidi w:val="0"/>
              <w:spacing w:before="0" w:after="283"/>
              <w:jc w:val="both"/>
              <w:rPr/>
            </w:pPr>
            <w:hyperlink w:anchor="ex23-2.htm">
              <w:r>
                <w:rPr>
                  <w:rStyle w:val="InternetLink"/>
                  <w:rFonts w:ascii="Times New Roman;Times;Serif" w:hAnsi="Times New Roman;Times;Serif"/>
                  <w:b w:val="false"/>
                  <w:i w:val="false"/>
                  <w:caps w:val="false"/>
                  <w:smallCaps w:val="false"/>
                  <w:sz w:val="20"/>
                </w:rPr>
                <w:t>Consent of Assurance Dimensions</w:t>
              </w:r>
            </w:hyperlink>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center"/>
              <w:rPr/>
            </w:pPr>
            <w:r>
              <w:rPr/>
              <w:t>X</w:t>
            </w:r>
          </w:p>
        </w:tc>
      </w:tr>
      <w:tr>
        <w:trPr/>
        <w:tc>
          <w:tcPr>
            <w:tcW w:w="5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29" w:type="dxa"/>
            <w:tcBorders/>
            <w:shd w:fill="FFFFFF" w:val="cle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Required by Rule 13a-14(a) of the Securities Exchange Act of 1934, as amended, as Adopted Pursuant to Section 302 of the Sarbanes-Oxley Act of 2002</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center"/>
              <w:rPr/>
            </w:pPr>
            <w:r>
              <w:rPr/>
              <w:t>X</w:t>
            </w:r>
          </w:p>
        </w:tc>
      </w:tr>
      <w:tr>
        <w:trPr/>
        <w:tc>
          <w:tcPr>
            <w:tcW w:w="58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9" w:type="dxa"/>
            <w:tcBorders/>
            <w:shd w:fill="CCEEFF" w:val="cle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the Chief Financial Officer Required by Rule 13a-14(a) of the Securities Exchange Act of 1934, as amended, as Adopted Pursuant to Section 302 of the Sarbanes-Oxley Act of 2002</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center"/>
              <w:rPr/>
            </w:pPr>
            <w:r>
              <w:rPr/>
              <w:t>X</w:t>
            </w:r>
          </w:p>
        </w:tc>
      </w:tr>
      <w:tr>
        <w:trPr/>
        <w:tc>
          <w:tcPr>
            <w:tcW w:w="5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29" w:type="dxa"/>
            <w:tcBorders/>
            <w:shd w:fill="FFFFFF" w:val="cle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 #</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center"/>
              <w:rPr/>
            </w:pPr>
            <w:r>
              <w:rPr/>
              <w:t>X</w:t>
            </w:r>
          </w:p>
        </w:tc>
      </w:tr>
      <w:tr>
        <w:trPr/>
        <w:tc>
          <w:tcPr>
            <w:tcW w:w="58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9" w:type="dxa"/>
            <w:tcBorders/>
            <w:shd w:fill="CCEEFF" w:val="cle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 #</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center"/>
              <w:rPr/>
            </w:pPr>
            <w:r>
              <w:rPr/>
              <w:t>X</w:t>
            </w:r>
          </w:p>
        </w:tc>
      </w:tr>
      <w:tr>
        <w:trPr/>
        <w:tc>
          <w:tcPr>
            <w:tcW w:w="5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29" w:type="dxa"/>
            <w:tcBorders/>
            <w:shd w:fill="FFFFFF" w:val="clear"/>
            <w:vAlign w:val="center"/>
          </w:tcPr>
          <w:p>
            <w:pPr>
              <w:pStyle w:val="TableContents"/>
              <w:bidi w:val="0"/>
              <w:spacing w:before="0" w:after="283"/>
              <w:jc w:val="both"/>
              <w:rPr/>
            </w:pPr>
            <w:hyperlink w:anchor="ex97-1.htm">
              <w:r>
                <w:rPr>
                  <w:rStyle w:val="InternetLink"/>
                  <w:rFonts w:ascii="Times New Roman;Times;Serif" w:hAnsi="Times New Roman;Times;Serif"/>
                  <w:b w:val="false"/>
                  <w:i w:val="false"/>
                  <w:caps w:val="false"/>
                  <w:smallCaps w:val="false"/>
                  <w:sz w:val="20"/>
                </w:rPr>
                <w:t>Compensation Recovery Policy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center"/>
              <w:rPr/>
            </w:pPr>
            <w:r>
              <w:rPr/>
              <w:t>X</w:t>
            </w:r>
          </w:p>
        </w:tc>
      </w:tr>
      <w:tr>
        <w:trPr/>
        <w:tc>
          <w:tcPr>
            <w:tcW w:w="58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Instance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center"/>
              <w:rPr/>
            </w:pPr>
            <w:r>
              <w:rPr/>
              <w:t>X</w:t>
            </w:r>
          </w:p>
        </w:tc>
      </w:tr>
      <w:tr>
        <w:trPr/>
        <w:tc>
          <w:tcPr>
            <w:tcW w:w="5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2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Schema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center"/>
              <w:rPr/>
            </w:pPr>
            <w:r>
              <w:rPr/>
              <w:t>X</w:t>
            </w:r>
          </w:p>
        </w:tc>
      </w:tr>
      <w:tr>
        <w:trPr/>
        <w:tc>
          <w:tcPr>
            <w:tcW w:w="58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Calculation Linkbase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center"/>
              <w:rPr/>
            </w:pPr>
            <w:r>
              <w:rPr/>
              <w:t>X</w:t>
            </w:r>
          </w:p>
        </w:tc>
      </w:tr>
      <w:tr>
        <w:trPr/>
        <w:tc>
          <w:tcPr>
            <w:tcW w:w="5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2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Definition Linkbase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center"/>
              <w:rPr/>
            </w:pPr>
            <w:r>
              <w:rPr/>
              <w:t>X</w:t>
            </w:r>
          </w:p>
        </w:tc>
      </w:tr>
      <w:tr>
        <w:trPr/>
        <w:tc>
          <w:tcPr>
            <w:tcW w:w="58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Label Linkbase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center"/>
              <w:rPr/>
            </w:pPr>
            <w:r>
              <w:rPr/>
              <w:t>X</w:t>
            </w:r>
          </w:p>
        </w:tc>
      </w:tr>
      <w:tr>
        <w:trPr/>
        <w:tc>
          <w:tcPr>
            <w:tcW w:w="5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2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Presentation Linkbase Document+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center"/>
              <w:rPr/>
            </w:pPr>
            <w:r>
              <w:rPr/>
              <w:t>X</w:t>
            </w:r>
          </w:p>
        </w:tc>
      </w:tr>
      <w:tr>
        <w:trPr/>
        <w:tc>
          <w:tcPr>
            <w:tcW w:w="58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9"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 The cover page iXBRL tags are embedded within the inline XBRL document.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center"/>
              <w:rPr/>
            </w:pPr>
            <w:r>
              <w:rPr/>
              <w:t>X</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55"/>
        <w:gridCol w:w="60"/>
        <w:gridCol w:w="9990"/>
      </w:tblGrid>
      <w:tr>
        <w:trPr/>
        <w:tc>
          <w:tcPr>
            <w:tcW w:w="155"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or compensatory plan or arrangement.</w:t>
            </w:r>
          </w:p>
        </w:tc>
      </w:tr>
      <w:tr>
        <w:trPr/>
        <w:tc>
          <w:tcPr>
            <w:tcW w:w="15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is being furnished and shall not be deemed “filed” with the SEC for purposes of Section 18 of the Exchange Act, or otherwise subject to the liability of that section, and shall not be deemed to be incorporated by reference into any filing under the Securities Act or the Exchange Act, except to the extent that the registrant specifically incorporates it by reference.</w:t>
            </w:r>
          </w:p>
        </w:tc>
      </w:tr>
      <w:tr>
        <w:trPr/>
        <w:tc>
          <w:tcPr>
            <w:tcW w:w="15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9" w:name="a_027"/>
      <w:bookmarkEnd w:id="79"/>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0" w:name="a_028"/>
      <w:bookmarkEnd w:id="80"/>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7745"/>
        <w:gridCol w:w="60"/>
        <w:gridCol w:w="830"/>
      </w:tblGrid>
      <w:tr>
        <w:trPr/>
        <w:tc>
          <w:tcPr>
            <w:tcW w:w="77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Page(s)</w:t>
            </w:r>
          </w:p>
        </w:tc>
      </w:tr>
      <w:tr>
        <w:trPr/>
        <w:tc>
          <w:tcPr>
            <w:tcW w:w="77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45" w:type="dxa"/>
            <w:tcBorders/>
            <w:shd w:fill="CCEEFF" w:val="clear"/>
            <w:vAlign w:val="center"/>
          </w:tcPr>
          <w:p>
            <w:pPr>
              <w:pStyle w:val="TableContents"/>
              <w:bidi w:val="0"/>
              <w:spacing w:before="0" w:after="283"/>
              <w:jc w:val="left"/>
              <w:rPr/>
            </w:pPr>
            <w:hyperlink w:anchor="vvv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w:t>
            </w:r>
            <w:bookmarkStart w:id="81" w:name="xdx_900_edei--AuditorFirmId_c20250101__2"/>
            <w:bookmarkEnd w:id="81"/>
            <w:r>
              <w:rPr>
                <w:rFonts w:ascii="Times New Roman;Times;Serif" w:hAnsi="Times New Roman;Times;Serif"/>
                <w:b w:val="false"/>
                <w:i w:val="false"/>
                <w:caps w:val="false"/>
                <w:smallCaps w:val="false"/>
                <w:sz w:val="20"/>
              </w:rPr>
              <w:t>3523)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77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745" w:type="dxa"/>
            <w:tcBorders/>
            <w:shd w:fill="CCEEFF" w:val="clear"/>
            <w:vAlign w:val="center"/>
          </w:tcPr>
          <w:p>
            <w:pPr>
              <w:pStyle w:val="TableContents"/>
              <w:bidi w:val="0"/>
              <w:spacing w:before="0" w:after="283"/>
              <w:jc w:val="left"/>
              <w:rPr/>
            </w:pPr>
            <w:hyperlink w:anchor="vvv_002">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w:t>
            </w:r>
            <w:bookmarkStart w:id="82" w:name="xdx_90D_edei--AuditorFirmId_c20240101__2"/>
            <w:bookmarkEnd w:id="82"/>
            <w:r>
              <w:rPr>
                <w:rFonts w:ascii="Times New Roman;Times;Serif" w:hAnsi="Times New Roman;Times;Serif"/>
                <w:b w:val="false"/>
                <w:i w:val="false"/>
                <w:caps w:val="false"/>
                <w:smallCaps w:val="false"/>
                <w:sz w:val="20"/>
              </w:rPr>
              <w:t>5036)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77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7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745" w:type="dxa"/>
            <w:tcBorders/>
            <w:shd w:fill="CCEEFF" w:val="clear"/>
            <w:vAlign w:val="center"/>
          </w:tcPr>
          <w:p>
            <w:pPr>
              <w:pStyle w:val="TableContents"/>
              <w:bidi w:val="0"/>
              <w:spacing w:before="0" w:after="283"/>
              <w:jc w:val="left"/>
              <w:rPr/>
            </w:pPr>
            <w:hyperlink w:anchor="fin_001">
              <w:r>
                <w:rPr>
                  <w:rStyle w:val="InternetLink"/>
                  <w:rFonts w:ascii="Times New Roman;Times;Serif" w:hAnsi="Times New Roman;Times;Serif"/>
                  <w:b w:val="false"/>
                  <w:i w:val="false"/>
                  <w:caps w:val="false"/>
                  <w:smallCaps w:val="false"/>
                  <w:sz w:val="20"/>
                </w:rPr>
                <w:t>Balance Sheets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77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745" w:type="dxa"/>
            <w:tcBorders/>
            <w:shd w:fill="CCEEFF" w:val="clear"/>
            <w:vAlign w:val="center"/>
          </w:tcPr>
          <w:p>
            <w:pPr>
              <w:pStyle w:val="TableContents"/>
              <w:bidi w:val="0"/>
              <w:spacing w:before="0" w:after="283"/>
              <w:jc w:val="left"/>
              <w:rPr/>
            </w:pPr>
            <w:hyperlink w:anchor="fin_002">
              <w:r>
                <w:rPr>
                  <w:rStyle w:val="InternetLink"/>
                  <w:rFonts w:ascii="Times New Roman;Times;Serif" w:hAnsi="Times New Roman;Times;Serif"/>
                  <w:b w:val="false"/>
                  <w:i w:val="false"/>
                  <w:caps w:val="false"/>
                  <w:smallCaps w:val="false"/>
                  <w:sz w:val="20"/>
                </w:rPr>
                <w:t>Statements of Operations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77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745" w:type="dxa"/>
            <w:tcBorders/>
            <w:shd w:fill="CCEEFF" w:val="clear"/>
            <w:vAlign w:val="center"/>
          </w:tcPr>
          <w:p>
            <w:pPr>
              <w:pStyle w:val="TableContents"/>
              <w:bidi w:val="0"/>
              <w:spacing w:before="0" w:after="283"/>
              <w:jc w:val="left"/>
              <w:rPr/>
            </w:pPr>
            <w:hyperlink w:anchor="fin_003">
              <w:r>
                <w:rPr>
                  <w:rStyle w:val="InternetLink"/>
                  <w:rFonts w:ascii="Times New Roman;Times;Serif" w:hAnsi="Times New Roman;Times;Serif"/>
                  <w:b w:val="false"/>
                  <w:i w:val="false"/>
                  <w:caps w:val="false"/>
                  <w:smallCaps w:val="false"/>
                  <w:sz w:val="20"/>
                </w:rPr>
                <w:t>Statements of Changes in Stockholders’ Equity (Deficit)</w:t>
              </w:r>
            </w:hyperlink>
            <w:r>
              <w:rPr>
                <w:rFonts w:ascii="Times New Roman;Times;Serif" w:hAnsi="Times New Roman;Times;Serif"/>
                <w:b w:val="false"/>
                <w:i w:val="false"/>
                <w:caps w:val="false"/>
                <w:smallCaps w:val="false"/>
                <w:sz w:val="20"/>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77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745" w:type="dxa"/>
            <w:tcBorders/>
            <w:shd w:fill="CCEEFF" w:val="clear"/>
            <w:vAlign w:val="center"/>
          </w:tcPr>
          <w:p>
            <w:pPr>
              <w:pStyle w:val="TableContents"/>
              <w:bidi w:val="0"/>
              <w:spacing w:before="0" w:after="283"/>
              <w:jc w:val="left"/>
              <w:rPr/>
            </w:pPr>
            <w:hyperlink w:anchor="fin_004">
              <w:r>
                <w:rPr>
                  <w:rStyle w:val="InternetLink"/>
                  <w:rFonts w:ascii="Times New Roman;Times;Serif" w:hAnsi="Times New Roman;Times;Serif"/>
                  <w:b w:val="false"/>
                  <w:i w:val="false"/>
                  <w:caps w:val="false"/>
                  <w:smallCaps w:val="false"/>
                  <w:sz w:val="20"/>
                </w:rPr>
                <w:t>Statements of Cash Flows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77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745" w:type="dxa"/>
            <w:tcBorders/>
            <w:shd w:fill="CCEEFF" w:val="clear"/>
            <w:vAlign w:val="center"/>
          </w:tcPr>
          <w:p>
            <w:pPr>
              <w:pStyle w:val="TableContents"/>
              <w:bidi w:val="0"/>
              <w:spacing w:before="0" w:after="283"/>
              <w:jc w:val="left"/>
              <w:rPr/>
            </w:pPr>
            <w:hyperlink w:anchor="fin_005">
              <w:r>
                <w:rPr>
                  <w:rStyle w:val="InternetLink"/>
                  <w:rFonts w:ascii="Times New Roman;Times;Serif" w:hAnsi="Times New Roman;Times;Serif"/>
                  <w:b w:val="false"/>
                  <w:i w:val="false"/>
                  <w:caps w:val="false"/>
                  <w:smallCaps w:val="false"/>
                  <w:sz w:val="20"/>
                </w:rPr>
                <w:t>Notes to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F-8 - F-32</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3" w:name="vvv_001"/>
      <w:bookmarkEnd w:id="83"/>
      <w:r>
        <w:rPr>
          <w:rFonts w:ascii="Times New Roman;Times;Serif" w:hAnsi="Times New Roman;Times;Serif"/>
          <w:b/>
          <w:i w:val="false"/>
          <w:caps w:val="false"/>
          <w:smallCaps w:val="false"/>
          <w:sz w:val="20"/>
        </w:rPr>
        <w:t>REPORT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Inc.</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 of Arrive AI Inc. (the “Company”) as of December 31, 2025 and the related statements of operations, changes in stockholders’ equity, and cash flows for the year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4 to the financial statements, the Company has recurring operating losses and negative cash flows from operations since inception, which raises substantial doubt about their ability to continue as a going concern. Management’s plans in regard to these matters are also described in Note 4. The financial statements do not include any adjustments that might result from the outcome of this uncertainty.</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their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bookmarkStart w:id="84" w:name="xdx_908_edei--AuditorName_c20250101__202"/>
      <w:bookmarkEnd w:id="84"/>
      <w:r>
        <w:rPr>
          <w:rFonts w:ascii="Times New Roman;Times;Serif" w:hAnsi="Times New Roman;Times;Serif"/>
          <w:b w:val="false"/>
          <w:i w:val="false"/>
          <w:caps w:val="false"/>
          <w:smallCaps w:val="false"/>
          <w:sz w:val="20"/>
        </w:rPr>
        <w:t>Stephano Slack LLC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bookmarkStart w:id="85" w:name="xdx_907_edei--AuditorLocation_c20250101_"/>
      <w:bookmarkEnd w:id="85"/>
      <w:r>
        <w:rPr>
          <w:rFonts w:ascii="Times New Roman;Times;Serif" w:hAnsi="Times New Roman;Times;Serif"/>
          <w:b w:val="false"/>
          <w:i w:val="false"/>
          <w:caps w:val="false"/>
          <w:smallCaps w:val="false"/>
          <w:sz w:val="20"/>
        </w:rPr>
        <w:t>Wayne, Pennsylvania</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2026</w:t>
      </w:r>
    </w:p>
    <w:p>
      <w:pPr>
        <w:pStyle w:val="TextBody"/>
        <w:bidi w:val="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381750" cy="733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5"/>
                    <a:stretch>
                      <a:fillRect/>
                    </a:stretch>
                  </pic:blipFill>
                  <pic:spPr bwMode="auto">
                    <a:xfrm>
                      <a:off x="0" y="0"/>
                      <a:ext cx="6381750" cy="73342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6" w:name="vvv_002"/>
      <w:bookmarkEnd w:id="86"/>
      <w:r>
        <w:rPr>
          <w:rFonts w:ascii="Times New Roman;Times;Serif" w:hAnsi="Times New Roman;Times;Serif"/>
          <w:b/>
          <w:i w:val="false"/>
          <w:caps w:val="false"/>
          <w:smallCaps w:val="false"/>
          <w:sz w:val="20"/>
        </w:rPr>
        <w:t>REPORT OF INDEPENDENT REGISTERED PUBLIC ACCOUNTING FIRM</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of Arrive AI, Inc. (formerly Arrive Technology,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balance sheet of Arrive AI, Inc. (formerly Arrive Technology, Inc.) (the Company) as of December 31, 2024, and the related statements of operations, stockholders’ equity, and cash flows for the year then ended,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4 to the financial statements, the Company has an accumulated deficit of $15,920,555 and a net loss for the current year of $4,537,901. These conditions raise substantial doubt about the Company’s ability to continue as a going concern. Management’s plans regarding these matters are also described in Note 4. The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determined that there were no 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209800" cy="476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6"/>
                    <a:stretch>
                      <a:fillRect/>
                    </a:stretch>
                  </pic:blipFill>
                  <pic:spPr bwMode="auto">
                    <a:xfrm>
                      <a:off x="0" y="0"/>
                      <a:ext cx="2209800" cy="4762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87" w:name="xdx_902_edei--AuditorName_c20240101__202"/>
      <w:bookmarkEnd w:id="87"/>
      <w:r>
        <w:rPr>
          <w:rFonts w:ascii="Times New Roman;Times;Serif" w:hAnsi="Times New Roman;Times;Serif"/>
          <w:b w:val="false"/>
          <w:i w:val="false"/>
          <w:caps w:val="false"/>
          <w:smallCaps w:val="false"/>
          <w:sz w:val="20"/>
        </w:rPr>
        <w:t>Assurance Dimensions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88" w:name="xdx_90E_edei--AuditorLocation_c20240101_"/>
      <w:bookmarkEnd w:id="88"/>
      <w:r>
        <w:rPr>
          <w:rFonts w:ascii="Times New Roman;Times;Serif" w:hAnsi="Times New Roman;Times;Serif"/>
          <w:b w:val="false"/>
          <w:i w:val="false"/>
          <w:caps w:val="false"/>
          <w:smallCaps w:val="false"/>
          <w:sz w:val="20"/>
        </w:rPr>
        <w:t>Coral Springs, FL March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ASSURANCE DIMENSIONS, LLC</w:t>
      </w:r>
    </w:p>
    <w:p>
      <w:pPr>
        <w:pStyle w:val="TextBody"/>
        <w:bidi w:val="0"/>
        <w:spacing w:before="0" w:after="0"/>
        <w:ind w:left="64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also d/b/a McNAMARA and ASSOCIATES, LLC</w:t>
      </w:r>
    </w:p>
    <w:p>
      <w:pPr>
        <w:pStyle w:val="TextBody"/>
        <w:bidi w:val="0"/>
        <w:spacing w:before="0" w:after="0"/>
        <w:ind w:left="632"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TAMPA BAY</w:t>
      </w:r>
      <w:r>
        <w:rPr>
          <w:rFonts w:ascii="Times New Roman;Times;Serif" w:hAnsi="Times New Roman;Times;Serif"/>
          <w:b w:val="false"/>
          <w:i w:val="false"/>
          <w:caps w:val="false"/>
          <w:smallCaps w:val="false"/>
          <w:sz w:val="20"/>
        </w:rPr>
        <w:t>: 4920 W Cypress Street, Suite 102 | Tampa, FL 33607 | Office: 813.443.5048 | Fax: 813.443.5053</w:t>
      </w:r>
    </w:p>
    <w:p>
      <w:pPr>
        <w:pStyle w:val="TextBody"/>
        <w:bidi w:val="0"/>
        <w:spacing w:before="0" w:after="0"/>
        <w:ind w:left="632"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JACKSONVILLE</w:t>
      </w:r>
      <w:r>
        <w:rPr>
          <w:rFonts w:ascii="Times New Roman;Times;Serif" w:hAnsi="Times New Roman;Times;Serif"/>
          <w:b w:val="false"/>
          <w:i w:val="false"/>
          <w:caps w:val="false"/>
          <w:smallCaps w:val="false"/>
          <w:sz w:val="20"/>
        </w:rPr>
        <w:t>: 7800 Belfort Parkway, Suite 290 | Jacksonville, FL 32256 | Office: 888.410.2323 | Fax: 813.443.5053</w:t>
      </w:r>
    </w:p>
    <w:p>
      <w:pPr>
        <w:pStyle w:val="TextBody"/>
        <w:bidi w:val="0"/>
        <w:spacing w:before="0" w:after="0"/>
        <w:ind w:left="632"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ORLANDO:</w:t>
      </w:r>
      <w:r>
        <w:rPr>
          <w:rFonts w:ascii="Times New Roman;Times;Serif" w:hAnsi="Times New Roman;Times;Serif"/>
          <w:b w:val="false"/>
          <w:i w:val="false"/>
          <w:caps w:val="false"/>
          <w:smallCaps w:val="false"/>
          <w:sz w:val="20"/>
        </w:rPr>
        <w:t xml:space="preserve"> 1800 Pembrook Drive, Suite 300 | Orlando, FL 32810 | Office: 888.410.2323 | Fax: 813.443.5053</w:t>
      </w:r>
    </w:p>
    <w:p>
      <w:pPr>
        <w:pStyle w:val="TextBody"/>
        <w:bidi w:val="0"/>
        <w:spacing w:before="0" w:after="0"/>
        <w:ind w:left="632"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SOUTH FLORIDA</w:t>
      </w:r>
      <w:r>
        <w:rPr>
          <w:rFonts w:ascii="Times New Roman;Times;Serif" w:hAnsi="Times New Roman;Times;Serif"/>
          <w:b w:val="false"/>
          <w:i w:val="false"/>
          <w:caps w:val="false"/>
          <w:smallCaps w:val="false"/>
          <w:sz w:val="20"/>
        </w:rPr>
        <w:t>: 3111 N. University Drive, Suite 621 | Coral Springs, FL 33065 | Office: 754.800.3400 | Fax: 813.443.5053 www.assurancedimensions.com</w:t>
      </w:r>
    </w:p>
    <w:p>
      <w:pPr>
        <w:pStyle w:val="TextBody"/>
        <w:bidi w:val="0"/>
        <w:spacing w:before="0" w:after="0"/>
        <w:ind w:left="632" w:right="0" w:hanging="0"/>
        <w:jc w:val="center"/>
        <w:rPr>
          <w:caps w:val="false"/>
          <w:smallCaps w:val="false"/>
        </w:rPr>
      </w:pPr>
      <w:r>
        <w:rPr>
          <w:caps w:val="false"/>
          <w:smallCaps w:val="false"/>
        </w:rPr>
        <w:t> </w:t>
      </w:r>
    </w:p>
    <w:p>
      <w:pPr>
        <w:pStyle w:val="TextBody"/>
        <w:bidi w:val="0"/>
        <w:spacing w:before="0" w:after="0"/>
        <w:ind w:left="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Assurance Dimensions” is the brand name under which Assurance Dimensions, LLC including its subsidiary McNamara and Associates, LLC (referred together as “AD LLC”) and AD Advisors, LLC (“AD Advisors”), provide professional services. AD LLC and AD Advisors practice as an alternative practice structure in accordance with the AICPA Code of Professional Conduct and applicable laws, regulations, and professional standards. AD LLC is a licensed independent CPA firm that provides attest services to its clients, and AD Advisors provide tax and business consulting services to their clients. AD Advisors, and its subsidiary entities are not licensed CPA firms.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9" w:name="fin_001"/>
      <w:bookmarkEnd w:id="89"/>
      <w:r>
        <w:rPr>
          <w:rFonts w:ascii="Times New Roman;Times;Serif" w:hAnsi="Times New Roman;Times;Serif"/>
          <w:b/>
          <w:i w:val="false"/>
          <w:caps w:val="false"/>
          <w:smallCaps w:val="false"/>
          <w:sz w:val="20"/>
        </w:rPr>
        <w:t>ARRIVE AI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0" w:name="xdx_30C_111_zf8iMiwhaqp6"/>
      <w:bookmarkStart w:id="91" w:name="xdx_30C_111_zf8iMiwhaqp6"/>
      <w:bookmarkEnd w:id="91"/>
    </w:p>
    <w:tbl>
      <w:tblPr>
        <w:tblW w:w="10205" w:type="dxa"/>
        <w:jc w:val="left"/>
        <w:tblInd w:w="0" w:type="dxa"/>
        <w:tblLayout w:type="fixed"/>
        <w:tblCellMar>
          <w:top w:w="0" w:type="dxa"/>
          <w:left w:w="0" w:type="dxa"/>
          <w:bottom w:w="0" w:type="dxa"/>
          <w:right w:w="0" w:type="dxa"/>
        </w:tblCellMar>
      </w:tblPr>
      <w:tblGrid>
        <w:gridCol w:w="6791"/>
        <w:gridCol w:w="60"/>
        <w:gridCol w:w="164"/>
        <w:gridCol w:w="1379"/>
        <w:gridCol w:w="95"/>
        <w:gridCol w:w="60"/>
        <w:gridCol w:w="164"/>
        <w:gridCol w:w="1379"/>
        <w:gridCol w:w="113"/>
      </w:tblGrid>
      <w:tr>
        <w:trPr/>
        <w:tc>
          <w:tcPr>
            <w:tcW w:w="67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 w:name="xdx_494_20251231_zqVCiG1g83ke"/>
            <w:bookmarkEnd w:id="92"/>
          </w:p>
        </w:tc>
        <w:tc>
          <w:tcPr>
            <w:tcW w:w="15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3" w:name="xdx_496_20241231_z4u1vXGa2lI9"/>
            <w:bookmarkEnd w:id="93"/>
          </w:p>
        </w:tc>
        <w:tc>
          <w:tcPr>
            <w:tcW w:w="15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3" w:type="dxa"/>
            <w:tcBorders/>
            <w:vAlign w:val="center"/>
          </w:tcPr>
          <w:p>
            <w:pPr>
              <w:pStyle w:val="TableContents"/>
              <w:bidi w:val="0"/>
              <w:spacing w:before="0" w:after="283"/>
              <w:jc w:val="left"/>
              <w:rPr/>
            </w:pPr>
            <w:r>
              <w:rPr/>
              <w:t> </w:t>
            </w:r>
          </w:p>
        </w:tc>
      </w:tr>
      <w:tr>
        <w:trPr/>
        <w:tc>
          <w:tcPr>
            <w:tcW w:w="67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3"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3" w:type="dxa"/>
            <w:gridSpan w:val="2"/>
            <w:tcBorders/>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left"/>
              <w:rPr/>
            </w:pPr>
            <w:r>
              <w:rPr/>
              <w:t> </w:t>
            </w:r>
            <w:bookmarkStart w:id="94" w:name="xdx_406_eus-gaap--AssetsAbstract_iB_zqPl"/>
            <w:bookmarkEnd w:id="94"/>
          </w:p>
        </w:tc>
      </w:tr>
      <w:tr>
        <w:trPr/>
        <w:tc>
          <w:tcPr>
            <w:tcW w:w="6791"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95" w:name="xdx_400_eus-gaap--AssetsCurrentAbstract_"/>
            <w:bookmarkEnd w:id="95"/>
          </w:p>
        </w:tc>
      </w:tr>
      <w:tr>
        <w:trPr/>
        <w:tc>
          <w:tcPr>
            <w:tcW w:w="6791"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96" w:name="xdx_406_eus-gaap--CashEquivalentsAtCarry"/>
            <w:bookmarkEnd w:id="96"/>
          </w:p>
        </w:tc>
      </w:tr>
      <w:tr>
        <w:trPr/>
        <w:tc>
          <w:tcPr>
            <w:tcW w:w="6791"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1379" w:type="dxa"/>
            <w:tcBorders/>
            <w:shd w:fill="FFFFFF" w:val="clear"/>
            <w:vAlign w:val="center"/>
          </w:tcPr>
          <w:p>
            <w:pPr>
              <w:pStyle w:val="TableContents"/>
              <w:bidi w:val="0"/>
              <w:spacing w:before="0" w:after="283"/>
              <w:jc w:val="right"/>
              <w:rPr/>
            </w:pPr>
            <w:r>
              <w:rPr/>
              <w:t>2,104,004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1379" w:type="dxa"/>
            <w:tcBorders/>
            <w:shd w:fill="FFFFFF" w:val="clear"/>
            <w:vAlign w:val="center"/>
          </w:tcPr>
          <w:p>
            <w:pPr>
              <w:pStyle w:val="TableContents"/>
              <w:bidi w:val="0"/>
              <w:spacing w:before="0" w:after="283"/>
              <w:jc w:val="right"/>
              <w:rPr/>
            </w:pPr>
            <w:r>
              <w:rPr/>
              <w:t>129,318</w:t>
            </w:r>
          </w:p>
        </w:tc>
        <w:tc>
          <w:tcPr>
            <w:tcW w:w="113" w:type="dxa"/>
            <w:tcBorders/>
            <w:shd w:fill="FFFFFF" w:val="clear"/>
            <w:vAlign w:val="center"/>
          </w:tcPr>
          <w:p>
            <w:pPr>
              <w:pStyle w:val="TableContents"/>
              <w:bidi w:val="0"/>
              <w:spacing w:before="0" w:after="283"/>
              <w:jc w:val="left"/>
              <w:rPr/>
            </w:pPr>
            <w:r>
              <w:rPr/>
              <w:t> </w:t>
            </w:r>
            <w:bookmarkStart w:id="97" w:name="xdx_402_eus-gaap--AccountsReceivableNetC"/>
            <w:bookmarkEnd w:id="97"/>
          </w:p>
        </w:tc>
      </w:tr>
      <w:tr>
        <w:trPr/>
        <w:tc>
          <w:tcPr>
            <w:tcW w:w="6791"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4,975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98" w:name="xdx_40E_eus-gaap--PrepaidExpenseCurrent_"/>
            <w:bookmarkEnd w:id="98"/>
          </w:p>
        </w:tc>
      </w:tr>
      <w:tr>
        <w:trPr/>
        <w:tc>
          <w:tcPr>
            <w:tcW w:w="6791"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189,878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55,867</w:t>
            </w:r>
          </w:p>
        </w:tc>
        <w:tc>
          <w:tcPr>
            <w:tcW w:w="113" w:type="dxa"/>
            <w:tcBorders/>
            <w:shd w:fill="FFFFFF" w:val="clear"/>
            <w:vAlign w:val="center"/>
          </w:tcPr>
          <w:p>
            <w:pPr>
              <w:pStyle w:val="TableContents"/>
              <w:bidi w:val="0"/>
              <w:spacing w:before="0" w:after="283"/>
              <w:jc w:val="left"/>
              <w:rPr/>
            </w:pPr>
            <w:r>
              <w:rPr/>
              <w:t> </w:t>
            </w:r>
            <w:bookmarkStart w:id="99" w:name="xdx_40F_eus-gaap--DeferredOfferingCosts_"/>
            <w:bookmarkEnd w:id="99"/>
          </w:p>
        </w:tc>
      </w:tr>
      <w:tr>
        <w:trPr/>
        <w:tc>
          <w:tcPr>
            <w:tcW w:w="6791"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427,898</w:t>
            </w:r>
          </w:p>
        </w:tc>
        <w:tc>
          <w:tcPr>
            <w:tcW w:w="113" w:type="dxa"/>
            <w:tcBorders/>
            <w:shd w:fill="CCEEFF" w:val="clear"/>
            <w:vAlign w:val="center"/>
          </w:tcPr>
          <w:p>
            <w:pPr>
              <w:pStyle w:val="TableContents"/>
              <w:bidi w:val="0"/>
              <w:spacing w:before="0" w:after="283"/>
              <w:jc w:val="left"/>
              <w:rPr/>
            </w:pPr>
            <w:r>
              <w:rPr/>
              <w:t> </w:t>
            </w:r>
            <w:bookmarkStart w:id="100" w:name="xdx_408_eus-gaap--OtherAssetsCurrent_i02"/>
            <w:bookmarkEnd w:id="100"/>
          </w:p>
        </w:tc>
      </w:tr>
      <w:tr>
        <w:trPr/>
        <w:tc>
          <w:tcPr>
            <w:tcW w:w="6791"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FFFFFF" w:val="clear"/>
            <w:tcMar>
              <w:bottom w:w="28" w:type="dxa"/>
            </w:tcMar>
            <w:vAlign w:val="center"/>
          </w:tcPr>
          <w:p>
            <w:pPr>
              <w:pStyle w:val="TableContents"/>
              <w:bidi w:val="0"/>
              <w:spacing w:before="0" w:after="283"/>
              <w:jc w:val="right"/>
              <w:rPr/>
            </w:pPr>
            <w:r>
              <w:rPr/>
              <w:t>12,325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FFFFFF" w:val="clear"/>
            <w:tcMar>
              <w:bottom w:w="28" w:type="dxa"/>
            </w:tcMar>
            <w:vAlign w:val="center"/>
          </w:tcPr>
          <w:p>
            <w:pPr>
              <w:pStyle w:val="TableContents"/>
              <w:bidi w:val="0"/>
              <w:spacing w:before="0" w:after="283"/>
              <w:jc w:val="right"/>
              <w:rPr/>
            </w:pPr>
            <w:r>
              <w:rPr/>
              <w:t>4,179</w:t>
            </w:r>
          </w:p>
        </w:tc>
        <w:tc>
          <w:tcPr>
            <w:tcW w:w="113" w:type="dxa"/>
            <w:tcBorders/>
            <w:shd w:fill="FFFFFF" w:val="clear"/>
            <w:vAlign w:val="center"/>
          </w:tcPr>
          <w:p>
            <w:pPr>
              <w:pStyle w:val="TableContents"/>
              <w:bidi w:val="0"/>
              <w:spacing w:before="0" w:after="283"/>
              <w:jc w:val="left"/>
              <w:rPr/>
            </w:pPr>
            <w:r>
              <w:rPr/>
              <w:t> </w:t>
            </w:r>
          </w:p>
        </w:tc>
      </w:tr>
      <w:tr>
        <w:trPr/>
        <w:tc>
          <w:tcPr>
            <w:tcW w:w="67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01" w:name="xdx_40D_eus-gaap--AssetsCurrent_i02TI_mt"/>
            <w:bookmarkEnd w:id="101"/>
          </w:p>
        </w:tc>
      </w:tr>
      <w:tr>
        <w:trPr/>
        <w:tc>
          <w:tcPr>
            <w:tcW w:w="6791"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FFFFFF" w:val="clear"/>
            <w:tcMar>
              <w:bottom w:w="28" w:type="dxa"/>
            </w:tcMar>
            <w:vAlign w:val="center"/>
          </w:tcPr>
          <w:p>
            <w:pPr>
              <w:pStyle w:val="TableContents"/>
              <w:bidi w:val="0"/>
              <w:spacing w:before="0" w:after="283"/>
              <w:jc w:val="right"/>
              <w:rPr/>
            </w:pPr>
            <w:r>
              <w:rPr/>
              <w:t>2,311,182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FFFFFF" w:val="clear"/>
            <w:tcMar>
              <w:bottom w:w="28" w:type="dxa"/>
            </w:tcMar>
            <w:vAlign w:val="center"/>
          </w:tcPr>
          <w:p>
            <w:pPr>
              <w:pStyle w:val="TableContents"/>
              <w:bidi w:val="0"/>
              <w:spacing w:before="0" w:after="283"/>
              <w:jc w:val="right"/>
              <w:rPr/>
            </w:pPr>
            <w:r>
              <w:rPr/>
              <w:t>617,262</w:t>
            </w:r>
          </w:p>
        </w:tc>
        <w:tc>
          <w:tcPr>
            <w:tcW w:w="113" w:type="dxa"/>
            <w:tcBorders/>
            <w:shd w:fill="FFFFFF" w:val="clear"/>
            <w:vAlign w:val="center"/>
          </w:tcPr>
          <w:p>
            <w:pPr>
              <w:pStyle w:val="TableContents"/>
              <w:bidi w:val="0"/>
              <w:spacing w:before="0" w:after="283"/>
              <w:jc w:val="left"/>
              <w:rPr/>
            </w:pPr>
            <w:r>
              <w:rPr/>
              <w:t> </w:t>
            </w:r>
          </w:p>
        </w:tc>
      </w:tr>
      <w:tr>
        <w:trPr/>
        <w:tc>
          <w:tcPr>
            <w:tcW w:w="67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02" w:name="xdx_403_eus-gaap--AssetsNoncurrentAbstra"/>
            <w:bookmarkEnd w:id="102"/>
          </w:p>
        </w:tc>
      </w:tr>
      <w:tr>
        <w:trPr/>
        <w:tc>
          <w:tcPr>
            <w:tcW w:w="6791" w:type="dxa"/>
            <w:tcBorders/>
            <w:shd w:fill="FFFFFF" w:val="clear"/>
            <w:vAlign w:val="center"/>
          </w:tcPr>
          <w:p>
            <w:pPr>
              <w:pStyle w:val="TableContents"/>
              <w:bidi w:val="0"/>
              <w:spacing w:before="0" w:after="283"/>
              <w:jc w:val="left"/>
              <w:rPr>
                <w:b/>
              </w:rPr>
            </w:pPr>
            <w:r>
              <w:rPr>
                <w:b/>
              </w:rPr>
              <w:t>OTHER ASSETS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03" w:name="xdx_402_eus-gaap--PropertyPlantAndEquipm"/>
            <w:bookmarkEnd w:id="103"/>
          </w:p>
        </w:tc>
      </w:tr>
      <w:tr>
        <w:trPr/>
        <w:tc>
          <w:tcPr>
            <w:tcW w:w="6791"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514,684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95,425</w:t>
            </w:r>
          </w:p>
        </w:tc>
        <w:tc>
          <w:tcPr>
            <w:tcW w:w="113" w:type="dxa"/>
            <w:tcBorders/>
            <w:shd w:fill="CCEEFF" w:val="clear"/>
            <w:vAlign w:val="center"/>
          </w:tcPr>
          <w:p>
            <w:pPr>
              <w:pStyle w:val="TableContents"/>
              <w:bidi w:val="0"/>
              <w:spacing w:before="0" w:after="283"/>
              <w:jc w:val="left"/>
              <w:rPr/>
            </w:pPr>
            <w:r>
              <w:rPr/>
              <w:t> </w:t>
            </w:r>
            <w:bookmarkStart w:id="104" w:name="xdx_404_eus-gaap--OperatingLeaseRightOfU"/>
            <w:bookmarkEnd w:id="104"/>
          </w:p>
        </w:tc>
      </w:tr>
      <w:tr>
        <w:trPr/>
        <w:tc>
          <w:tcPr>
            <w:tcW w:w="6791" w:type="dxa"/>
            <w:tcBorders/>
            <w:shd w:fill="FFFFFF" w:val="clear"/>
            <w:vAlign w:val="center"/>
          </w:tcPr>
          <w:p>
            <w:pPr>
              <w:pStyle w:val="TableContents"/>
              <w:bidi w:val="0"/>
              <w:spacing w:before="0" w:after="283"/>
              <w:jc w:val="left"/>
              <w:rPr/>
            </w:pPr>
            <w:r>
              <w:rPr/>
              <w:t>Right of use assets - operating leases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2,117,284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05" w:name="xdx_406_eus-gaap--FiniteLivedIntangibleA"/>
            <w:bookmarkEnd w:id="105"/>
          </w:p>
        </w:tc>
      </w:tr>
      <w:tr>
        <w:trPr/>
        <w:tc>
          <w:tcPr>
            <w:tcW w:w="6791" w:type="dxa"/>
            <w:tcBorders/>
            <w:shd w:fill="CCEEFF" w:val="clear"/>
            <w:vAlign w:val="center"/>
          </w:tcPr>
          <w:p>
            <w:pPr>
              <w:pStyle w:val="TableContents"/>
              <w:bidi w:val="0"/>
              <w:spacing w:before="0" w:after="283"/>
              <w:jc w:val="left"/>
              <w:rPr/>
            </w:pPr>
            <w:r>
              <w:rPr/>
              <w:t>Patents, net of accumulated amortization of $</w:t>
            </w:r>
            <w:bookmarkStart w:id="106" w:name="xdx_90D_eus-gaap--AccumulatedAmortizatio"/>
            <w:bookmarkEnd w:id="106"/>
            <w:r>
              <w:rPr/>
              <w:t>2,603 and $</w:t>
            </w:r>
            <w:bookmarkStart w:id="107" w:name="xdx_90F_eus-gaap--AccumulatedAmortizatio"/>
            <w:bookmarkEnd w:id="107"/>
            <w:r>
              <w:rPr/>
              <w:t>1,099</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272,097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273,601</w:t>
            </w:r>
          </w:p>
        </w:tc>
        <w:tc>
          <w:tcPr>
            <w:tcW w:w="113" w:type="dxa"/>
            <w:tcBorders/>
            <w:shd w:fill="CCEEFF" w:val="clear"/>
            <w:vAlign w:val="center"/>
          </w:tcPr>
          <w:p>
            <w:pPr>
              <w:pStyle w:val="TableContents"/>
              <w:bidi w:val="0"/>
              <w:spacing w:before="0" w:after="283"/>
              <w:jc w:val="left"/>
              <w:rPr/>
            </w:pPr>
            <w:r>
              <w:rPr/>
              <w:t> </w:t>
            </w:r>
            <w:bookmarkStart w:id="108" w:name="xdx_403_eus-gaap--DeferredCosts_i02I_maC"/>
            <w:bookmarkEnd w:id="108"/>
          </w:p>
        </w:tc>
      </w:tr>
      <w:tr>
        <w:trPr/>
        <w:tc>
          <w:tcPr>
            <w:tcW w:w="6791" w:type="dxa"/>
            <w:tcBorders/>
            <w:shd w:fill="FFFFFF" w:val="clear"/>
            <w:vAlign w:val="center"/>
          </w:tcPr>
          <w:p>
            <w:pPr>
              <w:pStyle w:val="TableContents"/>
              <w:bidi w:val="0"/>
              <w:spacing w:before="0" w:after="283"/>
              <w:jc w:val="left"/>
              <w:rPr/>
            </w:pPr>
            <w:r>
              <w:rPr/>
              <w:t>Deferred offering costs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5,650,185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09" w:name="xdx_40A_eus-gaap--SecurityDeposit_i02I_m"/>
            <w:bookmarkEnd w:id="109"/>
          </w:p>
        </w:tc>
      </w:tr>
      <w:tr>
        <w:trPr/>
        <w:tc>
          <w:tcPr>
            <w:tcW w:w="6791" w:type="dxa"/>
            <w:tcBorders/>
            <w:shd w:fill="CCEEFF" w:val="clear"/>
            <w:vAlign w:val="center"/>
          </w:tcPr>
          <w:p>
            <w:pPr>
              <w:pStyle w:val="TableContents"/>
              <w:bidi w:val="0"/>
              <w:spacing w:before="0" w:after="283"/>
              <w:jc w:val="left"/>
              <w:rPr/>
            </w:pPr>
            <w:r>
              <w:rPr/>
              <w:t>Security deposits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CCEEFF" w:val="clear"/>
            <w:tcMar>
              <w:bottom w:w="28" w:type="dxa"/>
            </w:tcMar>
            <w:vAlign w:val="center"/>
          </w:tcPr>
          <w:p>
            <w:pPr>
              <w:pStyle w:val="TableContents"/>
              <w:bidi w:val="0"/>
              <w:spacing w:before="0" w:after="283"/>
              <w:jc w:val="right"/>
              <w:rPr/>
            </w:pPr>
            <w:r>
              <w:rPr/>
              <w:t>65,633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CCEEFF" w:val="clear"/>
            <w:tcMar>
              <w:bottom w:w="28" w:type="dxa"/>
            </w:tcMar>
            <w:vAlign w:val="center"/>
          </w:tcPr>
          <w:p>
            <w:pPr>
              <w:pStyle w:val="TableContents"/>
              <w:bidi w:val="0"/>
              <w:spacing w:before="0" w:after="283"/>
              <w:jc w:val="right"/>
              <w:rPr/>
            </w:pPr>
            <w:r>
              <w:rPr/>
              <w:t>1,500</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10" w:name="xdx_406_eus-gaap--AssetsNoncurrent_i01TI"/>
            <w:bookmarkEnd w:id="110"/>
          </w:p>
        </w:tc>
      </w:tr>
      <w:tr>
        <w:trPr/>
        <w:tc>
          <w:tcPr>
            <w:tcW w:w="6791" w:type="dxa"/>
            <w:tcBorders/>
            <w:shd w:fill="CCEEFF" w:val="clear"/>
            <w:vAlign w:val="center"/>
          </w:tcPr>
          <w:p>
            <w:pPr>
              <w:pStyle w:val="TableContents"/>
              <w:bidi w:val="0"/>
              <w:spacing w:before="0" w:after="283"/>
              <w:jc w:val="left"/>
              <w:rPr/>
            </w:pPr>
            <w:r>
              <w:rPr/>
              <w:t>Total other assets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CCEEFF" w:val="clear"/>
            <w:tcMar>
              <w:bottom w:w="28" w:type="dxa"/>
            </w:tcMar>
            <w:vAlign w:val="center"/>
          </w:tcPr>
          <w:p>
            <w:pPr>
              <w:pStyle w:val="TableContents"/>
              <w:bidi w:val="0"/>
              <w:spacing w:before="0" w:after="283"/>
              <w:jc w:val="right"/>
              <w:rPr/>
            </w:pPr>
            <w:r>
              <w:rPr/>
              <w:t>8,619,883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CCEEFF" w:val="clear"/>
            <w:tcMar>
              <w:bottom w:w="28" w:type="dxa"/>
            </w:tcMar>
            <w:vAlign w:val="center"/>
          </w:tcPr>
          <w:p>
            <w:pPr>
              <w:pStyle w:val="TableContents"/>
              <w:bidi w:val="0"/>
              <w:spacing w:before="0" w:after="283"/>
              <w:jc w:val="right"/>
              <w:rPr/>
            </w:pPr>
            <w:r>
              <w:rPr/>
              <w:t>370,526</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11" w:name="xdx_400_eus-gaap--Assets_i01TI_mtCzYjy_z"/>
            <w:bookmarkEnd w:id="111"/>
          </w:p>
        </w:tc>
      </w:tr>
      <w:tr>
        <w:trPr/>
        <w:tc>
          <w:tcPr>
            <w:tcW w:w="6791"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79" w:type="dxa"/>
            <w:tcBorders>
              <w:bottom w:val="double" w:sz="6" w:space="0" w:color="000000"/>
            </w:tcBorders>
            <w:shd w:fill="CCEEFF" w:val="clear"/>
            <w:tcMar>
              <w:bottom w:w="28" w:type="dxa"/>
            </w:tcMar>
            <w:vAlign w:val="center"/>
          </w:tcPr>
          <w:p>
            <w:pPr>
              <w:pStyle w:val="TableContents"/>
              <w:bidi w:val="0"/>
              <w:spacing w:before="0" w:after="283"/>
              <w:jc w:val="right"/>
              <w:rPr/>
            </w:pPr>
            <w:r>
              <w:rPr/>
              <w:t>10,931,065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79" w:type="dxa"/>
            <w:tcBorders>
              <w:bottom w:val="double" w:sz="6" w:space="0" w:color="000000"/>
            </w:tcBorders>
            <w:shd w:fill="CCEEFF" w:val="clear"/>
            <w:tcMar>
              <w:bottom w:w="28" w:type="dxa"/>
            </w:tcMar>
            <w:vAlign w:val="center"/>
          </w:tcPr>
          <w:p>
            <w:pPr>
              <w:pStyle w:val="TableContents"/>
              <w:bidi w:val="0"/>
              <w:spacing w:before="0" w:after="283"/>
              <w:jc w:val="right"/>
              <w:rPr/>
            </w:pPr>
            <w:r>
              <w:rPr/>
              <w:t>987,788</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12" w:name="xdx_405_eus-gaap--LiabilitiesAndStockhol"/>
            <w:bookmarkEnd w:id="112"/>
          </w:p>
        </w:tc>
      </w:tr>
      <w:tr>
        <w:trPr/>
        <w:tc>
          <w:tcPr>
            <w:tcW w:w="6791" w:type="dxa"/>
            <w:tcBorders/>
            <w:shd w:fill="CCEEFF" w:val="clear"/>
            <w:vAlign w:val="center"/>
          </w:tcPr>
          <w:p>
            <w:pPr>
              <w:pStyle w:val="TableContents"/>
              <w:bidi w:val="0"/>
              <w:spacing w:before="0" w:after="283"/>
              <w:jc w:val="center"/>
              <w:rPr>
                <w:b/>
              </w:rPr>
            </w:pPr>
            <w:r>
              <w:rPr>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13" w:name="xdx_40D_eus-gaap--LiabilitiesCurrentAbst"/>
            <w:bookmarkEnd w:id="113"/>
          </w:p>
        </w:tc>
      </w:tr>
      <w:tr>
        <w:trPr/>
        <w:tc>
          <w:tcPr>
            <w:tcW w:w="6791"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14" w:name="xdx_409_eus-gaap--AccountsPayableCurrent"/>
            <w:bookmarkEnd w:id="114"/>
          </w:p>
        </w:tc>
      </w:tr>
      <w:tr>
        <w:trPr/>
        <w:tc>
          <w:tcPr>
            <w:tcW w:w="6791"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1379" w:type="dxa"/>
            <w:tcBorders/>
            <w:shd w:fill="FFFFFF" w:val="clear"/>
            <w:vAlign w:val="center"/>
          </w:tcPr>
          <w:p>
            <w:pPr>
              <w:pStyle w:val="TableContents"/>
              <w:bidi w:val="0"/>
              <w:spacing w:before="0" w:after="283"/>
              <w:jc w:val="right"/>
              <w:rPr/>
            </w:pPr>
            <w:r>
              <w:rPr/>
              <w:t>183,993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1379" w:type="dxa"/>
            <w:tcBorders/>
            <w:shd w:fill="FFFFFF" w:val="clear"/>
            <w:vAlign w:val="center"/>
          </w:tcPr>
          <w:p>
            <w:pPr>
              <w:pStyle w:val="TableContents"/>
              <w:bidi w:val="0"/>
              <w:spacing w:before="0" w:after="283"/>
              <w:jc w:val="right"/>
              <w:rPr/>
            </w:pPr>
            <w:r>
              <w:rPr/>
              <w:t>1,868,689</w:t>
            </w:r>
          </w:p>
        </w:tc>
        <w:tc>
          <w:tcPr>
            <w:tcW w:w="113" w:type="dxa"/>
            <w:tcBorders/>
            <w:shd w:fill="FFFFFF" w:val="clear"/>
            <w:vAlign w:val="center"/>
          </w:tcPr>
          <w:p>
            <w:pPr>
              <w:pStyle w:val="TableContents"/>
              <w:bidi w:val="0"/>
              <w:spacing w:before="0" w:after="283"/>
              <w:jc w:val="left"/>
              <w:rPr/>
            </w:pPr>
            <w:r>
              <w:rPr/>
              <w:t> </w:t>
            </w:r>
            <w:bookmarkStart w:id="115" w:name="xdx_401_eus-gaap--AccruedLiabilitiesCurr"/>
            <w:bookmarkEnd w:id="115"/>
          </w:p>
        </w:tc>
      </w:tr>
      <w:tr>
        <w:trPr/>
        <w:tc>
          <w:tcPr>
            <w:tcW w:w="6791"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538,234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83,192</w:t>
            </w:r>
          </w:p>
        </w:tc>
        <w:tc>
          <w:tcPr>
            <w:tcW w:w="113" w:type="dxa"/>
            <w:tcBorders/>
            <w:shd w:fill="CCEEFF" w:val="clear"/>
            <w:vAlign w:val="center"/>
          </w:tcPr>
          <w:p>
            <w:pPr>
              <w:pStyle w:val="TableContents"/>
              <w:bidi w:val="0"/>
              <w:spacing w:before="0" w:after="283"/>
              <w:jc w:val="left"/>
              <w:rPr/>
            </w:pPr>
            <w:r>
              <w:rPr/>
              <w:t> </w:t>
            </w:r>
            <w:bookmarkStart w:id="116" w:name="xdx_401_eus-gaap--OperatingLeaseLiabilit"/>
            <w:bookmarkEnd w:id="116"/>
          </w:p>
        </w:tc>
      </w:tr>
      <w:tr>
        <w:trPr/>
        <w:tc>
          <w:tcPr>
            <w:tcW w:w="6791" w:type="dxa"/>
            <w:tcBorders/>
            <w:shd w:fill="FFFFFF" w:val="clear"/>
            <w:vAlign w:val="center"/>
          </w:tcPr>
          <w:p>
            <w:pPr>
              <w:pStyle w:val="TableContents"/>
              <w:bidi w:val="0"/>
              <w:spacing w:before="0" w:after="283"/>
              <w:jc w:val="left"/>
              <w:rPr/>
            </w:pPr>
            <w:r>
              <w:rPr/>
              <w:t>Operating lease liability</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392,950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17" w:name="xdx_403_eus-gaap--DerivativeLiabilitiesC"/>
            <w:bookmarkEnd w:id="117"/>
          </w:p>
        </w:tc>
      </w:tr>
      <w:tr>
        <w:trPr/>
        <w:tc>
          <w:tcPr>
            <w:tcW w:w="6791" w:type="dxa"/>
            <w:tcBorders/>
            <w:shd w:fill="CCEEFF" w:val="clear"/>
            <w:vAlign w:val="center"/>
          </w:tcPr>
          <w:p>
            <w:pPr>
              <w:pStyle w:val="TableContents"/>
              <w:bidi w:val="0"/>
              <w:spacing w:before="0" w:after="283"/>
              <w:jc w:val="left"/>
              <w:rPr/>
            </w:pPr>
            <w:r>
              <w:rPr/>
              <w:t>Derivative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1,460,000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18" w:name="xdx_406_eus-gaap--ConvertibleNotesPayabl"/>
            <w:bookmarkEnd w:id="118"/>
          </w:p>
        </w:tc>
      </w:tr>
      <w:tr>
        <w:trPr/>
        <w:tc>
          <w:tcPr>
            <w:tcW w:w="6791" w:type="dxa"/>
            <w:tcBorders/>
            <w:shd w:fill="FFFFFF" w:val="clear"/>
            <w:vAlign w:val="center"/>
          </w:tcPr>
          <w:p>
            <w:pPr>
              <w:pStyle w:val="TableContents"/>
              <w:bidi w:val="0"/>
              <w:spacing w:before="0" w:after="283"/>
              <w:jc w:val="left"/>
              <w:rPr/>
            </w:pPr>
            <w:r>
              <w:rPr/>
              <w:t>Convertible notes payable, net of discount and debt issuance costs of $</w:t>
            </w:r>
            <w:bookmarkStart w:id="119" w:name="xdx_902_eus-gaap--DebtInstrumentUnamorti"/>
            <w:bookmarkEnd w:id="119"/>
            <w:r>
              <w:rPr/>
              <w:t>3,379,447 and $</w:t>
            </w:r>
            <w:bookmarkStart w:id="120" w:name="xdx_90D_eus-gaap--DebtInstrumentUnamorti"/>
            <w:bookmarkEnd w:id="120"/>
            <w:r>
              <w:rPr/>
              <w:t>240,896, respectively</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4,144,657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21" w:name="xdx_406_eus-gaap--OtherNotesPayableCurre"/>
            <w:bookmarkEnd w:id="121"/>
          </w:p>
        </w:tc>
      </w:tr>
      <w:tr>
        <w:trPr/>
        <w:tc>
          <w:tcPr>
            <w:tcW w:w="6791" w:type="dxa"/>
            <w:tcBorders/>
            <w:shd w:fill="CCEEFF" w:val="clear"/>
            <w:vAlign w:val="center"/>
          </w:tcPr>
          <w:p>
            <w:pPr>
              <w:pStyle w:val="TableContents"/>
              <w:bidi w:val="0"/>
              <w:spacing w:before="0" w:after="283"/>
              <w:jc w:val="left"/>
              <w:rPr/>
            </w:pPr>
            <w:r>
              <w:rPr/>
              <w:t>Note payable</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CCEEFF" w:val="clear"/>
            <w:tcMar>
              <w:bottom w:w="28" w:type="dxa"/>
            </w:tcMar>
            <w:vAlign w:val="center"/>
          </w:tcPr>
          <w:p>
            <w:pPr>
              <w:pStyle w:val="TableContents"/>
              <w:bidi w:val="0"/>
              <w:spacing w:before="0" w:after="283"/>
              <w:jc w:val="right"/>
              <w:rPr/>
            </w:pPr>
            <w:r>
              <w:rPr/>
              <w:t>9,140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CCEEFF" w:val="clear"/>
            <w:tcMar>
              <w:bottom w:w="28" w:type="dxa"/>
            </w:tcMar>
            <w:vAlign w:val="center"/>
          </w:tcPr>
          <w:p>
            <w:pPr>
              <w:pStyle w:val="TableContents"/>
              <w:bidi w:val="0"/>
              <w:spacing w:before="0" w:after="283"/>
              <w:jc w:val="right"/>
              <w:rPr/>
            </w:pPr>
            <w:r>
              <w:rPr/>
              <w:t>8,524</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22" w:name="xdx_407_eus-gaap--LiabilitiesCurrent_i02"/>
            <w:bookmarkEnd w:id="122"/>
          </w:p>
        </w:tc>
      </w:tr>
      <w:tr>
        <w:trPr/>
        <w:tc>
          <w:tcPr>
            <w:tcW w:w="6791"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CCEEFF" w:val="clear"/>
            <w:tcMar>
              <w:bottom w:w="28" w:type="dxa"/>
            </w:tcMar>
            <w:vAlign w:val="center"/>
          </w:tcPr>
          <w:p>
            <w:pPr>
              <w:pStyle w:val="TableContents"/>
              <w:bidi w:val="0"/>
              <w:spacing w:before="0" w:after="283"/>
              <w:jc w:val="right"/>
              <w:rPr/>
            </w:pPr>
            <w:r>
              <w:rPr/>
              <w:t>6,728,974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CCEEFF" w:val="clear"/>
            <w:tcMar>
              <w:bottom w:w="28" w:type="dxa"/>
            </w:tcMar>
            <w:vAlign w:val="center"/>
          </w:tcPr>
          <w:p>
            <w:pPr>
              <w:pStyle w:val="TableContents"/>
              <w:bidi w:val="0"/>
              <w:spacing w:before="0" w:after="283"/>
              <w:jc w:val="right"/>
              <w:rPr/>
            </w:pPr>
            <w:r>
              <w:rPr/>
              <w:t>1,960,405</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23" w:name="xdx_403_eus-gaap--LiabilitiesNoncurrentA"/>
            <w:bookmarkEnd w:id="123"/>
          </w:p>
        </w:tc>
      </w:tr>
      <w:tr>
        <w:trPr/>
        <w:tc>
          <w:tcPr>
            <w:tcW w:w="6791" w:type="dxa"/>
            <w:tcBorders/>
            <w:shd w:fill="CCEEFF" w:val="clear"/>
            <w:vAlign w:val="center"/>
          </w:tcPr>
          <w:p>
            <w:pPr>
              <w:pStyle w:val="TableContents"/>
              <w:bidi w:val="0"/>
              <w:spacing w:before="0" w:after="283"/>
              <w:jc w:val="left"/>
              <w:rPr>
                <w:b/>
              </w:rPr>
            </w:pPr>
            <w:r>
              <w:rPr>
                <w:b/>
              </w:rPr>
              <w:t>LONG TERM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24" w:name="xdx_406_eus-gaap--OperatingLeaseLiabilit"/>
            <w:bookmarkEnd w:id="124"/>
          </w:p>
        </w:tc>
      </w:tr>
      <w:tr>
        <w:trPr/>
        <w:tc>
          <w:tcPr>
            <w:tcW w:w="6791" w:type="dxa"/>
            <w:tcBorders/>
            <w:shd w:fill="FFFFFF" w:val="clear"/>
            <w:vAlign w:val="center"/>
          </w:tcPr>
          <w:p>
            <w:pPr>
              <w:pStyle w:val="TableContents"/>
              <w:bidi w:val="0"/>
              <w:spacing w:before="0" w:after="283"/>
              <w:jc w:val="left"/>
              <w:rPr/>
            </w:pPr>
            <w:r>
              <w:rPr/>
              <w:t>Operating lease liability</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1,725,073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25" w:name="xdx_404_eus-gaap--LongTermNotesPayable_i"/>
            <w:bookmarkEnd w:id="125"/>
          </w:p>
        </w:tc>
      </w:tr>
      <w:tr>
        <w:trPr/>
        <w:tc>
          <w:tcPr>
            <w:tcW w:w="6791" w:type="dxa"/>
            <w:tcBorders/>
            <w:shd w:fill="CCEEFF" w:val="clear"/>
            <w:vAlign w:val="center"/>
          </w:tcPr>
          <w:p>
            <w:pPr>
              <w:pStyle w:val="TableContents"/>
              <w:bidi w:val="0"/>
              <w:spacing w:before="0" w:after="283"/>
              <w:jc w:val="left"/>
              <w:rPr/>
            </w:pPr>
            <w:r>
              <w:rPr/>
              <w:t>Note payable, net of current portion</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CCEEFF" w:val="clear"/>
            <w:tcMar>
              <w:bottom w:w="28" w:type="dxa"/>
            </w:tcMar>
            <w:vAlign w:val="center"/>
          </w:tcPr>
          <w:p>
            <w:pPr>
              <w:pStyle w:val="TableContents"/>
              <w:bidi w:val="0"/>
              <w:spacing w:before="0" w:after="283"/>
              <w:jc w:val="right"/>
              <w:rPr/>
            </w:pPr>
            <w:r>
              <w:rPr/>
              <w:t>1,418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CCEEFF" w:val="clear"/>
            <w:tcMar>
              <w:bottom w:w="28" w:type="dxa"/>
            </w:tcMar>
            <w:vAlign w:val="center"/>
          </w:tcPr>
          <w:p>
            <w:pPr>
              <w:pStyle w:val="TableContents"/>
              <w:bidi w:val="0"/>
              <w:spacing w:before="0" w:after="283"/>
              <w:jc w:val="right"/>
              <w:rPr/>
            </w:pPr>
            <w:r>
              <w:rPr/>
              <w:t>10,558</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26" w:name="xdx_409_eus-gaap--LiabilitiesNoncurrent_"/>
            <w:bookmarkEnd w:id="126"/>
          </w:p>
        </w:tc>
      </w:tr>
      <w:tr>
        <w:trPr/>
        <w:tc>
          <w:tcPr>
            <w:tcW w:w="6791" w:type="dxa"/>
            <w:tcBorders/>
            <w:shd w:fill="CCEEFF" w:val="clear"/>
            <w:vAlign w:val="center"/>
          </w:tcPr>
          <w:p>
            <w:pPr>
              <w:pStyle w:val="TableContents"/>
              <w:bidi w:val="0"/>
              <w:spacing w:before="0" w:after="283"/>
              <w:jc w:val="left"/>
              <w:rPr/>
            </w:pPr>
            <w:r>
              <w:rPr/>
              <w:t>Total long term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1,726,491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10,558</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27" w:name="xdx_403_eus-gaap--Liabilities_i01TI_mtLz"/>
            <w:bookmarkEnd w:id="127"/>
          </w:p>
        </w:tc>
      </w:tr>
      <w:tr>
        <w:trPr/>
        <w:tc>
          <w:tcPr>
            <w:tcW w:w="6791"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CCEEFF" w:val="clear"/>
            <w:tcMar>
              <w:bottom w:w="28" w:type="dxa"/>
            </w:tcMar>
            <w:vAlign w:val="center"/>
          </w:tcPr>
          <w:p>
            <w:pPr>
              <w:pStyle w:val="TableContents"/>
              <w:bidi w:val="0"/>
              <w:spacing w:before="0" w:after="283"/>
              <w:jc w:val="right"/>
              <w:rPr/>
            </w:pPr>
            <w:r>
              <w:rPr/>
              <w:t>8,455,465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CCEEFF" w:val="clear"/>
            <w:tcMar>
              <w:bottom w:w="28" w:type="dxa"/>
            </w:tcMar>
            <w:vAlign w:val="center"/>
          </w:tcPr>
          <w:p>
            <w:pPr>
              <w:pStyle w:val="TableContents"/>
              <w:bidi w:val="0"/>
              <w:spacing w:before="0" w:after="283"/>
              <w:jc w:val="right"/>
              <w:rPr/>
            </w:pPr>
            <w:r>
              <w:rPr/>
              <w:t>1,970,963</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28" w:name="xdx_40A_eus-gaap--CommitmentsAndContinge"/>
            <w:bookmarkEnd w:id="128"/>
          </w:p>
        </w:tc>
      </w:tr>
      <w:tr>
        <w:trPr/>
        <w:tc>
          <w:tcPr>
            <w:tcW w:w="6791" w:type="dxa"/>
            <w:tcBorders/>
            <w:shd w:fill="CCEEFF" w:val="clear"/>
            <w:vAlign w:val="center"/>
          </w:tcPr>
          <w:p>
            <w:pPr>
              <w:pStyle w:val="TableContents"/>
              <w:bidi w:val="0"/>
              <w:spacing w:before="0" w:after="283"/>
              <w:jc w:val="left"/>
              <w:rPr>
                <w:b/>
              </w:rPr>
            </w:pPr>
            <w:r>
              <w:rPr>
                <w:b/>
              </w:rPr>
              <w:t>Commitments and Contingencies (See Note 18)</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CCEEFF" w:val="clear"/>
            <w:vAlign w:val="center"/>
          </w:tcPr>
          <w:p>
            <w:pPr>
              <w:pStyle w:val="TableContents"/>
              <w:bidi w:val="0"/>
              <w:spacing w:before="0" w:after="283"/>
              <w:jc w:val="left"/>
              <w:rPr/>
            </w:pPr>
            <w:r>
              <w:rPr/>
              <w:t> </w:t>
            </w:r>
          </w:p>
        </w:tc>
      </w:tr>
      <w:tr>
        <w:trPr/>
        <w:tc>
          <w:tcPr>
            <w:tcW w:w="67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29" w:name="xdx_402_eus-gaap--StockholdersEquityAbst"/>
            <w:bookmarkEnd w:id="129"/>
          </w:p>
        </w:tc>
      </w:tr>
      <w:tr>
        <w:trPr/>
        <w:tc>
          <w:tcPr>
            <w:tcW w:w="6791" w:type="dxa"/>
            <w:tcBorders/>
            <w:shd w:fill="CCEEFF" w:val="clear"/>
            <w:vAlign w:val="center"/>
          </w:tcPr>
          <w:p>
            <w:pPr>
              <w:pStyle w:val="TableContents"/>
              <w:bidi w:val="0"/>
              <w:spacing w:before="0" w:after="283"/>
              <w:jc w:val="left"/>
              <w:rPr>
                <w:b/>
              </w:rPr>
            </w:pPr>
            <w:r>
              <w:rPr>
                <w:b/>
              </w:rPr>
              <w:t>STOCKHOLDERS’ EQUITY (DEFICIT)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30" w:name="xdx_403_eus-gaap--CommonStockValue_i02I_"/>
            <w:bookmarkEnd w:id="130"/>
          </w:p>
        </w:tc>
      </w:tr>
      <w:tr>
        <w:trPr/>
        <w:tc>
          <w:tcPr>
            <w:tcW w:w="6791" w:type="dxa"/>
            <w:tcBorders/>
            <w:shd w:fill="FFFFFF" w:val="clear"/>
            <w:vAlign w:val="center"/>
          </w:tcPr>
          <w:p>
            <w:pPr>
              <w:pStyle w:val="TableContents"/>
              <w:bidi w:val="0"/>
              <w:spacing w:before="0" w:after="283"/>
              <w:jc w:val="left"/>
              <w:rPr/>
            </w:pPr>
            <w:r>
              <w:rPr/>
              <w:t>Common stock, $</w:t>
            </w:r>
            <w:bookmarkStart w:id="131" w:name="xdx_90D_eus-gaap--CommonStockParOrStated"/>
            <w:bookmarkStart w:id="132" w:name="xdx_902_eus-gaap--CommonStockParOrStated"/>
            <w:bookmarkEnd w:id="131"/>
            <w:bookmarkEnd w:id="132"/>
            <w:r>
              <w:rPr/>
              <w:t xml:space="preserve">0.0002 par value, </w:t>
            </w:r>
            <w:bookmarkStart w:id="133" w:name="xdx_904_eus-gaap--CommonStockSharesAutho"/>
            <w:bookmarkStart w:id="134" w:name="xdx_900_eus-gaap--CommonStockSharesAutho"/>
            <w:bookmarkEnd w:id="133"/>
            <w:bookmarkEnd w:id="134"/>
            <w:r>
              <w:rPr/>
              <w:t xml:space="preserve">200,000,000 authorized, </w:t>
            </w:r>
            <w:bookmarkStart w:id="135" w:name="xdx_90A_eus-gaap--CommonStockSharesOutst"/>
            <w:bookmarkStart w:id="136" w:name="xdx_90C_eus-gaap--CommonStockSharesIssue"/>
            <w:bookmarkEnd w:id="135"/>
            <w:bookmarkEnd w:id="136"/>
            <w:r>
              <w:rPr/>
              <w:t xml:space="preserve">34,213,387 and </w:t>
            </w:r>
            <w:bookmarkStart w:id="137" w:name="xdx_901_eus-gaap--CommonStockSharesOutst"/>
            <w:bookmarkStart w:id="138" w:name="xdx_902_eus-gaap--CommonStockSharesIssue"/>
            <w:bookmarkEnd w:id="137"/>
            <w:bookmarkEnd w:id="138"/>
            <w:r>
              <w:rPr/>
              <w:t>29,120,905 issued and outstanding at December 31, 2025 and December 31, 2024</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6,841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5,822</w:t>
            </w:r>
          </w:p>
        </w:tc>
        <w:tc>
          <w:tcPr>
            <w:tcW w:w="113" w:type="dxa"/>
            <w:tcBorders/>
            <w:shd w:fill="FFFFFF" w:val="clear"/>
            <w:vAlign w:val="center"/>
          </w:tcPr>
          <w:p>
            <w:pPr>
              <w:pStyle w:val="TableContents"/>
              <w:bidi w:val="0"/>
              <w:spacing w:before="0" w:after="283"/>
              <w:jc w:val="left"/>
              <w:rPr/>
            </w:pPr>
            <w:r>
              <w:rPr/>
              <w:t> </w:t>
            </w:r>
            <w:bookmarkStart w:id="139" w:name="xdx_402_eus-gaap--AdditionalPaidInCapita"/>
            <w:bookmarkEnd w:id="139"/>
          </w:p>
        </w:tc>
      </w:tr>
      <w:tr>
        <w:trPr/>
        <w:tc>
          <w:tcPr>
            <w:tcW w:w="6791"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31,215,698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379" w:type="dxa"/>
            <w:tcBorders/>
            <w:shd w:fill="CCEEFF" w:val="clear"/>
            <w:vAlign w:val="center"/>
          </w:tcPr>
          <w:p>
            <w:pPr>
              <w:pStyle w:val="TableContents"/>
              <w:bidi w:val="0"/>
              <w:spacing w:before="0" w:after="283"/>
              <w:jc w:val="right"/>
              <w:rPr/>
            </w:pPr>
            <w:r>
              <w:rPr/>
              <w:t>14,984,561</w:t>
            </w:r>
          </w:p>
        </w:tc>
        <w:tc>
          <w:tcPr>
            <w:tcW w:w="113" w:type="dxa"/>
            <w:tcBorders/>
            <w:shd w:fill="CCEEFF" w:val="clear"/>
            <w:vAlign w:val="center"/>
          </w:tcPr>
          <w:p>
            <w:pPr>
              <w:pStyle w:val="TableContents"/>
              <w:bidi w:val="0"/>
              <w:spacing w:before="0" w:after="283"/>
              <w:jc w:val="left"/>
              <w:rPr/>
            </w:pPr>
            <w:r>
              <w:rPr/>
              <w:t> </w:t>
            </w:r>
            <w:bookmarkStart w:id="140" w:name="xdx_40A_ecustom--SubscriptionReceivable_"/>
            <w:bookmarkEnd w:id="140"/>
          </w:p>
        </w:tc>
      </w:tr>
      <w:tr>
        <w:trPr/>
        <w:tc>
          <w:tcPr>
            <w:tcW w:w="6791" w:type="dxa"/>
            <w:tcBorders/>
            <w:shd w:fill="FFFFFF" w:val="clear"/>
            <w:vAlign w:val="center"/>
          </w:tcPr>
          <w:p>
            <w:pPr>
              <w:pStyle w:val="TableContents"/>
              <w:bidi w:val="0"/>
              <w:spacing w:before="0" w:after="283"/>
              <w:jc w:val="left"/>
              <w:rPr/>
            </w:pPr>
            <w:r>
              <w:rPr/>
              <w:t>Subscription receivable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(53,003</w:t>
            </w:r>
          </w:p>
        </w:tc>
        <w:tc>
          <w:tcPr>
            <w:tcW w:w="113" w:type="dxa"/>
            <w:tcBorders/>
            <w:shd w:fill="FFFFFF" w:val="clear"/>
            <w:vAlign w:val="center"/>
          </w:tcPr>
          <w:p>
            <w:pPr>
              <w:pStyle w:val="TableContents"/>
              <w:bidi w:val="0"/>
              <w:spacing w:before="0" w:after="283"/>
              <w:jc w:val="left"/>
              <w:rPr/>
            </w:pPr>
            <w:r>
              <w:rPr/>
              <w:t>)</w:t>
            </w:r>
            <w:bookmarkStart w:id="141" w:name="xdx_408_eus-gaap--RetainedEarningsAccumu"/>
            <w:bookmarkEnd w:id="141"/>
          </w:p>
        </w:tc>
      </w:tr>
      <w:tr>
        <w:trPr/>
        <w:tc>
          <w:tcPr>
            <w:tcW w:w="6791"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CCEEFF" w:val="clear"/>
            <w:tcMar>
              <w:bottom w:w="28" w:type="dxa"/>
            </w:tcMar>
            <w:vAlign w:val="center"/>
          </w:tcPr>
          <w:p>
            <w:pPr>
              <w:pStyle w:val="TableContents"/>
              <w:bidi w:val="0"/>
              <w:spacing w:before="0" w:after="283"/>
              <w:jc w:val="right"/>
              <w:rPr/>
            </w:pPr>
            <w:r>
              <w:rPr/>
              <w:t>(28,746,939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CCEEFF" w:val="clear"/>
            <w:tcMar>
              <w:bottom w:w="28" w:type="dxa"/>
            </w:tcMar>
            <w:vAlign w:val="center"/>
          </w:tcPr>
          <w:p>
            <w:pPr>
              <w:pStyle w:val="TableContents"/>
              <w:bidi w:val="0"/>
              <w:spacing w:before="0" w:after="283"/>
              <w:jc w:val="right"/>
              <w:rPr/>
            </w:pPr>
            <w:r>
              <w:rPr/>
              <w:t>(15,920,555</w:t>
            </w:r>
          </w:p>
        </w:tc>
        <w:tc>
          <w:tcPr>
            <w:tcW w:w="113" w:type="dxa"/>
            <w:tcBorders/>
            <w:shd w:fill="CCEEFF" w:val="clear"/>
            <w:vAlign w:val="center"/>
          </w:tcPr>
          <w:p>
            <w:pPr>
              <w:pStyle w:val="TableContents"/>
              <w:bidi w:val="0"/>
              <w:spacing w:before="0" w:after="283"/>
              <w:jc w:val="left"/>
              <w:rPr/>
            </w:pPr>
            <w:r>
              <w:rPr/>
              <w:t>)</w:t>
            </w:r>
          </w:p>
        </w:tc>
      </w:tr>
      <w:tr>
        <w:trPr/>
        <w:tc>
          <w:tcPr>
            <w:tcW w:w="67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42" w:name="xdx_40A_eus-gaap--StockholdersEquity_i02"/>
            <w:bookmarkEnd w:id="142"/>
          </w:p>
        </w:tc>
      </w:tr>
      <w:tr>
        <w:trPr/>
        <w:tc>
          <w:tcPr>
            <w:tcW w:w="6791" w:type="dxa"/>
            <w:tcBorders/>
            <w:shd w:fill="CCEEFF" w:val="clear"/>
            <w:vAlign w:val="center"/>
          </w:tcPr>
          <w:p>
            <w:pPr>
              <w:pStyle w:val="TableContents"/>
              <w:bidi w:val="0"/>
              <w:spacing w:before="0" w:after="283"/>
              <w:jc w:val="left"/>
              <w:rPr/>
            </w:pPr>
            <w:r>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CCEEFF" w:val="clear"/>
            <w:tcMar>
              <w:bottom w:w="28" w:type="dxa"/>
            </w:tcMar>
            <w:vAlign w:val="center"/>
          </w:tcPr>
          <w:p>
            <w:pPr>
              <w:pStyle w:val="TableContents"/>
              <w:bidi w:val="0"/>
              <w:spacing w:before="0" w:after="283"/>
              <w:jc w:val="right"/>
              <w:rPr/>
            </w:pPr>
            <w:r>
              <w:rPr/>
              <w:t>2,475,600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CCEEFF" w:val="clear"/>
            <w:tcMar>
              <w:bottom w:w="28" w:type="dxa"/>
            </w:tcMar>
            <w:vAlign w:val="center"/>
          </w:tcPr>
          <w:p>
            <w:pPr>
              <w:pStyle w:val="TableContents"/>
              <w:bidi w:val="0"/>
              <w:spacing w:before="0" w:after="283"/>
              <w:jc w:val="right"/>
              <w:rPr/>
            </w:pPr>
            <w:r>
              <w:rPr/>
              <w:t>(983,175</w:t>
            </w:r>
          </w:p>
        </w:tc>
        <w:tc>
          <w:tcPr>
            <w:tcW w:w="113" w:type="dxa"/>
            <w:tcBorders/>
            <w:shd w:fill="CCEEFF" w:val="clear"/>
            <w:vAlign w:val="center"/>
          </w:tcPr>
          <w:p>
            <w:pPr>
              <w:pStyle w:val="TableContents"/>
              <w:bidi w:val="0"/>
              <w:spacing w:before="0" w:after="283"/>
              <w:jc w:val="left"/>
              <w:rPr/>
            </w:pPr>
            <w:r>
              <w:rPr/>
              <w:t>)</w:t>
            </w:r>
          </w:p>
        </w:tc>
      </w:tr>
      <w:tr>
        <w:trPr/>
        <w:tc>
          <w:tcPr>
            <w:tcW w:w="67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43" w:name="xdx_40C_eus-gaap--LiabilitiesAndStockhol"/>
            <w:bookmarkEnd w:id="143"/>
          </w:p>
        </w:tc>
      </w:tr>
      <w:tr>
        <w:trPr/>
        <w:tc>
          <w:tcPr>
            <w:tcW w:w="6791" w:type="dxa"/>
            <w:tcBorders/>
            <w:shd w:fill="CCEEFF" w:val="clear"/>
            <w:vAlign w:val="center"/>
          </w:tcPr>
          <w:p>
            <w:pPr>
              <w:pStyle w:val="TableContents"/>
              <w:bidi w:val="0"/>
              <w:spacing w:before="0" w:after="283"/>
              <w:jc w:val="left"/>
              <w:rPr>
                <w:b/>
              </w:rPr>
            </w:pPr>
            <w:r>
              <w:rPr>
                <w:b/>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79" w:type="dxa"/>
            <w:tcBorders>
              <w:bottom w:val="double" w:sz="6" w:space="0" w:color="000000"/>
            </w:tcBorders>
            <w:shd w:fill="CCEEFF" w:val="clear"/>
            <w:tcMar>
              <w:bottom w:w="28" w:type="dxa"/>
            </w:tcMar>
            <w:vAlign w:val="center"/>
          </w:tcPr>
          <w:p>
            <w:pPr>
              <w:pStyle w:val="TableContents"/>
              <w:bidi w:val="0"/>
              <w:spacing w:before="0" w:after="283"/>
              <w:jc w:val="right"/>
              <w:rPr/>
            </w:pPr>
            <w:r>
              <w:rPr/>
              <w:t>10,931,065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79" w:type="dxa"/>
            <w:tcBorders>
              <w:bottom w:val="double" w:sz="6" w:space="0" w:color="000000"/>
            </w:tcBorders>
            <w:shd w:fill="CCEEFF" w:val="clear"/>
            <w:tcMar>
              <w:bottom w:w="28" w:type="dxa"/>
            </w:tcMar>
            <w:vAlign w:val="center"/>
          </w:tcPr>
          <w:p>
            <w:pPr>
              <w:pStyle w:val="TableContents"/>
              <w:bidi w:val="0"/>
              <w:spacing w:before="0" w:after="283"/>
              <w:jc w:val="right"/>
              <w:rPr/>
            </w:pPr>
            <w:r>
              <w:rPr/>
              <w:t>987,788</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4" w:name="fin_002"/>
      <w:bookmarkEnd w:id="144"/>
      <w:r>
        <w:rPr>
          <w:rFonts w:ascii="Times New Roman;Times;Serif" w:hAnsi="Times New Roman;Times;Serif"/>
          <w:b/>
          <w:i w:val="false"/>
          <w:caps w:val="false"/>
          <w:smallCaps w:val="false"/>
          <w:sz w:val="20"/>
        </w:rPr>
        <w:t xml:space="preserve">ARRIVE AI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5" w:name="xdx_300_113_zVvpe7ygwiR4"/>
      <w:bookmarkStart w:id="146" w:name="xdx_300_113_zVvpe7ygwiR4"/>
      <w:bookmarkEnd w:id="146"/>
    </w:p>
    <w:tbl>
      <w:tblPr>
        <w:tblW w:w="9800" w:type="dxa"/>
        <w:jc w:val="left"/>
        <w:tblInd w:w="0" w:type="dxa"/>
        <w:tblLayout w:type="fixed"/>
        <w:tblCellMar>
          <w:top w:w="0" w:type="dxa"/>
          <w:left w:w="0" w:type="dxa"/>
          <w:bottom w:w="0" w:type="dxa"/>
          <w:right w:w="0" w:type="dxa"/>
        </w:tblCellMar>
      </w:tblPr>
      <w:tblGrid>
        <w:gridCol w:w="6920"/>
        <w:gridCol w:w="60"/>
        <w:gridCol w:w="140"/>
        <w:gridCol w:w="1175"/>
        <w:gridCol w:w="95"/>
        <w:gridCol w:w="60"/>
        <w:gridCol w:w="140"/>
        <w:gridCol w:w="1100"/>
        <w:gridCol w:w="110"/>
      </w:tblGrid>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7" w:name="xdx_495_20250101__20251231_zazyDLSSNPvh"/>
            <w:bookmarkEnd w:id="147"/>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8" w:name="xdx_49B_20240101__20241231_zDmlt63tTRRd"/>
            <w:bookmarkEnd w:id="148"/>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49" w:name="xdx_40A_eus-gaap--RevenueFromContractWit"/>
            <w:bookmarkEnd w:id="149"/>
          </w:p>
        </w:tc>
      </w:tr>
      <w:tr>
        <w:trPr/>
        <w:tc>
          <w:tcPr>
            <w:tcW w:w="692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113,250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0" w:name="xdx_40B_eus-gaap--OperatingExpensesAbstr"/>
            <w:bookmarkEnd w:id="150"/>
          </w:p>
        </w:tc>
      </w:tr>
      <w:tr>
        <w:trPr/>
        <w:tc>
          <w:tcPr>
            <w:tcW w:w="692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1" w:name="xdx_40F_eus-gaap--GeneralAndAdministrati"/>
            <w:bookmarkEnd w:id="151"/>
          </w:p>
        </w:tc>
      </w:tr>
      <w:tr>
        <w:trPr/>
        <w:tc>
          <w:tcPr>
            <w:tcW w:w="692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9,636,140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3,546,520</w:t>
            </w:r>
          </w:p>
        </w:tc>
        <w:tc>
          <w:tcPr>
            <w:tcW w:w="110" w:type="dxa"/>
            <w:tcBorders/>
            <w:shd w:fill="FFFFFF" w:val="clear"/>
            <w:vAlign w:val="center"/>
          </w:tcPr>
          <w:p>
            <w:pPr>
              <w:pStyle w:val="TableContents"/>
              <w:bidi w:val="0"/>
              <w:spacing w:before="0" w:after="283"/>
              <w:jc w:val="left"/>
              <w:rPr/>
            </w:pPr>
            <w:r>
              <w:rPr/>
              <w:t> </w:t>
            </w:r>
            <w:bookmarkStart w:id="152" w:name="xdx_40D_eus-gaap--ResearchAndDevelopment"/>
            <w:bookmarkEnd w:id="152"/>
          </w:p>
        </w:tc>
      </w:tr>
      <w:tr>
        <w:trPr/>
        <w:tc>
          <w:tcPr>
            <w:tcW w:w="692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600,510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760,036</w:t>
            </w:r>
          </w:p>
        </w:tc>
        <w:tc>
          <w:tcPr>
            <w:tcW w:w="110" w:type="dxa"/>
            <w:tcBorders/>
            <w:shd w:fill="CCEEFF" w:val="clear"/>
            <w:vAlign w:val="center"/>
          </w:tcPr>
          <w:p>
            <w:pPr>
              <w:pStyle w:val="TableContents"/>
              <w:bidi w:val="0"/>
              <w:spacing w:before="0" w:after="283"/>
              <w:jc w:val="left"/>
              <w:rPr/>
            </w:pPr>
            <w:r>
              <w:rPr/>
              <w:t> </w:t>
            </w:r>
            <w:bookmarkStart w:id="153" w:name="xdx_408_eus-gaap--SellingAndMarketingExp"/>
            <w:bookmarkEnd w:id="153"/>
          </w:p>
        </w:tc>
      </w:tr>
      <w:tr>
        <w:trPr/>
        <w:tc>
          <w:tcPr>
            <w:tcW w:w="692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229,206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266,182</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4" w:name="xdx_401_eus-gaap--OperatingExpenses_iT_m"/>
            <w:bookmarkEnd w:id="154"/>
          </w:p>
        </w:tc>
      </w:tr>
      <w:tr>
        <w:trPr/>
        <w:tc>
          <w:tcPr>
            <w:tcW w:w="692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10,465,856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4,572,738</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5" w:name="xdx_409_eus-gaap--NonoperatingIncomeExpe"/>
            <w:bookmarkEnd w:id="155"/>
          </w:p>
        </w:tc>
      </w:tr>
      <w:tr>
        <w:trPr/>
        <w:tc>
          <w:tcPr>
            <w:tcW w:w="6920" w:type="dxa"/>
            <w:tcBorders/>
            <w:shd w:fill="FFFFFF" w:val="clear"/>
            <w:vAlign w:val="center"/>
          </w:tcPr>
          <w:p>
            <w:pPr>
              <w:pStyle w:val="TableContents"/>
              <w:bidi w:val="0"/>
              <w:spacing w:before="0" w:after="283"/>
              <w:jc w:val="left"/>
              <w:rPr>
                <w:b/>
              </w:rPr>
            </w:pPr>
            <w:r>
              <w:rPr>
                <w:b/>
              </w:rPr>
              <w:t>OTHER INCOME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6" w:name="xdx_40F_eus-gaap--OtherNonoperatingExpen"/>
            <w:bookmarkEnd w:id="156"/>
          </w:p>
        </w:tc>
      </w:tr>
      <w:tr>
        <w:trPr/>
        <w:tc>
          <w:tcPr>
            <w:tcW w:w="692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(686,897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(4,645</w:t>
            </w:r>
          </w:p>
        </w:tc>
        <w:tc>
          <w:tcPr>
            <w:tcW w:w="110" w:type="dxa"/>
            <w:tcBorders/>
            <w:shd w:fill="CCEEFF" w:val="clear"/>
            <w:vAlign w:val="center"/>
          </w:tcPr>
          <w:p>
            <w:pPr>
              <w:pStyle w:val="TableContents"/>
              <w:bidi w:val="0"/>
              <w:spacing w:before="0" w:after="283"/>
              <w:jc w:val="left"/>
              <w:rPr/>
            </w:pPr>
            <w:r>
              <w:rPr/>
              <w:t>)</w:t>
            </w:r>
            <w:bookmarkStart w:id="157" w:name="xdx_40B_eus-gaap--OtherNonoperatingIncom"/>
            <w:bookmarkEnd w:id="157"/>
          </w:p>
        </w:tc>
      </w:tr>
      <w:tr>
        <w:trPr/>
        <w:tc>
          <w:tcPr>
            <w:tcW w:w="692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108,351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39,482</w:t>
            </w:r>
          </w:p>
        </w:tc>
        <w:tc>
          <w:tcPr>
            <w:tcW w:w="110" w:type="dxa"/>
            <w:tcBorders/>
            <w:shd w:fill="FFFFFF" w:val="clear"/>
            <w:vAlign w:val="center"/>
          </w:tcPr>
          <w:p>
            <w:pPr>
              <w:pStyle w:val="TableContents"/>
              <w:bidi w:val="0"/>
              <w:spacing w:before="0" w:after="283"/>
              <w:jc w:val="left"/>
              <w:rPr/>
            </w:pPr>
            <w:r>
              <w:rPr/>
              <w:t> </w:t>
            </w:r>
            <w:bookmarkStart w:id="158" w:name="xdx_40C_eus-gaap--DerivativeGainLossOnDe"/>
            <w:bookmarkEnd w:id="158"/>
          </w:p>
        </w:tc>
      </w:tr>
      <w:tr>
        <w:trPr/>
        <w:tc>
          <w:tcPr>
            <w:tcW w:w="6920"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1,516,266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59" w:name="xdx_40F_ecustom--AccretionOfDebtDiscount"/>
            <w:bookmarkEnd w:id="159"/>
          </w:p>
        </w:tc>
      </w:tr>
      <w:tr>
        <w:trPr/>
        <w:tc>
          <w:tcPr>
            <w:tcW w:w="6920" w:type="dxa"/>
            <w:tcBorders/>
            <w:shd w:fill="FFFFFF" w:val="clear"/>
            <w:vAlign w:val="center"/>
          </w:tcPr>
          <w:p>
            <w:pPr>
              <w:pStyle w:val="TableContents"/>
              <w:bidi w:val="0"/>
              <w:spacing w:before="0" w:after="283"/>
              <w:jc w:val="left"/>
              <w:rPr/>
            </w:pPr>
            <w:r>
              <w:rPr/>
              <w:t>Accretion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(249,530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60" w:name="xdx_40C_ecustom--LossOnConversionOfConve"/>
            <w:bookmarkEnd w:id="160"/>
          </w:p>
        </w:tc>
      </w:tr>
      <w:tr>
        <w:trPr/>
        <w:tc>
          <w:tcPr>
            <w:tcW w:w="6920" w:type="dxa"/>
            <w:tcBorders/>
            <w:shd w:fill="CCEEFF" w:val="clear"/>
            <w:vAlign w:val="center"/>
          </w:tcPr>
          <w:p>
            <w:pPr>
              <w:pStyle w:val="TableContents"/>
              <w:bidi w:val="0"/>
              <w:spacing w:before="0" w:after="283"/>
              <w:jc w:val="left"/>
              <w:rPr/>
            </w:pPr>
            <w:r>
              <w:rPr/>
              <w:t>Loss on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(3,295,072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61" w:name="xdx_40B_eus-gaap--RealizedInvestmentGain"/>
            <w:bookmarkEnd w:id="161"/>
          </w:p>
        </w:tc>
      </w:tr>
      <w:tr>
        <w:trPr/>
        <w:tc>
          <w:tcPr>
            <w:tcW w:w="6920" w:type="dxa"/>
            <w:tcBorders/>
            <w:shd w:fill="FFFFFF" w:val="clear"/>
            <w:vAlign w:val="center"/>
          </w:tcPr>
          <w:p>
            <w:pPr>
              <w:pStyle w:val="TableContents"/>
              <w:bidi w:val="0"/>
              <w:spacing w:before="0" w:after="283"/>
              <w:jc w:val="left"/>
              <w:rPr/>
            </w:pPr>
            <w:r>
              <w:rPr/>
              <w:t>Realized gain on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133,104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2" w:name="xdx_402_eus-gaap--NonoperatingIncomeExpe"/>
            <w:bookmarkEnd w:id="162"/>
          </w:p>
        </w:tc>
      </w:tr>
      <w:tr>
        <w:trPr/>
        <w:tc>
          <w:tcPr>
            <w:tcW w:w="6920" w:type="dxa"/>
            <w:tcBorders/>
            <w:shd w:fill="FFFFFF" w:val="clear"/>
            <w:vAlign w:val="center"/>
          </w:tcPr>
          <w:p>
            <w:pPr>
              <w:pStyle w:val="TableContents"/>
              <w:bidi w:val="0"/>
              <w:spacing w:before="0" w:after="283"/>
              <w:jc w:val="left"/>
              <w:rPr/>
            </w:pPr>
            <w:r>
              <w:rPr/>
              <w:t>Total other income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(2,473,778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34,837</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3" w:name="xdx_40C_eus-gaap--IncomeLossFromContinui"/>
            <w:bookmarkEnd w:id="163"/>
          </w:p>
        </w:tc>
      </w:tr>
      <w:tr>
        <w:trPr/>
        <w:tc>
          <w:tcPr>
            <w:tcW w:w="6920" w:type="dxa"/>
            <w:tcBorders/>
            <w:shd w:fill="FFFFFF" w:val="clear"/>
            <w:vAlign w:val="center"/>
          </w:tcPr>
          <w:p>
            <w:pPr>
              <w:pStyle w:val="TableContents"/>
              <w:bidi w:val="0"/>
              <w:spacing w:before="0" w:after="283"/>
              <w:jc w:val="left"/>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(12,826,384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(4,537,901</w:t>
            </w:r>
          </w:p>
        </w:tc>
        <w:tc>
          <w:tcPr>
            <w:tcW w:w="110" w:type="dxa"/>
            <w:tcBorders/>
            <w:shd w:fill="FFFFFF" w:val="clear"/>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4" w:name="xdx_40B_eus-gaap--IncomeTaxExpenseBenefi"/>
            <w:bookmarkEnd w:id="164"/>
          </w:p>
        </w:tc>
      </w:tr>
      <w:tr>
        <w:trPr/>
        <w:tc>
          <w:tcPr>
            <w:tcW w:w="6920" w:type="dxa"/>
            <w:tcBorders/>
            <w:shd w:fill="FFFFFF" w:val="clear"/>
            <w:vAlign w:val="center"/>
          </w:tcPr>
          <w:p>
            <w:pPr>
              <w:pStyle w:val="TableContents"/>
              <w:bidi w:val="0"/>
              <w:spacing w:before="0" w:after="283"/>
              <w:jc w:val="left"/>
              <w:rPr>
                <w:b/>
              </w:rPr>
            </w:pPr>
            <w:r>
              <w:rPr>
                <w:b/>
              </w:rPr>
              <w:t>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5" w:name="xdx_40E_eus-gaap--NetIncomeLoss_iT_mtCzJ"/>
            <w:bookmarkEnd w:id="165"/>
          </w:p>
        </w:tc>
      </w:tr>
      <w:tr>
        <w:trPr/>
        <w:tc>
          <w:tcPr>
            <w:tcW w:w="692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(12,826,384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(4,537,901</w:t>
            </w:r>
          </w:p>
        </w:tc>
        <w:tc>
          <w:tcPr>
            <w:tcW w:w="110" w:type="dxa"/>
            <w:tcBorders/>
            <w:shd w:fill="FFFFFF" w:val="clear"/>
            <w:vAlign w:val="center"/>
          </w:tcPr>
          <w:p>
            <w:pPr>
              <w:pStyle w:val="TableContents"/>
              <w:bidi w:val="0"/>
              <w:spacing w:before="0" w:after="283"/>
              <w:jc w:val="left"/>
              <w:rPr/>
            </w:pPr>
            <w:r>
              <w:rPr/>
              <w:t>)</w:t>
            </w:r>
          </w:p>
        </w:tc>
      </w:tr>
      <w:tr>
        <w:trPr/>
        <w:tc>
          <w:tcPr>
            <w:tcW w:w="6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6" w:name="xdx_40C_eus-gaap--EarningsPerShareAbstra"/>
            <w:bookmarkEnd w:id="166"/>
          </w:p>
        </w:tc>
      </w:tr>
      <w:tr>
        <w:trPr/>
        <w:tc>
          <w:tcPr>
            <w:tcW w:w="6920" w:type="dxa"/>
            <w:tcBorders/>
            <w:shd w:fill="FFFFFF" w:val="clear"/>
            <w:vAlign w:val="center"/>
          </w:tcPr>
          <w:p>
            <w:pPr>
              <w:pStyle w:val="TableContents"/>
              <w:bidi w:val="0"/>
              <w:spacing w:before="0" w:after="283"/>
              <w:jc w:val="left"/>
              <w:rPr>
                <w:b/>
              </w:rPr>
            </w:pPr>
            <w:r>
              <w:rPr>
                <w:b/>
              </w:rPr>
              <w:t>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20"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67" w:name="xdx_900_eus-gaap--EarningsPerShareDilute"/>
            <w:bookmarkStart w:id="168" w:name="xdx_900_eus-gaap--EarningsPerShareBasic_"/>
            <w:bookmarkEnd w:id="167"/>
            <w:bookmarkEnd w:id="168"/>
            <w:r>
              <w:rPr/>
              <w:t>(0.40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69" w:name="xdx_903_eus-gaap--EarningsPerShareDilute"/>
            <w:bookmarkStart w:id="170" w:name="xdx_903_eus-gaap--EarningsPerShareBasic_"/>
            <w:bookmarkEnd w:id="169"/>
            <w:bookmarkEnd w:id="170"/>
            <w:r>
              <w:rPr/>
              <w:t>(0.16</w:t>
            </w:r>
          </w:p>
        </w:tc>
        <w:tc>
          <w:tcPr>
            <w:tcW w:w="110" w:type="dxa"/>
            <w:tcBorders/>
            <w:shd w:fill="CCEEFF" w:val="clear"/>
            <w:vAlign w:val="center"/>
          </w:tcPr>
          <w:p>
            <w:pPr>
              <w:pStyle w:val="TableContents"/>
              <w:bidi w:val="0"/>
              <w:spacing w:before="0" w:after="283"/>
              <w:jc w:val="left"/>
              <w:rPr/>
            </w:pPr>
            <w:r>
              <w:rPr/>
              <w:t>)</w:t>
            </w:r>
          </w:p>
        </w:tc>
      </w:tr>
      <w:tr>
        <w:trPr/>
        <w:tc>
          <w:tcPr>
            <w:tcW w:w="6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1" w:name="xdx_40F_eus-gaap--WeightedAverageNumberO"/>
            <w:bookmarkEnd w:id="171"/>
          </w:p>
        </w:tc>
      </w:tr>
      <w:tr>
        <w:trPr/>
        <w:tc>
          <w:tcPr>
            <w:tcW w:w="6920" w:type="dxa"/>
            <w:tcBorders/>
            <w:shd w:fill="CCEEFF" w:val="clear"/>
            <w:vAlign w:val="center"/>
          </w:tcPr>
          <w:p>
            <w:pPr>
              <w:pStyle w:val="TableContents"/>
              <w:bidi w:val="0"/>
              <w:spacing w:before="0" w:after="283"/>
              <w:jc w:val="left"/>
              <w:rPr>
                <w:b/>
              </w:rPr>
            </w:pPr>
            <w:r>
              <w:rPr>
                <w:b/>
              </w:rPr>
              <w:t>WEIGHTED-AVERAGE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20" w:type="dxa"/>
            <w:tcBorders/>
            <w:shd w:fill="FFFF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72" w:name="xdx_90C_eus-gaap--WeightedAverageNumberO"/>
            <w:bookmarkStart w:id="173" w:name="xdx_90C_eus-gaap--WeightedAverageNumberO"/>
            <w:bookmarkEnd w:id="172"/>
            <w:bookmarkEnd w:id="173"/>
            <w:r>
              <w:rPr/>
              <w:t>32,195,123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74" w:name="xdx_90A_eus-gaap--WeightedAverageNumberO"/>
            <w:bookmarkStart w:id="175" w:name="xdx_907_eus-gaap--WeightedAverageNumberO"/>
            <w:bookmarkEnd w:id="174"/>
            <w:bookmarkEnd w:id="175"/>
            <w:r>
              <w:rPr/>
              <w:t>28,971,543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6" w:name="fin_003"/>
      <w:bookmarkEnd w:id="176"/>
      <w:r>
        <w:rPr>
          <w:rFonts w:ascii="Times New Roman;Times;Serif" w:hAnsi="Times New Roman;Times;Serif"/>
          <w:b/>
          <w:i w:val="false"/>
          <w:caps w:val="false"/>
          <w:smallCaps w:val="false"/>
          <w:sz w:val="20"/>
        </w:rPr>
        <w:t>ARRIVE AI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OF CHANGES IN STOCKHOLDERS’ EQUITY (DEFICIT)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77" w:name="xdx_306_114_zWuyOXR2Np9c"/>
      <w:bookmarkStart w:id="178" w:name="xdx_306_114_zWuyOXR2Np9c"/>
      <w:bookmarkEnd w:id="178"/>
    </w:p>
    <w:tbl>
      <w:tblPr>
        <w:tblW w:w="12400" w:type="dxa"/>
        <w:jc w:val="left"/>
        <w:tblInd w:w="0" w:type="dxa"/>
        <w:tblLayout w:type="fixed"/>
        <w:tblCellMar>
          <w:top w:w="0" w:type="dxa"/>
          <w:left w:w="0" w:type="dxa"/>
          <w:bottom w:w="0" w:type="dxa"/>
          <w:right w:w="0" w:type="dxa"/>
        </w:tblCellMar>
      </w:tblPr>
      <w:tblGrid>
        <w:gridCol w:w="1520"/>
        <w:gridCol w:w="60"/>
        <w:gridCol w:w="60"/>
        <w:gridCol w:w="1100"/>
        <w:gridCol w:w="95"/>
        <w:gridCol w:w="60"/>
        <w:gridCol w:w="193"/>
        <w:gridCol w:w="772"/>
        <w:gridCol w:w="95"/>
        <w:gridCol w:w="60"/>
        <w:gridCol w:w="60"/>
        <w:gridCol w:w="1140"/>
        <w:gridCol w:w="95"/>
        <w:gridCol w:w="60"/>
        <w:gridCol w:w="150"/>
        <w:gridCol w:w="815"/>
        <w:gridCol w:w="95"/>
        <w:gridCol w:w="60"/>
        <w:gridCol w:w="140"/>
        <w:gridCol w:w="1100"/>
        <w:gridCol w:w="95"/>
        <w:gridCol w:w="60"/>
        <w:gridCol w:w="204"/>
        <w:gridCol w:w="1106"/>
        <w:gridCol w:w="95"/>
        <w:gridCol w:w="60"/>
        <w:gridCol w:w="145"/>
        <w:gridCol w:w="1225"/>
        <w:gridCol w:w="95"/>
        <w:gridCol w:w="60"/>
        <w:gridCol w:w="150"/>
        <w:gridCol w:w="1265"/>
        <w:gridCol w:w="110"/>
      </w:tblGrid>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79" w:name="xdx_4B7_us-gaap--StatementEquityComponen"/>
            <w:bookmarkEnd w:id="179"/>
          </w:p>
        </w:tc>
        <w:tc>
          <w:tcPr>
            <w:tcW w:w="96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0" w:name="xdx_4B4_us-gaap--StatementEquityComponen"/>
            <w:bookmarkEnd w:id="180"/>
          </w:p>
        </w:tc>
        <w:tc>
          <w:tcPr>
            <w:tcW w:w="96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1" w:name="xdx_4B2_us-gaap--StatementEquityComponen"/>
            <w:bookmarkEnd w:id="181"/>
          </w:p>
        </w:tc>
        <w:tc>
          <w:tcPr>
            <w:tcW w:w="1240" w:type="dxa"/>
            <w:gridSpan w:val="2"/>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2" w:name="xdx_4B6_us-gaap--StatementEquityComponen"/>
            <w:bookmarkEnd w:id="182"/>
          </w:p>
        </w:tc>
        <w:tc>
          <w:tcPr>
            <w:tcW w:w="13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3" w:name="xdx_4B5_us-gaap--StatementEquityComponen"/>
            <w:bookmarkEnd w:id="183"/>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84" w:name="xdx_4B6_zJXTdc0gqZbe"/>
            <w:bookmarkEnd w:id="184"/>
          </w:p>
        </w:tc>
        <w:tc>
          <w:tcPr>
            <w:tcW w:w="14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Common 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Treasury 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Treasury Stock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Additional Paid-In Capital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Subscription Receivable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 Deficit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Stockholders’ Equity (Deficit) ($)</w:t>
            </w:r>
          </w:p>
        </w:tc>
        <w:tc>
          <w:tcPr>
            <w:tcW w:w="110" w:type="dxa"/>
            <w:tcBorders/>
            <w:vAlign w:val="center"/>
          </w:tcPr>
          <w:p>
            <w:pPr>
              <w:pStyle w:val="TableContents"/>
              <w:bidi w:val="0"/>
              <w:spacing w:before="0" w:after="283"/>
              <w:jc w:val="center"/>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85" w:name="xdx_433_c20240101__20241231_eus-gaap--St"/>
            <w:bookmarkEnd w:id="185"/>
          </w:p>
        </w:tc>
      </w:tr>
      <w:tr>
        <w:trPr/>
        <w:tc>
          <w:tcPr>
            <w:tcW w:w="1520" w:type="dxa"/>
            <w:tcBorders/>
            <w:shd w:fill="CCEEFF" w:val="clear"/>
            <w:vAlign w:val="center"/>
          </w:tcPr>
          <w:p>
            <w:pPr>
              <w:pStyle w:val="TableContents"/>
              <w:bidi w:val="0"/>
              <w:spacing w:before="0" w:after="283"/>
              <w:jc w:val="left"/>
              <w:rPr>
                <w:b/>
              </w:rPr>
            </w:pPr>
            <w:r>
              <w:rPr>
                <w:b/>
              </w:rPr>
              <w:t>BALANCE,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6" w:name="xdx_985_eus-gaap--SharesOutstanding_iS_p"/>
            <w:bookmarkEnd w:id="186"/>
          </w:p>
        </w:tc>
        <w:tc>
          <w:tcPr>
            <w:tcW w:w="1100" w:type="dxa"/>
            <w:tcBorders/>
            <w:shd w:fill="CCEEFF" w:val="clear"/>
            <w:vAlign w:val="center"/>
          </w:tcPr>
          <w:p>
            <w:pPr>
              <w:pStyle w:val="TableContents"/>
              <w:bidi w:val="0"/>
              <w:spacing w:before="0" w:after="283"/>
              <w:jc w:val="right"/>
              <w:rPr/>
            </w:pPr>
            <w:r>
              <w:rPr/>
              <w:t>28,844,643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72" w:type="dxa"/>
            <w:tcBorders/>
            <w:shd w:fill="CCEEFF" w:val="clear"/>
            <w:vAlign w:val="center"/>
          </w:tcPr>
          <w:p>
            <w:pPr>
              <w:pStyle w:val="TableContents"/>
              <w:bidi w:val="0"/>
              <w:spacing w:before="0" w:after="283"/>
              <w:jc w:val="right"/>
              <w:rPr/>
            </w:pPr>
            <w:r>
              <w:rPr/>
              <w:t>5,769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7" w:name="xdx_98D_eus-gaap--TreasuryStockCommonSha"/>
            <w:bookmarkEnd w:id="187"/>
          </w:p>
        </w:tc>
        <w:tc>
          <w:tcPr>
            <w:tcW w:w="11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10,924,624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6" w:type="dxa"/>
            <w:tcBorders/>
            <w:shd w:fill="CCEEFF" w:val="clear"/>
            <w:vAlign w:val="center"/>
          </w:tcPr>
          <w:p>
            <w:pPr>
              <w:pStyle w:val="TableContents"/>
              <w:bidi w:val="0"/>
              <w:spacing w:before="0" w:after="283"/>
              <w:jc w:val="right"/>
              <w:rPr/>
            </w:pPr>
            <w:r>
              <w:rPr/>
              <w:t>(25,505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5" w:type="dxa"/>
            <w:tcBorders/>
            <w:shd w:fill="CCEEFF" w:val="clear"/>
            <w:vAlign w:val="center"/>
          </w:tcPr>
          <w:p>
            <w:pPr>
              <w:pStyle w:val="TableContents"/>
              <w:bidi w:val="0"/>
              <w:spacing w:before="0" w:after="283"/>
              <w:jc w:val="right"/>
              <w:rPr/>
            </w:pPr>
            <w:r>
              <w:rPr/>
              <w:t>(11,382,654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(477,766</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8" w:name="xdx_408_ecustom--StockIssuedDuringPeriod"/>
            <w:bookmarkEnd w:id="188"/>
          </w:p>
        </w:tc>
      </w:tr>
      <w:tr>
        <w:trPr/>
        <w:tc>
          <w:tcPr>
            <w:tcW w:w="1520" w:type="dxa"/>
            <w:tcBorders/>
            <w:shd w:fill="CCEEFF" w:val="clear"/>
            <w:vAlign w:val="center"/>
          </w:tcPr>
          <w:p>
            <w:pPr>
              <w:pStyle w:val="TableContents"/>
              <w:bidi w:val="0"/>
              <w:spacing w:before="0" w:after="283"/>
              <w:jc w:val="left"/>
              <w:rPr/>
            </w:pPr>
            <w:r>
              <w:rPr/>
              <w:t>Issuance of common stock and warrants for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9" w:name="xdx_98D_ecustom--StockIssuedDuringPeriod"/>
            <w:bookmarkEnd w:id="189"/>
          </w:p>
        </w:tc>
        <w:tc>
          <w:tcPr>
            <w:tcW w:w="1100" w:type="dxa"/>
            <w:tcBorders/>
            <w:shd w:fill="CCEEFF" w:val="clear"/>
            <w:vAlign w:val="center"/>
          </w:tcPr>
          <w:p>
            <w:pPr>
              <w:pStyle w:val="TableContents"/>
              <w:bidi w:val="0"/>
              <w:spacing w:before="0" w:after="283"/>
              <w:jc w:val="right"/>
              <w:rPr/>
            </w:pPr>
            <w:r>
              <w:rPr/>
              <w:t>243,423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2,671,077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(27,498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2,643,626</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0" w:name="xdx_406_eus-gaap--StockIssuedDuringPerio"/>
            <w:bookmarkEnd w:id="190"/>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1" w:name="xdx_98C_eus-gaap--StockIssuedDuringPerio"/>
            <w:bookmarkEnd w:id="191"/>
          </w:p>
        </w:tc>
        <w:tc>
          <w:tcPr>
            <w:tcW w:w="1100" w:type="dxa"/>
            <w:tcBorders/>
            <w:shd w:fill="CCEEFF" w:val="clear"/>
            <w:vAlign w:val="center"/>
          </w:tcPr>
          <w:p>
            <w:pPr>
              <w:pStyle w:val="TableContents"/>
              <w:bidi w:val="0"/>
              <w:spacing w:before="0" w:after="283"/>
              <w:jc w:val="right"/>
              <w:rPr/>
            </w:pPr>
            <w:r>
              <w:rPr/>
              <w:t>32,839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1,388,860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1,388,866</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2" w:name="xdx_404_eus-gaap--NetIncomeLoss_zC5dWsMG"/>
            <w:bookmarkEnd w:id="192"/>
          </w:p>
        </w:tc>
      </w:tr>
      <w:tr>
        <w:trPr/>
        <w:tc>
          <w:tcPr>
            <w:tcW w:w="15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(4,537,901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(4,537,901</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3" w:name="xdx_430_c20250101__20251231_eus-gaap--St"/>
            <w:bookmarkEnd w:id="193"/>
          </w:p>
        </w:tc>
      </w:tr>
      <w:tr>
        <w:trPr/>
        <w:tc>
          <w:tcPr>
            <w:tcW w:w="1520" w:type="dxa"/>
            <w:tcBorders/>
            <w:shd w:fill="CCEEFF" w:val="clear"/>
            <w:vAlign w:val="center"/>
          </w:tcPr>
          <w:p>
            <w:pPr>
              <w:pStyle w:val="TableContents"/>
              <w:bidi w:val="0"/>
              <w:spacing w:before="0" w:after="283"/>
              <w:jc w:val="left"/>
              <w:rPr>
                <w:b/>
              </w:rPr>
            </w:pPr>
            <w:r>
              <w:rPr>
                <w:b/>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4" w:name="xdx_985_eus-gaap--SharesOutstanding_iS_p"/>
            <w:bookmarkEnd w:id="194"/>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29,120,905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72" w:type="dxa"/>
            <w:tcBorders>
              <w:bottom w:val="single" w:sz="8" w:space="0" w:color="000000"/>
            </w:tcBorders>
            <w:shd w:fill="CCEEFF" w:val="clear"/>
            <w:tcMar>
              <w:bottom w:w="28" w:type="dxa"/>
            </w:tcMar>
            <w:vAlign w:val="center"/>
          </w:tcPr>
          <w:p>
            <w:pPr>
              <w:pStyle w:val="TableContents"/>
              <w:bidi w:val="0"/>
              <w:spacing w:before="0" w:after="283"/>
              <w:jc w:val="right"/>
              <w:rPr/>
            </w:pPr>
            <w:r>
              <w:rPr/>
              <w:t>5,822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5" w:name="xdx_987_eus-gaap--TreasuryStockCommonSha"/>
            <w:bookmarkEnd w:id="195"/>
          </w:p>
        </w:tc>
        <w:tc>
          <w:tcPr>
            <w:tcW w:w="11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1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14,984,561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(53,003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(15,920,555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(983,175</w:t>
            </w:r>
          </w:p>
        </w:tc>
        <w:tc>
          <w:tcPr>
            <w:tcW w:w="110" w:type="dxa"/>
            <w:tcBorders/>
            <w:shd w:fill="CCEEFF" w:val="clear"/>
            <w:vAlign w:val="center"/>
          </w:tcPr>
          <w:p>
            <w:pPr>
              <w:pStyle w:val="TableContents"/>
              <w:bidi w:val="0"/>
              <w:spacing w:before="0" w:after="283"/>
              <w:jc w:val="left"/>
              <w:rPr/>
            </w:pPr>
            <w:r>
              <w:rPr/>
              <w:t>)</w:t>
            </w:r>
            <w:bookmarkStart w:id="196" w:name="xdx_439_c20250101__20251231_eus-gaap--St"/>
            <w:bookmarkEnd w:id="196"/>
          </w:p>
        </w:tc>
      </w:tr>
      <w:tr>
        <w:trPr/>
        <w:tc>
          <w:tcPr>
            <w:tcW w:w="152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7" w:name="xdx_98D_eus-gaap--SharesOutstanding_iS_p"/>
            <w:bookmarkEnd w:id="197"/>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29,120,905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72" w:type="dxa"/>
            <w:tcBorders>
              <w:bottom w:val="single" w:sz="8" w:space="0" w:color="000000"/>
            </w:tcBorders>
            <w:shd w:fill="CCEEFF" w:val="clear"/>
            <w:tcMar>
              <w:bottom w:w="28" w:type="dxa"/>
            </w:tcMar>
            <w:vAlign w:val="center"/>
          </w:tcPr>
          <w:p>
            <w:pPr>
              <w:pStyle w:val="TableContents"/>
              <w:bidi w:val="0"/>
              <w:spacing w:before="0" w:after="283"/>
              <w:jc w:val="right"/>
              <w:rPr/>
            </w:pPr>
            <w:r>
              <w:rPr/>
              <w:t>5,822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8" w:name="xdx_987_eus-gaap--TreasuryStockCommonSha"/>
            <w:bookmarkEnd w:id="198"/>
          </w:p>
        </w:tc>
        <w:tc>
          <w:tcPr>
            <w:tcW w:w="11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1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14,984,561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(53,003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(15,920,555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(983,175</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9" w:name="xdx_406_eus-gaap--StockIssuedDuringPerio"/>
            <w:bookmarkEnd w:id="199"/>
          </w:p>
        </w:tc>
      </w:tr>
      <w:tr>
        <w:trPr/>
        <w:tc>
          <w:tcPr>
            <w:tcW w:w="1520" w:type="dxa"/>
            <w:tcBorders/>
            <w:shd w:fill="CCEEFF" w:val="clear"/>
            <w:vAlign w:val="center"/>
          </w:tcPr>
          <w:p>
            <w:pPr>
              <w:pStyle w:val="TableContents"/>
              <w:bidi w:val="0"/>
              <w:spacing w:before="0" w:after="283"/>
              <w:jc w:val="left"/>
              <w:rPr/>
            </w:pPr>
            <w:r>
              <w:rPr/>
              <w:t>Issuance of common stock,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0" w:name="xdx_981_eus-gaap--StockIssuedDuringPerio"/>
            <w:bookmarkEnd w:id="200"/>
          </w:p>
        </w:tc>
        <w:tc>
          <w:tcPr>
            <w:tcW w:w="1100" w:type="dxa"/>
            <w:tcBorders/>
            <w:shd w:fill="CCEEFF" w:val="clear"/>
            <w:vAlign w:val="center"/>
          </w:tcPr>
          <w:p>
            <w:pPr>
              <w:pStyle w:val="TableContents"/>
              <w:bidi w:val="0"/>
              <w:spacing w:before="0" w:after="283"/>
              <w:jc w:val="right"/>
              <w:rPr/>
            </w:pPr>
            <w:r>
              <w:rPr/>
              <w:t>2,974,885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394,459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53,003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448,057</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1" w:name="xdx_408_ecustom--StockIssuedDuringPeriod"/>
            <w:bookmarkEnd w:id="201"/>
          </w:p>
        </w:tc>
      </w:tr>
      <w:tr>
        <w:trPr/>
        <w:tc>
          <w:tcPr>
            <w:tcW w:w="1520" w:type="dxa"/>
            <w:tcBorders/>
            <w:shd w:fill="CCEEFF" w:val="clear"/>
            <w:vAlign w:val="center"/>
          </w:tcPr>
          <w:p>
            <w:pPr>
              <w:pStyle w:val="TableContents"/>
              <w:bidi w:val="0"/>
              <w:spacing w:before="0" w:after="283"/>
              <w:jc w:val="left"/>
              <w:rPr/>
            </w:pPr>
            <w:r>
              <w:rPr/>
              <w:t>Issuance of common stock upon exercise of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2" w:name="xdx_980_ecustom--StockIssuedDuringPeriod"/>
            <w:bookmarkEnd w:id="202"/>
          </w:p>
        </w:tc>
        <w:tc>
          <w:tcPr>
            <w:tcW w:w="1100" w:type="dxa"/>
            <w:tcBorders/>
            <w:shd w:fill="CCEEFF" w:val="clear"/>
            <w:vAlign w:val="center"/>
          </w:tcPr>
          <w:p>
            <w:pPr>
              <w:pStyle w:val="TableContents"/>
              <w:bidi w:val="0"/>
              <w:spacing w:before="0" w:after="283"/>
              <w:jc w:val="right"/>
              <w:rPr/>
            </w:pPr>
            <w:r>
              <w:rPr/>
              <w:t>120,820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573,871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573,895</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3" w:name="xdx_403_eus-gaap--StockIssuedDuringPerio"/>
            <w:bookmarkEnd w:id="203"/>
          </w:p>
        </w:tc>
      </w:tr>
      <w:tr>
        <w:trPr/>
        <w:tc>
          <w:tcPr>
            <w:tcW w:w="1520" w:type="dxa"/>
            <w:tcBorders/>
            <w:shd w:fill="CCEEFF" w:val="clear"/>
            <w:vAlign w:val="center"/>
          </w:tcPr>
          <w:p>
            <w:pPr>
              <w:pStyle w:val="TableContents"/>
              <w:bidi w:val="0"/>
              <w:spacing w:before="0" w:after="283"/>
              <w:jc w:val="left"/>
              <w:rPr/>
            </w:pPr>
            <w:r>
              <w:rPr/>
              <w:t>Issuance of common stock for options exercise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4" w:name="xdx_98C_eus-gaap--StockIssuedDuringPerio"/>
            <w:bookmarkEnd w:id="204"/>
          </w:p>
        </w:tc>
        <w:tc>
          <w:tcPr>
            <w:tcW w:w="1100" w:type="dxa"/>
            <w:tcBorders/>
            <w:shd w:fill="CCEEFF" w:val="clear"/>
            <w:vAlign w:val="center"/>
          </w:tcPr>
          <w:p>
            <w:pPr>
              <w:pStyle w:val="TableContents"/>
              <w:bidi w:val="0"/>
              <w:spacing w:before="0" w:after="283"/>
              <w:jc w:val="right"/>
              <w:rPr/>
            </w:pPr>
            <w:r>
              <w:rPr/>
              <w:t>773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6,164</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5" w:name="xdx_402_eus-gaap--StockIssuedDuringPerio"/>
            <w:bookmarkEnd w:id="205"/>
          </w:p>
        </w:tc>
      </w:tr>
      <w:tr>
        <w:trPr/>
        <w:tc>
          <w:tcPr>
            <w:tcW w:w="1520" w:type="dxa"/>
            <w:tcBorders/>
            <w:shd w:fill="CCEEFF" w:val="clear"/>
            <w:vAlign w:val="center"/>
          </w:tcPr>
          <w:p>
            <w:pPr>
              <w:pStyle w:val="TableContents"/>
              <w:bidi w:val="0"/>
              <w:spacing w:before="0" w:after="283"/>
              <w:jc w:val="left"/>
              <w:rPr/>
            </w:pPr>
            <w:r>
              <w:rPr/>
              <w:t>Issuance of common stock for the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6" w:name="xdx_982_eus-gaap--StockIssuedDuringPerio"/>
            <w:bookmarkEnd w:id="206"/>
          </w:p>
        </w:tc>
        <w:tc>
          <w:tcPr>
            <w:tcW w:w="1100" w:type="dxa"/>
            <w:tcBorders/>
            <w:shd w:fill="CCEEFF" w:val="clear"/>
            <w:vAlign w:val="center"/>
          </w:tcPr>
          <w:p>
            <w:pPr>
              <w:pStyle w:val="TableContents"/>
              <w:bidi w:val="0"/>
              <w:spacing w:before="0" w:after="283"/>
              <w:jc w:val="right"/>
              <w:rPr/>
            </w:pPr>
            <w:r>
              <w:rPr/>
              <w:t>1,207,355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241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4,533,739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4,533,980</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7" w:name="xdx_40C_ecustom--AdjustmentsToAdditional"/>
            <w:bookmarkEnd w:id="207"/>
          </w:p>
        </w:tc>
      </w:tr>
      <w:tr>
        <w:trPr/>
        <w:tc>
          <w:tcPr>
            <w:tcW w:w="1520" w:type="dxa"/>
            <w:tcBorders/>
            <w:shd w:fill="CCEEFF" w:val="clear"/>
            <w:vAlign w:val="center"/>
          </w:tcPr>
          <w:p>
            <w:pPr>
              <w:pStyle w:val="TableContents"/>
              <w:bidi w:val="0"/>
              <w:jc w:val="left"/>
              <w:rPr/>
            </w:pPr>
            <w:r>
              <w:rPr/>
              <w:t>Reclassification of derivative</w:t>
            </w:r>
          </w:p>
          <w:p>
            <w:pPr>
              <w:pStyle w:val="TableContents"/>
              <w:bidi w:val="0"/>
              <w:spacing w:before="0" w:after="283"/>
              <w:jc w:val="left"/>
              <w:rPr/>
            </w:pPr>
            <w:r>
              <w:rPr/>
              <w:t>liabilities upon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1,733,734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1,733,734</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8" w:name="xdx_404_eus-gaap--StockRepurchasedDuring"/>
            <w:bookmarkEnd w:id="208"/>
          </w:p>
        </w:tc>
      </w:tr>
      <w:tr>
        <w:trPr/>
        <w:tc>
          <w:tcPr>
            <w:tcW w:w="1520" w:type="dxa"/>
            <w:tcBorders/>
            <w:shd w:fill="CCEEFF" w:val="clear"/>
            <w:vAlign w:val="center"/>
          </w:tcPr>
          <w:p>
            <w:pPr>
              <w:pStyle w:val="TableContents"/>
              <w:bidi w:val="0"/>
              <w:spacing w:before="0" w:after="283"/>
              <w:jc w:val="left"/>
              <w:rPr/>
            </w:pPr>
            <w:r>
              <w:rPr/>
              <w:t>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9" w:name="xdx_981_eus-gaap--StockRepurchasedDuring"/>
            <w:bookmarkEnd w:id="209"/>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0" w:name="xdx_983_eus-gaap--StockRepurchasedDuring"/>
            <w:bookmarkEnd w:id="210"/>
          </w:p>
        </w:tc>
        <w:tc>
          <w:tcPr>
            <w:tcW w:w="1140" w:type="dxa"/>
            <w:tcBorders/>
            <w:shd w:fill="CCEEFF" w:val="clear"/>
            <w:vAlign w:val="center"/>
          </w:tcPr>
          <w:p>
            <w:pPr>
              <w:pStyle w:val="TableContents"/>
              <w:bidi w:val="0"/>
              <w:spacing w:before="0" w:after="283"/>
              <w:jc w:val="right"/>
              <w:rPr/>
            </w:pPr>
            <w:r>
              <w:rPr/>
              <w:t>19,700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(74,743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(74,743</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1" w:name="xdx_40D_ecustom--StockIssuedDuringPeriod"/>
            <w:bookmarkEnd w:id="211"/>
          </w:p>
        </w:tc>
      </w:tr>
      <w:tr>
        <w:trPr/>
        <w:tc>
          <w:tcPr>
            <w:tcW w:w="1520" w:type="dxa"/>
            <w:tcBorders/>
            <w:shd w:fill="CCEEFF" w:val="clear"/>
            <w:vAlign w:val="center"/>
          </w:tcPr>
          <w:p>
            <w:pPr>
              <w:pStyle w:val="TableContents"/>
              <w:bidi w:val="0"/>
              <w:spacing w:before="0" w:after="283"/>
              <w:jc w:val="left"/>
              <w:rPr/>
            </w:pPr>
            <w:r>
              <w:rPr/>
              <w:t>Retirement of treasury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2" w:name="xdx_984_ecustom--StockIssuedDuringPeriod"/>
            <w:bookmarkEnd w:id="212"/>
          </w:p>
        </w:tc>
        <w:tc>
          <w:tcPr>
            <w:tcW w:w="1100" w:type="dxa"/>
            <w:tcBorders/>
            <w:shd w:fill="CCEEFF" w:val="clear"/>
            <w:vAlign w:val="center"/>
          </w:tcPr>
          <w:p>
            <w:pPr>
              <w:pStyle w:val="TableContents"/>
              <w:bidi w:val="0"/>
              <w:spacing w:before="0" w:after="283"/>
              <w:jc w:val="right"/>
              <w:rPr/>
            </w:pPr>
            <w:r>
              <w:rPr/>
              <w:t>(19,700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3" w:name="xdx_981_ecustom--StockIssuedDuringPeriod"/>
            <w:bookmarkEnd w:id="213"/>
          </w:p>
        </w:tc>
        <w:tc>
          <w:tcPr>
            <w:tcW w:w="1140" w:type="dxa"/>
            <w:tcBorders/>
            <w:shd w:fill="CCEEFF" w:val="clear"/>
            <w:vAlign w:val="center"/>
          </w:tcPr>
          <w:p>
            <w:pPr>
              <w:pStyle w:val="TableContents"/>
              <w:bidi w:val="0"/>
              <w:spacing w:before="0" w:after="283"/>
              <w:jc w:val="right"/>
              <w:rPr/>
            </w:pPr>
            <w:r>
              <w:rPr/>
              <w:t>(19,700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74,743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(74,739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4" w:name="xdx_401_ecustom--StockIssuedDuringPeriod"/>
            <w:bookmarkEnd w:id="214"/>
          </w:p>
        </w:tc>
      </w:tr>
      <w:tr>
        <w:trPr/>
        <w:tc>
          <w:tcPr>
            <w:tcW w:w="1520" w:type="dxa"/>
            <w:tcBorders/>
            <w:shd w:fill="CCEEFF" w:val="clear"/>
            <w:vAlign w:val="center"/>
          </w:tcPr>
          <w:p>
            <w:pPr>
              <w:pStyle w:val="TableContents"/>
              <w:bidi w:val="0"/>
              <w:spacing w:before="0" w:after="283"/>
              <w:jc w:val="left"/>
              <w:rPr/>
            </w:pPr>
            <w:r>
              <w:rPr/>
              <w:t>Issuance of common stock for settlement of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5" w:name="xdx_984_ecustom--StockIssuedDuringPeriod"/>
            <w:bookmarkEnd w:id="215"/>
          </w:p>
        </w:tc>
        <w:tc>
          <w:tcPr>
            <w:tcW w:w="1100" w:type="dxa"/>
            <w:tcBorders/>
            <w:shd w:fill="CCEEFF" w:val="clear"/>
            <w:vAlign w:val="center"/>
          </w:tcPr>
          <w:p>
            <w:pPr>
              <w:pStyle w:val="TableContents"/>
              <w:bidi w:val="0"/>
              <w:spacing w:before="0" w:after="283"/>
              <w:jc w:val="right"/>
              <w:rPr/>
            </w:pPr>
            <w:r>
              <w:rPr/>
              <w:t>92,673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1,204,718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1,204,737</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6" w:name="xdx_400_ecustom--StockIssuedDuringPeriod"/>
            <w:bookmarkEnd w:id="216"/>
          </w:p>
        </w:tc>
      </w:tr>
      <w:tr>
        <w:trPr/>
        <w:tc>
          <w:tcPr>
            <w:tcW w:w="1520" w:type="dxa"/>
            <w:tcBorders/>
            <w:shd w:fill="CCEEFF" w:val="clear"/>
            <w:vAlign w:val="center"/>
          </w:tcPr>
          <w:p>
            <w:pPr>
              <w:pStyle w:val="TableContents"/>
              <w:bidi w:val="0"/>
              <w:spacing w:before="0" w:after="283"/>
              <w:jc w:val="left"/>
              <w:rPr/>
            </w:pPr>
            <w:r>
              <w:rPr/>
              <w:t>Issuance of common stock for deferred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7" w:name="xdx_98E_ecustom--StockIssuedDuringPeriod"/>
            <w:bookmarkEnd w:id="217"/>
          </w:p>
        </w:tc>
        <w:tc>
          <w:tcPr>
            <w:tcW w:w="1100" w:type="dxa"/>
            <w:tcBorders/>
            <w:shd w:fill="CCEEFF" w:val="clear"/>
            <w:vAlign w:val="center"/>
          </w:tcPr>
          <w:p>
            <w:pPr>
              <w:pStyle w:val="TableContents"/>
              <w:bidi w:val="0"/>
              <w:spacing w:before="0" w:after="283"/>
              <w:jc w:val="right"/>
              <w:rPr/>
            </w:pPr>
            <w:r>
              <w:rPr/>
              <w:t>532,913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6,927,762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6,927,869</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8" w:name="xdx_40A_eus-gaap--AdjustmentsToAdditiona"/>
            <w:bookmarkEnd w:id="218"/>
          </w:p>
        </w:tc>
      </w:tr>
      <w:tr>
        <w:trPr/>
        <w:tc>
          <w:tcPr>
            <w:tcW w:w="1520" w:type="dxa"/>
            <w:tcBorders/>
            <w:shd w:fill="CCEEFF" w:val="clear"/>
            <w:vAlign w:val="center"/>
          </w:tcPr>
          <w:p>
            <w:pPr>
              <w:pStyle w:val="TableContents"/>
              <w:bidi w:val="0"/>
              <w:spacing w:before="0" w:after="283"/>
              <w:jc w:val="left"/>
              <w:rPr/>
            </w:pPr>
            <w:r>
              <w:rPr/>
              <w:t>Reclassification of deferred offering costs upon financing drawdown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(2,394,152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(2,394,152</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9" w:name="xdx_40A_ecustom--StockIssuedDuringPeriod"/>
            <w:bookmarkEnd w:id="219"/>
          </w:p>
        </w:tc>
      </w:tr>
      <w:tr>
        <w:trPr/>
        <w:tc>
          <w:tcPr>
            <w:tcW w:w="1520" w:type="dxa"/>
            <w:tcBorders/>
            <w:shd w:fill="CCEEFF" w:val="clear"/>
            <w:vAlign w:val="center"/>
          </w:tcPr>
          <w:p>
            <w:pPr>
              <w:pStyle w:val="TableContents"/>
              <w:bidi w:val="0"/>
              <w:spacing w:before="0" w:after="283"/>
              <w:jc w:val="left"/>
              <w:rPr/>
            </w:pPr>
            <w:r>
              <w:rPr/>
              <w:t>Issuance of common stock under stock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0" w:name="xdx_987_ecustom--StockIssuedDuringPeriod"/>
            <w:bookmarkEnd w:id="220"/>
          </w:p>
        </w:tc>
        <w:tc>
          <w:tcPr>
            <w:tcW w:w="1100" w:type="dxa"/>
            <w:tcBorders/>
            <w:shd w:fill="CCEEFF" w:val="clear"/>
            <w:vAlign w:val="center"/>
          </w:tcPr>
          <w:p>
            <w:pPr>
              <w:pStyle w:val="TableContents"/>
              <w:bidi w:val="0"/>
              <w:spacing w:before="0" w:after="283"/>
              <w:jc w:val="right"/>
              <w:rPr/>
            </w:pPr>
            <w:r>
              <w:rPr/>
              <w:t>120,263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1,399,439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1,399,464</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1" w:name="xdx_408_ecustom--StockIssuedDuringPeriod"/>
            <w:bookmarkEnd w:id="221"/>
          </w:p>
        </w:tc>
      </w:tr>
      <w:tr>
        <w:trPr/>
        <w:tc>
          <w:tcPr>
            <w:tcW w:w="1520" w:type="dxa"/>
            <w:tcBorders/>
            <w:shd w:fill="CCEEFF" w:val="clear"/>
            <w:vAlign w:val="center"/>
          </w:tcPr>
          <w:p>
            <w:pPr>
              <w:pStyle w:val="TableContents"/>
              <w:bidi w:val="0"/>
              <w:spacing w:before="0" w:after="283"/>
              <w:jc w:val="left"/>
              <w:rPr/>
            </w:pPr>
            <w:r>
              <w:rPr/>
              <w:t>Issuance of common stock for commitment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2" w:name="xdx_985_ecustom--StockIssuedDuringPeriod"/>
            <w:bookmarkEnd w:id="222"/>
          </w:p>
        </w:tc>
        <w:tc>
          <w:tcPr>
            <w:tcW w:w="1100" w:type="dxa"/>
            <w:tcBorders/>
            <w:shd w:fill="CCEEFF" w:val="clear"/>
            <w:vAlign w:val="center"/>
          </w:tcPr>
          <w:p>
            <w:pPr>
              <w:pStyle w:val="TableContents"/>
              <w:bidi w:val="0"/>
              <w:spacing w:before="0" w:after="283"/>
              <w:jc w:val="right"/>
              <w:rPr/>
            </w:pPr>
            <w:r>
              <w:rPr/>
              <w:t>62,500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828,113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828,125</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3" w:name="xdx_401_eus-gaap--StockIssuedDuringPerio"/>
            <w:bookmarkEnd w:id="223"/>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1,098,029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1,098,029</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4" w:name="xdx_404_eus-gaap--NetIncomeLoss_zRbnqoMi"/>
            <w:bookmarkEnd w:id="224"/>
          </w:p>
        </w:tc>
      </w:tr>
      <w:tr>
        <w:trPr/>
        <w:tc>
          <w:tcPr>
            <w:tcW w:w="15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pPr>
            <w:r>
              <w:rPr/>
              <w:t>(12,826,384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(12,826,384</w:t>
            </w:r>
          </w:p>
        </w:tc>
        <w:tc>
          <w:tcPr>
            <w:tcW w:w="110" w:type="dxa"/>
            <w:tcBorders/>
            <w:shd w:fill="CCEEFF" w:val="clear"/>
            <w:vAlign w:val="center"/>
          </w:tcPr>
          <w:p>
            <w:pPr>
              <w:pStyle w:val="TableContents"/>
              <w:bidi w:val="0"/>
              <w:spacing w:before="0" w:after="283"/>
              <w:jc w:val="left"/>
              <w:rPr/>
            </w:pPr>
            <w:r>
              <w:rPr/>
              <w:t>)</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5" w:name="xdx_436_c20250101__20251231_eus-gaap--St"/>
            <w:bookmarkEnd w:id="225"/>
          </w:p>
        </w:tc>
      </w:tr>
      <w:tr>
        <w:trPr/>
        <w:tc>
          <w:tcPr>
            <w:tcW w:w="1520" w:type="dxa"/>
            <w:tcBorders/>
            <w:shd w:fill="CCEEFF" w:val="clear"/>
            <w:vAlign w:val="center"/>
          </w:tcPr>
          <w:p>
            <w:pPr>
              <w:pStyle w:val="TableContents"/>
              <w:bidi w:val="0"/>
              <w:spacing w:before="0" w:after="283"/>
              <w:jc w:val="left"/>
              <w:rPr>
                <w:b/>
              </w:rPr>
            </w:pPr>
            <w:r>
              <w:rPr>
                <w:b/>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6" w:name="xdx_981_eus-gaap--SharesOutstanding_iE_p"/>
            <w:bookmarkEnd w:id="226"/>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34,213,387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2" w:type="dxa"/>
            <w:tcBorders>
              <w:bottom w:val="double" w:sz="6" w:space="0" w:color="000000"/>
            </w:tcBorders>
            <w:shd w:fill="CCEEFF" w:val="clear"/>
            <w:tcMar>
              <w:bottom w:w="28" w:type="dxa"/>
            </w:tcMar>
            <w:vAlign w:val="center"/>
          </w:tcPr>
          <w:p>
            <w:pPr>
              <w:pStyle w:val="TableContents"/>
              <w:bidi w:val="0"/>
              <w:spacing w:before="0" w:after="283"/>
              <w:jc w:val="right"/>
              <w:rPr/>
            </w:pPr>
            <w:r>
              <w:rPr/>
              <w:t>6,841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7" w:name="xdx_98D_eus-gaap--TreasuryStockCommonSha"/>
            <w:bookmarkEnd w:id="227"/>
          </w:p>
        </w:tc>
        <w:tc>
          <w:tcPr>
            <w:tcW w:w="114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31,215,698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pPr>
            <w:r>
              <w:rPr/>
              <w:t>(28,746,939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pPr>
            <w:r>
              <w:rPr/>
              <w:t>2,475,600</w:t>
            </w:r>
          </w:p>
        </w:tc>
        <w:tc>
          <w:tcPr>
            <w:tcW w:w="110" w:type="dxa"/>
            <w:tcBorders/>
            <w:shd w:fill="CCEEFF" w:val="clear"/>
            <w:vAlign w:val="center"/>
          </w:tcPr>
          <w:p>
            <w:pPr>
              <w:pStyle w:val="TableContents"/>
              <w:bidi w:val="0"/>
              <w:spacing w:before="0" w:after="283"/>
              <w:jc w:val="left"/>
              <w:rPr/>
            </w:pPr>
            <w:r>
              <w:rPr/>
              <w:t> </w:t>
            </w:r>
            <w:bookmarkStart w:id="228" w:name="xdx_438_c20250101__20251231_eus-gaap--St"/>
            <w:bookmarkEnd w:id="228"/>
          </w:p>
        </w:tc>
      </w:tr>
      <w:tr>
        <w:trPr/>
        <w:tc>
          <w:tcPr>
            <w:tcW w:w="1520"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9" w:name="xdx_983_eus-gaap--SharesOutstanding_iE_p"/>
            <w:bookmarkEnd w:id="229"/>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34,213,387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jc w:val="right"/>
              <w:rPr/>
            </w:pPr>
            <w:r>
              <w:rPr/>
              <w:t>6,841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30" w:name="xdx_986_eus-gaap--TreasuryStockCommonSha"/>
            <w:bookmarkEnd w:id="230"/>
          </w:p>
        </w:tc>
        <w:tc>
          <w:tcPr>
            <w:tcW w:w="114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1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31,215,698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pPr>
            <w:r>
              <w:rPr/>
              <w:t>(28,746,939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pPr>
            <w:r>
              <w:rPr/>
              <w:t>2,475,600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1" w:name="fin_004"/>
      <w:bookmarkEnd w:id="231"/>
      <w:r>
        <w:rPr>
          <w:rFonts w:ascii="Times New Roman;Times;Serif" w:hAnsi="Times New Roman;Times;Serif"/>
          <w:b/>
          <w:i w:val="false"/>
          <w:caps w:val="false"/>
          <w:smallCaps w:val="false"/>
          <w:sz w:val="20"/>
        </w:rPr>
        <w:t>ARRIVE AI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32" w:name="xdx_308_112_zxtLCNLJPvw7"/>
      <w:bookmarkStart w:id="233" w:name="xdx_308_112_zxtLCNLJPvw7"/>
      <w:bookmarkEnd w:id="233"/>
    </w:p>
    <w:tbl>
      <w:tblPr>
        <w:tblW w:w="10205" w:type="dxa"/>
        <w:jc w:val="left"/>
        <w:tblInd w:w="0" w:type="dxa"/>
        <w:tblLayout w:type="fixed"/>
        <w:tblCellMar>
          <w:top w:w="0" w:type="dxa"/>
          <w:left w:w="0" w:type="dxa"/>
          <w:bottom w:w="0" w:type="dxa"/>
          <w:right w:w="0" w:type="dxa"/>
        </w:tblCellMar>
      </w:tblPr>
      <w:tblGrid>
        <w:gridCol w:w="7370"/>
        <w:gridCol w:w="60"/>
        <w:gridCol w:w="140"/>
        <w:gridCol w:w="1175"/>
        <w:gridCol w:w="95"/>
        <w:gridCol w:w="60"/>
        <w:gridCol w:w="140"/>
        <w:gridCol w:w="1055"/>
        <w:gridCol w:w="110"/>
      </w:tblGrid>
      <w:tr>
        <w:trPr/>
        <w:tc>
          <w:tcPr>
            <w:tcW w:w="7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4" w:name="xdx_496_20250101__20251231_zWo8AyECVHfe"/>
            <w:bookmarkEnd w:id="234"/>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35" w:name="xdx_493_20240101__20241231_zdPvYLpeUDo8"/>
            <w:bookmarkEnd w:id="235"/>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236" w:name="xdx_40C_eus-gaap--NetCashProvidedByUsedI"/>
            <w:bookmarkEnd w:id="236"/>
          </w:p>
        </w:tc>
      </w:tr>
      <w:tr>
        <w:trPr/>
        <w:tc>
          <w:tcPr>
            <w:tcW w:w="737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7" w:name="xdx_40D_eus-gaap--NetIncomeLoss_i01_maNC"/>
            <w:bookmarkEnd w:id="237"/>
          </w:p>
        </w:tc>
      </w:tr>
      <w:tr>
        <w:trPr/>
        <w:tc>
          <w:tcPr>
            <w:tcW w:w="737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(12,826,384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(4,537,901</w:t>
            </w:r>
          </w:p>
        </w:tc>
        <w:tc>
          <w:tcPr>
            <w:tcW w:w="110" w:type="dxa"/>
            <w:tcBorders/>
            <w:shd w:fill="FFFFFF" w:val="clear"/>
            <w:vAlign w:val="center"/>
          </w:tcPr>
          <w:p>
            <w:pPr>
              <w:pStyle w:val="TableContents"/>
              <w:bidi w:val="0"/>
              <w:spacing w:before="0" w:after="283"/>
              <w:jc w:val="left"/>
              <w:rPr/>
            </w:pPr>
            <w:r>
              <w:rPr/>
              <w:t>)</w:t>
            </w:r>
            <w:bookmarkStart w:id="238" w:name="xdx_400_eus-gaap--AdjustmentsToReconcile"/>
            <w:bookmarkEnd w:id="238"/>
          </w:p>
        </w:tc>
      </w:tr>
      <w:tr>
        <w:trPr/>
        <w:tc>
          <w:tcPr>
            <w:tcW w:w="737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9" w:name="xdx_403_eus-gaap--ShareBasedCompensation"/>
            <w:bookmarkEnd w:id="239"/>
          </w:p>
        </w:tc>
      </w:tr>
      <w:tr>
        <w:trPr/>
        <w:tc>
          <w:tcPr>
            <w:tcW w:w="737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2,503,657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1,388,866</w:t>
            </w:r>
          </w:p>
        </w:tc>
        <w:tc>
          <w:tcPr>
            <w:tcW w:w="110" w:type="dxa"/>
            <w:tcBorders/>
            <w:shd w:fill="FFFFFF" w:val="clear"/>
            <w:vAlign w:val="center"/>
          </w:tcPr>
          <w:p>
            <w:pPr>
              <w:pStyle w:val="TableContents"/>
              <w:bidi w:val="0"/>
              <w:spacing w:before="0" w:after="283"/>
              <w:jc w:val="left"/>
              <w:rPr/>
            </w:pPr>
            <w:r>
              <w:rPr/>
              <w:t> </w:t>
            </w:r>
            <w:bookmarkStart w:id="240" w:name="xdx_409_eus-gaap--DepreciationAndAmortiz"/>
            <w:bookmarkEnd w:id="240"/>
          </w:p>
        </w:tc>
      </w:tr>
      <w:tr>
        <w:trPr/>
        <w:tc>
          <w:tcPr>
            <w:tcW w:w="737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66,889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29,115</w:t>
            </w:r>
          </w:p>
        </w:tc>
        <w:tc>
          <w:tcPr>
            <w:tcW w:w="110" w:type="dxa"/>
            <w:tcBorders/>
            <w:shd w:fill="CCEEFF" w:val="clear"/>
            <w:vAlign w:val="center"/>
          </w:tcPr>
          <w:p>
            <w:pPr>
              <w:pStyle w:val="TableContents"/>
              <w:bidi w:val="0"/>
              <w:spacing w:before="0" w:after="283"/>
              <w:jc w:val="left"/>
              <w:rPr/>
            </w:pPr>
            <w:r>
              <w:rPr/>
              <w:t> </w:t>
            </w:r>
            <w:bookmarkStart w:id="241" w:name="xdx_405_eus-gaap--GoodwillImpairmentLoss"/>
            <w:bookmarkEnd w:id="241"/>
          </w:p>
        </w:tc>
      </w:tr>
      <w:tr>
        <w:trPr/>
        <w:tc>
          <w:tcPr>
            <w:tcW w:w="7370" w:type="dxa"/>
            <w:tcBorders/>
            <w:shd w:fill="FFFFFF" w:val="clear"/>
            <w:vAlign w:val="center"/>
          </w:tcPr>
          <w:p>
            <w:pPr>
              <w:pStyle w:val="TableContents"/>
              <w:bidi w:val="0"/>
              <w:spacing w:before="0" w:after="283"/>
              <w:jc w:val="left"/>
              <w:rPr/>
            </w:pPr>
            <w:r>
              <w:rPr/>
              <w:t>Impairment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10,541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42" w:name="xdx_409_ecustom--OperatingLeaseLiability"/>
            <w:bookmarkEnd w:id="242"/>
          </w:p>
        </w:tc>
      </w:tr>
      <w:tr>
        <w:trPr/>
        <w:tc>
          <w:tcPr>
            <w:tcW w:w="7370" w:type="dxa"/>
            <w:tcBorders/>
            <w:shd w:fill="CCEEFF" w:val="clear"/>
            <w:vAlign w:val="center"/>
          </w:tcPr>
          <w:p>
            <w:pPr>
              <w:pStyle w:val="TableContents"/>
              <w:bidi w:val="0"/>
              <w:spacing w:before="0" w:after="283"/>
              <w:jc w:val="left"/>
              <w:rPr/>
            </w:pPr>
            <w:r>
              <w:rPr/>
              <w:t>Operating lease liability - non-cash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43" w:name="xdx_407_eus-gaap--DerivativeGainLossOnDe"/>
            <w:bookmarkEnd w:id="243"/>
          </w:p>
        </w:tc>
      </w:tr>
      <w:tr>
        <w:trPr/>
        <w:tc>
          <w:tcPr>
            <w:tcW w:w="7370" w:type="dxa"/>
            <w:tcBorders/>
            <w:shd w:fill="FFFFFF" w:val="clear"/>
            <w:vAlign w:val="center"/>
          </w:tcPr>
          <w:p>
            <w:pPr>
              <w:pStyle w:val="TableContents"/>
              <w:bidi w:val="0"/>
              <w:spacing w:before="0" w:after="283"/>
              <w:jc w:val="left"/>
              <w:rPr/>
            </w:pPr>
            <w:r>
              <w:rPr/>
              <w:t>Change in fair value of derivative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(1,516,266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44" w:name="xdx_405_ecustom--LossOnConversionOfConve"/>
            <w:bookmarkEnd w:id="244"/>
          </w:p>
        </w:tc>
      </w:tr>
      <w:tr>
        <w:trPr/>
        <w:tc>
          <w:tcPr>
            <w:tcW w:w="7370" w:type="dxa"/>
            <w:tcBorders/>
            <w:shd w:fill="CCEEFF" w:val="clear"/>
            <w:vAlign w:val="center"/>
          </w:tcPr>
          <w:p>
            <w:pPr>
              <w:pStyle w:val="TableContents"/>
              <w:bidi w:val="0"/>
              <w:spacing w:before="0" w:after="283"/>
              <w:jc w:val="left"/>
              <w:rPr/>
            </w:pPr>
            <w:r>
              <w:rPr/>
              <w:t>Loss on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3,295,072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45" w:name="xdx_40E_eus-gaap--AmortizationOfDebtDisc"/>
            <w:bookmarkEnd w:id="245"/>
          </w:p>
        </w:tc>
      </w:tr>
      <w:tr>
        <w:trPr/>
        <w:tc>
          <w:tcPr>
            <w:tcW w:w="7370" w:type="dxa"/>
            <w:tcBorders/>
            <w:shd w:fill="FFFFFF" w:val="clear"/>
            <w:vAlign w:val="center"/>
          </w:tcPr>
          <w:p>
            <w:pPr>
              <w:pStyle w:val="TableContents"/>
              <w:bidi w:val="0"/>
              <w:spacing w:before="0" w:after="283"/>
              <w:jc w:val="left"/>
              <w:rPr/>
            </w:pPr>
            <w:r>
              <w:rPr/>
              <w:t>Accretion of discount on convertible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249,530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46" w:name="xdx_405_ecustom--AccretionOfIssuanceCost"/>
            <w:bookmarkEnd w:id="246"/>
          </w:p>
        </w:tc>
      </w:tr>
      <w:tr>
        <w:trPr/>
        <w:tc>
          <w:tcPr>
            <w:tcW w:w="7370" w:type="dxa"/>
            <w:tcBorders/>
            <w:shd w:fill="CCEEFF" w:val="clear"/>
            <w:vAlign w:val="center"/>
          </w:tcPr>
          <w:p>
            <w:pPr>
              <w:pStyle w:val="TableContents"/>
              <w:bidi w:val="0"/>
              <w:spacing w:before="0" w:after="283"/>
              <w:jc w:val="left"/>
              <w:rPr/>
            </w:pPr>
            <w:r>
              <w:rPr/>
              <w:t>Accretion of issuance costs on convertible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332,160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47" w:name="xdx_401_eus-gaap--RealizedInvestmentGain"/>
            <w:bookmarkEnd w:id="247"/>
          </w:p>
        </w:tc>
      </w:tr>
      <w:tr>
        <w:trPr/>
        <w:tc>
          <w:tcPr>
            <w:tcW w:w="7370" w:type="dxa"/>
            <w:tcBorders/>
            <w:shd w:fill="FFFFFF" w:val="clear"/>
            <w:vAlign w:val="center"/>
          </w:tcPr>
          <w:p>
            <w:pPr>
              <w:pStyle w:val="TableContents"/>
              <w:bidi w:val="0"/>
              <w:spacing w:before="0" w:after="283"/>
              <w:jc w:val="left"/>
              <w:rPr/>
            </w:pPr>
            <w:r>
              <w:rPr/>
              <w:t>Realized gain on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(133,104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48" w:name="xdx_40F_eus-gaap--IncreaseDecreaseInOper"/>
            <w:bookmarkEnd w:id="248"/>
          </w:p>
        </w:tc>
      </w:tr>
      <w:tr>
        <w:trPr/>
        <w:tc>
          <w:tcPr>
            <w:tcW w:w="737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9" w:name="xdx_40F_eus-gaap--IncreaseDecreaseInOper"/>
            <w:bookmarkEnd w:id="249"/>
          </w:p>
        </w:tc>
      </w:tr>
      <w:tr>
        <w:trPr/>
        <w:tc>
          <w:tcPr>
            <w:tcW w:w="7370" w:type="dxa"/>
            <w:tcBorders/>
            <w:shd w:fill="FFFFFF" w:val="clear"/>
            <w:vAlign w:val="center"/>
          </w:tcPr>
          <w:p>
            <w:pPr>
              <w:pStyle w:val="TableContents"/>
              <w:bidi w:val="0"/>
              <w:spacing w:before="0" w:after="283"/>
              <w:jc w:val="left"/>
              <w:rPr/>
            </w:pPr>
            <w:r>
              <w:rPr/>
              <w:t>(Increase) decrease in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0" w:name="xdx_40A_eus-gaap--IncreaseDecreaseInAcco"/>
            <w:bookmarkEnd w:id="250"/>
          </w:p>
        </w:tc>
      </w:tr>
      <w:tr>
        <w:trPr/>
        <w:tc>
          <w:tcPr>
            <w:tcW w:w="737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(4,975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51" w:name="xdx_40C_eus-gaap--IncreaseDecreaseInPrep"/>
            <w:bookmarkEnd w:id="251"/>
          </w:p>
        </w:tc>
      </w:tr>
      <w:tr>
        <w:trPr/>
        <w:tc>
          <w:tcPr>
            <w:tcW w:w="7370"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(134,011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(46,724</w:t>
            </w:r>
          </w:p>
        </w:tc>
        <w:tc>
          <w:tcPr>
            <w:tcW w:w="110" w:type="dxa"/>
            <w:tcBorders/>
            <w:shd w:fill="FFFFFF" w:val="clear"/>
            <w:vAlign w:val="center"/>
          </w:tcPr>
          <w:p>
            <w:pPr>
              <w:pStyle w:val="TableContents"/>
              <w:bidi w:val="0"/>
              <w:spacing w:before="0" w:after="283"/>
              <w:jc w:val="left"/>
              <w:rPr/>
            </w:pPr>
            <w:r>
              <w:rPr/>
              <w:t>)</w:t>
            </w:r>
            <w:bookmarkStart w:id="252" w:name="xdx_409_eus-gaap--IncreaseDecreaseInOthe"/>
            <w:bookmarkEnd w:id="252"/>
          </w:p>
        </w:tc>
      </w:tr>
      <w:tr>
        <w:trPr/>
        <w:tc>
          <w:tcPr>
            <w:tcW w:w="7370"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(8,146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(4,179</w:t>
            </w:r>
          </w:p>
        </w:tc>
        <w:tc>
          <w:tcPr>
            <w:tcW w:w="110" w:type="dxa"/>
            <w:tcBorders/>
            <w:shd w:fill="CCEEFF" w:val="clear"/>
            <w:vAlign w:val="center"/>
          </w:tcPr>
          <w:p>
            <w:pPr>
              <w:pStyle w:val="TableContents"/>
              <w:bidi w:val="0"/>
              <w:spacing w:before="0" w:after="283"/>
              <w:jc w:val="left"/>
              <w:rPr/>
            </w:pPr>
            <w:r>
              <w:rPr/>
              <w:t>)</w:t>
            </w:r>
            <w:bookmarkStart w:id="253" w:name="xdx_40A_ecustom--IncreaseDecreaseInSecur"/>
            <w:bookmarkEnd w:id="253"/>
          </w:p>
        </w:tc>
      </w:tr>
      <w:tr>
        <w:trPr/>
        <w:tc>
          <w:tcPr>
            <w:tcW w:w="7370" w:type="dxa"/>
            <w:tcBorders/>
            <w:shd w:fill="FFFFFF" w:val="clear"/>
            <w:vAlign w:val="center"/>
          </w:tcPr>
          <w:p>
            <w:pPr>
              <w:pStyle w:val="TableContents"/>
              <w:bidi w:val="0"/>
              <w:spacing w:before="0" w:after="283"/>
              <w:jc w:val="left"/>
              <w:rPr/>
            </w:pPr>
            <w:r>
              <w:rPr/>
              <w:t>Security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(64,133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54" w:name="xdx_40C_eus-gaap--IncreaseDecreaseInOper"/>
            <w:bookmarkEnd w:id="254"/>
          </w:p>
        </w:tc>
      </w:tr>
      <w:tr>
        <w:trPr/>
        <w:tc>
          <w:tcPr>
            <w:tcW w:w="7370" w:type="dxa"/>
            <w:tcBorders/>
            <w:shd w:fill="CCEEFF" w:val="clear"/>
            <w:vAlign w:val="center"/>
          </w:tcPr>
          <w:p>
            <w:pPr>
              <w:pStyle w:val="TableContents"/>
              <w:bidi w:val="0"/>
              <w:spacing w:before="0" w:after="283"/>
              <w:jc w:val="left"/>
              <w:rPr/>
            </w:pPr>
            <w:r>
              <w:rPr/>
              <w:t>Increase (decrease) 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5" w:name="xdx_406_eus-gaap--IncreaseDecreaseInAcco"/>
            <w:bookmarkEnd w:id="255"/>
          </w:p>
        </w:tc>
      </w:tr>
      <w:tr>
        <w:trPr/>
        <w:tc>
          <w:tcPr>
            <w:tcW w:w="737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(479,959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843,682</w:t>
            </w:r>
          </w:p>
        </w:tc>
        <w:tc>
          <w:tcPr>
            <w:tcW w:w="110" w:type="dxa"/>
            <w:tcBorders/>
            <w:shd w:fill="FFFFFF" w:val="clear"/>
            <w:vAlign w:val="center"/>
          </w:tcPr>
          <w:p>
            <w:pPr>
              <w:pStyle w:val="TableContents"/>
              <w:bidi w:val="0"/>
              <w:spacing w:before="0" w:after="283"/>
              <w:jc w:val="left"/>
              <w:rPr/>
            </w:pPr>
            <w:r>
              <w:rPr/>
              <w:t> </w:t>
            </w:r>
            <w:bookmarkStart w:id="256" w:name="xdx_40C_eus-gaap--IncreaseDecreaseInAccr"/>
            <w:bookmarkEnd w:id="256"/>
          </w:p>
        </w:tc>
      </w:tr>
      <w:tr>
        <w:trPr/>
        <w:tc>
          <w:tcPr>
            <w:tcW w:w="7370"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455,042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37,868</w:t>
            </w:r>
          </w:p>
        </w:tc>
        <w:tc>
          <w:tcPr>
            <w:tcW w:w="11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7" w:name="xdx_409_eus-gaap--NetCashProvidedByUsedI"/>
            <w:bookmarkEnd w:id="257"/>
          </w:p>
        </w:tc>
      </w:tr>
      <w:tr>
        <w:trPr/>
        <w:tc>
          <w:tcPr>
            <w:tcW w:w="737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(8,253,348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(2,289,273</w:t>
            </w:r>
          </w:p>
        </w:tc>
        <w:tc>
          <w:tcPr>
            <w:tcW w:w="110" w:type="dxa"/>
            <w:tcBorders/>
            <w:shd w:fill="CCEEFF" w:val="clear"/>
            <w:vAlign w:val="center"/>
          </w:tcPr>
          <w:p>
            <w:pPr>
              <w:pStyle w:val="TableContents"/>
              <w:bidi w:val="0"/>
              <w:spacing w:before="0" w:after="283"/>
              <w:jc w:val="left"/>
              <w:rPr/>
            </w:pPr>
            <w:r>
              <w:rPr/>
              <w:t>)</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8" w:name="xdx_404_eus-gaap--NetCashProvidedByUsedI"/>
            <w:bookmarkEnd w:id="258"/>
          </w:p>
        </w:tc>
      </w:tr>
      <w:tr>
        <w:trPr/>
        <w:tc>
          <w:tcPr>
            <w:tcW w:w="737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9" w:name="xdx_404_eus-gaap--PaymentsToAcquirePrope"/>
            <w:bookmarkEnd w:id="259"/>
          </w:p>
        </w:tc>
      </w:tr>
      <w:tr>
        <w:trPr/>
        <w:tc>
          <w:tcPr>
            <w:tcW w:w="7370" w:type="dxa"/>
            <w:tcBorders/>
            <w:shd w:fill="FFFFFF" w:val="clear"/>
            <w:vAlign w:val="center"/>
          </w:tcPr>
          <w:p>
            <w:pPr>
              <w:pStyle w:val="TableContents"/>
              <w:bidi w:val="0"/>
              <w:spacing w:before="0" w:after="283"/>
              <w:jc w:val="left"/>
              <w:rPr/>
            </w:pPr>
            <w:r>
              <w:rPr/>
              <w:t>Capital expenditures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(495,185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(38,155</w:t>
            </w:r>
          </w:p>
        </w:tc>
        <w:tc>
          <w:tcPr>
            <w:tcW w:w="110" w:type="dxa"/>
            <w:tcBorders/>
            <w:shd w:fill="FFFFFF" w:val="clear"/>
            <w:vAlign w:val="center"/>
          </w:tcPr>
          <w:p>
            <w:pPr>
              <w:pStyle w:val="TableContents"/>
              <w:bidi w:val="0"/>
              <w:spacing w:before="0" w:after="283"/>
              <w:jc w:val="left"/>
              <w:rPr/>
            </w:pPr>
            <w:r>
              <w:rPr/>
              <w:t>)</w:t>
            </w:r>
            <w:bookmarkStart w:id="260" w:name="xdx_40F_eus-gaap--ProceedsFromSaleMaturi"/>
            <w:bookmarkEnd w:id="260"/>
          </w:p>
        </w:tc>
      </w:tr>
      <w:tr>
        <w:trPr/>
        <w:tc>
          <w:tcPr>
            <w:tcW w:w="7370" w:type="dxa"/>
            <w:tcBorders/>
            <w:shd w:fill="CCEEFF" w:val="clear"/>
            <w:vAlign w:val="center"/>
          </w:tcPr>
          <w:p>
            <w:pPr>
              <w:pStyle w:val="TableContents"/>
              <w:bidi w:val="0"/>
              <w:spacing w:before="0" w:after="283"/>
              <w:jc w:val="left"/>
              <w:rPr/>
            </w:pPr>
            <w:r>
              <w:rPr/>
              <w:t>Proceeds from sales of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10,275,473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61" w:name="xdx_40B_eus-gaap--PaymentsToAcquireIntan"/>
            <w:bookmarkEnd w:id="261"/>
          </w:p>
        </w:tc>
      </w:tr>
      <w:tr>
        <w:trPr/>
        <w:tc>
          <w:tcPr>
            <w:tcW w:w="7370" w:type="dxa"/>
            <w:tcBorders/>
            <w:shd w:fill="FFFFFF" w:val="clear"/>
            <w:vAlign w:val="center"/>
          </w:tcPr>
          <w:p>
            <w:pPr>
              <w:pStyle w:val="TableContents"/>
              <w:bidi w:val="0"/>
              <w:spacing w:before="0" w:after="283"/>
              <w:jc w:val="left"/>
              <w:rPr/>
            </w:pPr>
            <w:r>
              <w:rPr/>
              <w:t>Patent filing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(76,500</w:t>
            </w:r>
          </w:p>
        </w:tc>
        <w:tc>
          <w:tcPr>
            <w:tcW w:w="110" w:type="dxa"/>
            <w:tcBorders/>
            <w:shd w:fill="FFFFFF" w:val="clear"/>
            <w:vAlign w:val="center"/>
          </w:tcPr>
          <w:p>
            <w:pPr>
              <w:pStyle w:val="TableContents"/>
              <w:bidi w:val="0"/>
              <w:spacing w:before="0" w:after="283"/>
              <w:jc w:val="left"/>
              <w:rPr/>
            </w:pPr>
            <w:r>
              <w:rPr/>
              <w:t>)</w:t>
            </w:r>
            <w:bookmarkStart w:id="262" w:name="xdx_401_eus-gaap--PaymentsToAcquireInves"/>
            <w:bookmarkEnd w:id="262"/>
          </w:p>
        </w:tc>
      </w:tr>
      <w:tr>
        <w:trPr/>
        <w:tc>
          <w:tcPr>
            <w:tcW w:w="7370" w:type="dxa"/>
            <w:tcBorders/>
            <w:shd w:fill="CCEEFF" w:val="clear"/>
            <w:vAlign w:val="center"/>
          </w:tcPr>
          <w:p>
            <w:pPr>
              <w:pStyle w:val="TableContents"/>
              <w:bidi w:val="0"/>
              <w:spacing w:before="0" w:after="283"/>
              <w:jc w:val="left"/>
              <w:rPr/>
            </w:pPr>
            <w:r>
              <w:rPr/>
              <w:t>Purchase of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(10,142,369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3" w:name="xdx_404_eus-gaap--NetCashProvidedByUsedI"/>
            <w:bookmarkEnd w:id="263"/>
          </w:p>
        </w:tc>
      </w:tr>
      <w:tr>
        <w:trPr/>
        <w:tc>
          <w:tcPr>
            <w:tcW w:w="737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(362,081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(114,655</w:t>
            </w:r>
          </w:p>
        </w:tc>
        <w:tc>
          <w:tcPr>
            <w:tcW w:w="110" w:type="dxa"/>
            <w:tcBorders/>
            <w:shd w:fill="CCEEFF" w:val="clear"/>
            <w:vAlign w:val="center"/>
          </w:tcPr>
          <w:p>
            <w:pPr>
              <w:pStyle w:val="TableContents"/>
              <w:bidi w:val="0"/>
              <w:spacing w:before="0" w:after="283"/>
              <w:jc w:val="left"/>
              <w:rPr/>
            </w:pPr>
            <w:r>
              <w:rPr/>
              <w:t>)</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4" w:name="xdx_405_eus-gaap--NetCashProvidedByUsedI"/>
            <w:bookmarkEnd w:id="264"/>
          </w:p>
        </w:tc>
      </w:tr>
      <w:tr>
        <w:trPr/>
        <w:tc>
          <w:tcPr>
            <w:tcW w:w="737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5" w:name="xdx_403_eus-gaap--ProceedsFromIssuanceOf"/>
            <w:bookmarkEnd w:id="265"/>
          </w:p>
        </w:tc>
      </w:tr>
      <w:tr>
        <w:trPr/>
        <w:tc>
          <w:tcPr>
            <w:tcW w:w="7370" w:type="dxa"/>
            <w:tcBorders/>
            <w:shd w:fill="FFFFFF" w:val="clear"/>
            <w:vAlign w:val="center"/>
          </w:tcPr>
          <w:p>
            <w:pPr>
              <w:pStyle w:val="TableContents"/>
              <w:bidi w:val="0"/>
              <w:spacing w:before="0" w:after="283"/>
              <w:jc w:val="left"/>
              <w:rPr/>
            </w:pPr>
            <w:r>
              <w:rPr/>
              <w:t>Proceeds from sale of common stock,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448,057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2,643,626</w:t>
            </w:r>
          </w:p>
        </w:tc>
        <w:tc>
          <w:tcPr>
            <w:tcW w:w="110" w:type="dxa"/>
            <w:tcBorders/>
            <w:shd w:fill="FFFFFF" w:val="clear"/>
            <w:vAlign w:val="center"/>
          </w:tcPr>
          <w:p>
            <w:pPr>
              <w:pStyle w:val="TableContents"/>
              <w:bidi w:val="0"/>
              <w:spacing w:before="0" w:after="283"/>
              <w:jc w:val="left"/>
              <w:rPr/>
            </w:pPr>
            <w:r>
              <w:rPr/>
              <w:t> </w:t>
            </w:r>
            <w:bookmarkStart w:id="266" w:name="xdx_404_eus-gaap--PaymentsForRepurchaseO"/>
            <w:bookmarkEnd w:id="266"/>
          </w:p>
        </w:tc>
      </w:tr>
      <w:tr>
        <w:trPr/>
        <w:tc>
          <w:tcPr>
            <w:tcW w:w="7370" w:type="dxa"/>
            <w:tcBorders/>
            <w:shd w:fill="CCEEFF" w:val="clear"/>
            <w:vAlign w:val="center"/>
          </w:tcPr>
          <w:p>
            <w:pPr>
              <w:pStyle w:val="TableContents"/>
              <w:bidi w:val="0"/>
              <w:spacing w:before="0" w:after="283"/>
              <w:jc w:val="left"/>
              <w:rPr/>
            </w:pPr>
            <w:r>
              <w:rPr/>
              <w:t>Purchase of treasury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(74,743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67" w:name="xdx_409_eus-gaap--ProceedsFromWarrantExe"/>
            <w:bookmarkEnd w:id="267"/>
          </w:p>
        </w:tc>
      </w:tr>
      <w:tr>
        <w:trPr/>
        <w:tc>
          <w:tcPr>
            <w:tcW w:w="7370" w:type="dxa"/>
            <w:tcBorders/>
            <w:shd w:fill="FFFFFF" w:val="clear"/>
            <w:vAlign w:val="center"/>
          </w:tcPr>
          <w:p>
            <w:pPr>
              <w:pStyle w:val="TableContents"/>
              <w:bidi w:val="0"/>
              <w:spacing w:before="0" w:after="283"/>
              <w:jc w:val="left"/>
              <w:rPr/>
            </w:pPr>
            <w:r>
              <w:rPr/>
              <w:t>Proceeds from the exercise of warrants,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573,895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68" w:name="xdx_40C_eus-gaap--RepaymentsOfNotesPayab"/>
            <w:bookmarkEnd w:id="268"/>
          </w:p>
        </w:tc>
      </w:tr>
      <w:tr>
        <w:trPr/>
        <w:tc>
          <w:tcPr>
            <w:tcW w:w="7370" w:type="dxa"/>
            <w:tcBorders/>
            <w:shd w:fill="CCEEFF" w:val="clear"/>
            <w:vAlign w:val="center"/>
          </w:tcPr>
          <w:p>
            <w:pPr>
              <w:pStyle w:val="TableContents"/>
              <w:bidi w:val="0"/>
              <w:spacing w:before="0" w:after="283"/>
              <w:jc w:val="left"/>
              <w:rPr/>
            </w:pPr>
            <w:r>
              <w:rPr/>
              <w:t>Repayments of note payables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(8,524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(7,954</w:t>
            </w:r>
          </w:p>
        </w:tc>
        <w:tc>
          <w:tcPr>
            <w:tcW w:w="110" w:type="dxa"/>
            <w:tcBorders/>
            <w:shd w:fill="CCEEFF" w:val="clear"/>
            <w:vAlign w:val="center"/>
          </w:tcPr>
          <w:p>
            <w:pPr>
              <w:pStyle w:val="TableContents"/>
              <w:bidi w:val="0"/>
              <w:spacing w:before="0" w:after="283"/>
              <w:jc w:val="left"/>
              <w:rPr/>
            </w:pPr>
            <w:r>
              <w:rPr/>
              <w:t>)</w:t>
            </w:r>
            <w:bookmarkStart w:id="269" w:name="xdx_407_eus-gaap--ProceedsFromConvertibl"/>
            <w:bookmarkEnd w:id="269"/>
          </w:p>
        </w:tc>
      </w:tr>
      <w:tr>
        <w:trPr/>
        <w:tc>
          <w:tcPr>
            <w:tcW w:w="7370" w:type="dxa"/>
            <w:tcBorders/>
            <w:shd w:fill="FFFFFF" w:val="clear"/>
            <w:vAlign w:val="center"/>
          </w:tcPr>
          <w:p>
            <w:pPr>
              <w:pStyle w:val="TableContents"/>
              <w:bidi w:val="0"/>
              <w:spacing w:before="0" w:after="283"/>
              <w:jc w:val="left"/>
              <w:rPr/>
            </w:pPr>
            <w:r>
              <w:rPr/>
              <w:t>Proceeds from issuance of convertible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70" w:name="xdx_405_eus-gaap--PaymentsOfDebtIssuance"/>
            <w:bookmarkEnd w:id="270"/>
          </w:p>
        </w:tc>
      </w:tr>
      <w:tr>
        <w:trPr/>
        <w:tc>
          <w:tcPr>
            <w:tcW w:w="7370" w:type="dxa"/>
            <w:tcBorders/>
            <w:shd w:fill="CCEEFF" w:val="clear"/>
            <w:vAlign w:val="center"/>
          </w:tcPr>
          <w:p>
            <w:pPr>
              <w:pStyle w:val="TableContents"/>
              <w:bidi w:val="0"/>
              <w:spacing w:before="0" w:after="283"/>
              <w:jc w:val="left"/>
              <w:rPr/>
            </w:pPr>
            <w:r>
              <w:rPr/>
              <w:t>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(660,000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71" w:name="xdx_40F_ecustom--RepaymentOfDeferredOffe"/>
            <w:bookmarkEnd w:id="271"/>
          </w:p>
        </w:tc>
      </w:tr>
      <w:tr>
        <w:trPr/>
        <w:tc>
          <w:tcPr>
            <w:tcW w:w="7370" w:type="dxa"/>
            <w:tcBorders/>
            <w:shd w:fill="FFFFFF" w:val="clear"/>
            <w:vAlign w:val="center"/>
          </w:tcPr>
          <w:p>
            <w:pPr>
              <w:pStyle w:val="TableContents"/>
              <w:bidi w:val="0"/>
              <w:spacing w:before="0" w:after="283"/>
              <w:jc w:val="left"/>
              <w:rPr/>
            </w:pPr>
            <w:r>
              <w:rPr/>
              <w:t>Deferred offering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(688,570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(427,898</w:t>
            </w:r>
          </w:p>
        </w:tc>
        <w:tc>
          <w:tcPr>
            <w:tcW w:w="110" w:type="dxa"/>
            <w:tcBorders/>
            <w:shd w:fill="FFFFFF" w:val="clear"/>
            <w:vAlign w:val="center"/>
          </w:tcPr>
          <w:p>
            <w:pPr>
              <w:pStyle w:val="TableContents"/>
              <w:bidi w:val="0"/>
              <w:spacing w:before="0" w:after="283"/>
              <w:jc w:val="left"/>
              <w:rPr/>
            </w:pPr>
            <w:r>
              <w:rPr/>
              <w:t>)</w:t>
            </w:r>
          </w:p>
        </w:tc>
      </w:tr>
      <w:tr>
        <w:trPr/>
        <w:tc>
          <w:tcPr>
            <w:tcW w:w="7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2" w:name="xdx_408_eus-gaap--NetCashProvidedByUsedI"/>
            <w:bookmarkEnd w:id="272"/>
          </w:p>
        </w:tc>
      </w:tr>
      <w:tr>
        <w:trPr/>
        <w:tc>
          <w:tcPr>
            <w:tcW w:w="737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10,590,115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2,207,774</w:t>
            </w:r>
          </w:p>
        </w:tc>
        <w:tc>
          <w:tcPr>
            <w:tcW w:w="11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3" w:name="xdx_403_eus-gaap--CashCashEquivalentsRes"/>
            <w:bookmarkEnd w:id="273"/>
          </w:p>
        </w:tc>
      </w:tr>
      <w:tr>
        <w:trPr/>
        <w:tc>
          <w:tcPr>
            <w:tcW w:w="7370" w:type="dxa"/>
            <w:tcBorders/>
            <w:shd w:fill="FFFFFF" w:val="clear"/>
            <w:vAlign w:val="center"/>
          </w:tcPr>
          <w:p>
            <w:pPr>
              <w:pStyle w:val="TableContents"/>
              <w:bidi w:val="0"/>
              <w:spacing w:before="0" w:after="283"/>
              <w:jc w:val="left"/>
              <w:rPr/>
            </w:pPr>
            <w:r>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1,974,686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(196,154</w:t>
            </w:r>
          </w:p>
        </w:tc>
        <w:tc>
          <w:tcPr>
            <w:tcW w:w="110" w:type="dxa"/>
            <w:tcBorders/>
            <w:shd w:fill="FFFFFF" w:val="clear"/>
            <w:vAlign w:val="center"/>
          </w:tcPr>
          <w:p>
            <w:pPr>
              <w:pStyle w:val="TableContents"/>
              <w:bidi w:val="0"/>
              <w:spacing w:before="0" w:after="283"/>
              <w:jc w:val="left"/>
              <w:rPr/>
            </w:pPr>
            <w:r>
              <w:rPr/>
              <w:t>)</w:t>
            </w:r>
          </w:p>
        </w:tc>
      </w:tr>
      <w:tr>
        <w:trPr/>
        <w:tc>
          <w:tcPr>
            <w:tcW w:w="7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4" w:name="xdx_409_eus-gaap--CashCashEquivalentsRes"/>
            <w:bookmarkEnd w:id="274"/>
          </w:p>
        </w:tc>
      </w:tr>
      <w:tr>
        <w:trPr/>
        <w:tc>
          <w:tcPr>
            <w:tcW w:w="7370" w:type="dxa"/>
            <w:tcBorders/>
            <w:shd w:fill="FFFFFF" w:val="clear"/>
            <w:vAlign w:val="center"/>
          </w:tcPr>
          <w:p>
            <w:pPr>
              <w:pStyle w:val="TableContents"/>
              <w:bidi w:val="0"/>
              <w:spacing w:before="0" w:after="283"/>
              <w:jc w:val="left"/>
              <w:rPr/>
            </w:pPr>
            <w:r>
              <w:rPr/>
              <w:t>CASH AND CASH EQUIVALENTS, BEGINNING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129,318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325,472</w:t>
            </w:r>
          </w:p>
        </w:tc>
        <w:tc>
          <w:tcPr>
            <w:tcW w:w="11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5" w:name="xdx_40E_eus-gaap--CashCashEquivalentsRes"/>
            <w:bookmarkEnd w:id="275"/>
          </w:p>
        </w:tc>
      </w:tr>
      <w:tr>
        <w:trPr/>
        <w:tc>
          <w:tcPr>
            <w:tcW w:w="7370" w:type="dxa"/>
            <w:tcBorders/>
            <w:shd w:fill="FFFFFF" w:val="clear"/>
            <w:vAlign w:val="center"/>
          </w:tcPr>
          <w:p>
            <w:pPr>
              <w:pStyle w:val="TableContents"/>
              <w:bidi w:val="0"/>
              <w:spacing w:before="0" w:after="283"/>
              <w:jc w:val="left"/>
              <w:rPr>
                <w:b/>
              </w:rPr>
            </w:pPr>
            <w:r>
              <w:rPr>
                <w:b/>
              </w:rPr>
              <w:t>CASH AND CASH EQUIVALENTS, END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2,104,004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129,318</w:t>
            </w:r>
          </w:p>
        </w:tc>
        <w:tc>
          <w:tcPr>
            <w:tcW w:w="110" w:type="dxa"/>
            <w:tcBorders/>
            <w:shd w:fill="FFFFFF" w:val="clear"/>
            <w:vAlign w:val="center"/>
          </w:tcPr>
          <w:p>
            <w:pPr>
              <w:pStyle w:val="TableContents"/>
              <w:bidi w:val="0"/>
              <w:spacing w:before="0" w:after="283"/>
              <w:jc w:val="left"/>
              <w:rPr/>
            </w:pPr>
            <w:r>
              <w:rPr/>
              <w:t> </w:t>
            </w:r>
          </w:p>
        </w:tc>
      </w:tr>
      <w:tr>
        <w:trPr/>
        <w:tc>
          <w:tcPr>
            <w:tcW w:w="7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6" w:name="xdx_406_eus-gaap--SupplementalCashFlowIn"/>
            <w:bookmarkEnd w:id="276"/>
          </w:p>
        </w:tc>
      </w:tr>
      <w:tr>
        <w:trPr/>
        <w:tc>
          <w:tcPr>
            <w:tcW w:w="7370"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77" w:name="xdx_40A_ecustom--CashPaidAbstract_i01B_z"/>
            <w:bookmarkEnd w:id="277"/>
          </w:p>
        </w:tc>
      </w:tr>
      <w:tr>
        <w:trPr/>
        <w:tc>
          <w:tcPr>
            <w:tcW w:w="7370" w:type="dxa"/>
            <w:tcBorders/>
            <w:shd w:fill="CCEEFF" w:val="clear"/>
            <w:vAlign w:val="center"/>
          </w:tcPr>
          <w:p>
            <w:pPr>
              <w:pStyle w:val="TableContents"/>
              <w:bidi w:val="0"/>
              <w:spacing w:before="0" w:after="283"/>
              <w:jc w:val="left"/>
              <w:rPr/>
            </w:pPr>
            <w:r>
              <w:rPr/>
              <w:t>Cash paid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8" w:name="xdx_401_eus-gaap--InterestPaidNet_i02_zt"/>
            <w:bookmarkEnd w:id="278"/>
          </w:p>
        </w:tc>
      </w:tr>
      <w:tr>
        <w:trPr/>
        <w:tc>
          <w:tcPr>
            <w:tcW w:w="7370" w:type="dxa"/>
            <w:tcBorders/>
            <w:shd w:fill="FFFFFF" w:val="clear"/>
            <w:vAlign w:val="center"/>
          </w:tcPr>
          <w:p>
            <w:pPr>
              <w:pStyle w:val="TableContents"/>
              <w:bidi w:val="0"/>
              <w:spacing w:before="0" w:after="283"/>
              <w:jc w:val="left"/>
              <w:rPr/>
            </w:pPr>
            <w:r>
              <w:rPr/>
              <w:t> </w:t>
            </w: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67,555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1,635</w:t>
            </w:r>
          </w:p>
        </w:tc>
        <w:tc>
          <w:tcPr>
            <w:tcW w:w="110" w:type="dxa"/>
            <w:tcBorders/>
            <w:shd w:fill="FFFFFF" w:val="clear"/>
            <w:vAlign w:val="center"/>
          </w:tcPr>
          <w:p>
            <w:pPr>
              <w:pStyle w:val="TableContents"/>
              <w:bidi w:val="0"/>
              <w:spacing w:before="0" w:after="283"/>
              <w:jc w:val="left"/>
              <w:rPr/>
            </w:pPr>
            <w:r>
              <w:rPr/>
              <w:t> </w:t>
            </w:r>
            <w:bookmarkStart w:id="279" w:name="xdx_40D_eus-gaap--IncomeTaxesPaidNet_i02"/>
            <w:bookmarkEnd w:id="279"/>
          </w:p>
        </w:tc>
      </w:tr>
      <w:tr>
        <w:trPr/>
        <w:tc>
          <w:tcPr>
            <w:tcW w:w="7370" w:type="dxa"/>
            <w:tcBorders/>
            <w:shd w:fill="CCEEFF" w:val="clear"/>
            <w:vAlign w:val="center"/>
          </w:tcPr>
          <w:p>
            <w:pPr>
              <w:pStyle w:val="TableContents"/>
              <w:bidi w:val="0"/>
              <w:spacing w:before="0" w:after="283"/>
              <w:jc w:val="left"/>
              <w:rPr/>
            </w:pPr>
            <w:r>
              <w:rPr/>
              <w:t> </w:t>
            </w:r>
            <w:r>
              <w:rPr/>
              <w:t>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80" w:name="xdx_405_eus-gaap--NoncashInvestingAndFin"/>
            <w:bookmarkEnd w:id="280"/>
          </w:p>
        </w:tc>
      </w:tr>
      <w:tr>
        <w:trPr/>
        <w:tc>
          <w:tcPr>
            <w:tcW w:w="7370" w:type="dxa"/>
            <w:tcBorders/>
            <w:shd w:fill="CCEEFF" w:val="clear"/>
            <w:vAlign w:val="center"/>
          </w:tcPr>
          <w:p>
            <w:pPr>
              <w:pStyle w:val="TableContents"/>
              <w:bidi w:val="0"/>
              <w:spacing w:before="0" w:after="283"/>
              <w:jc w:val="left"/>
              <w:rPr>
                <w:b/>
              </w:rPr>
            </w:pPr>
            <w:r>
              <w:rPr>
                <w:b/>
              </w:rPr>
              <w:t>SUPPLEMENTAL DISCLOSURE OF NONCASH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1" w:name="xdx_406_ecustom--CommonStockIssuedAsPaym"/>
            <w:bookmarkEnd w:id="281"/>
          </w:p>
        </w:tc>
      </w:tr>
      <w:tr>
        <w:trPr/>
        <w:tc>
          <w:tcPr>
            <w:tcW w:w="7370" w:type="dxa"/>
            <w:tcBorders/>
            <w:shd w:fill="FFFFFF" w:val="clear"/>
            <w:vAlign w:val="center"/>
          </w:tcPr>
          <w:p>
            <w:pPr>
              <w:pStyle w:val="TableContents"/>
              <w:bidi w:val="0"/>
              <w:spacing w:before="0" w:after="283"/>
              <w:jc w:val="left"/>
              <w:rPr/>
            </w:pPr>
            <w:r>
              <w:rPr/>
              <w:t>Common stock issued as payment of offering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6,927,869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82" w:name="xdx_40A_ecustom--CommonStockIssuedAsSett"/>
            <w:bookmarkEnd w:id="282"/>
          </w:p>
        </w:tc>
      </w:tr>
      <w:tr>
        <w:trPr/>
        <w:tc>
          <w:tcPr>
            <w:tcW w:w="7370" w:type="dxa"/>
            <w:tcBorders/>
            <w:shd w:fill="CCEEFF" w:val="clear"/>
            <w:vAlign w:val="center"/>
          </w:tcPr>
          <w:p>
            <w:pPr>
              <w:pStyle w:val="TableContents"/>
              <w:bidi w:val="0"/>
              <w:spacing w:before="0" w:after="283"/>
              <w:jc w:val="left"/>
              <w:rPr/>
            </w:pPr>
            <w:r>
              <w:rPr/>
              <w:t>Common stock issued as settlement of legal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1,204,737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83" w:name="xdx_401_ecustom--CommonStockIssuedForCon"/>
            <w:bookmarkEnd w:id="283"/>
          </w:p>
        </w:tc>
      </w:tr>
      <w:tr>
        <w:trPr/>
        <w:tc>
          <w:tcPr>
            <w:tcW w:w="7370" w:type="dxa"/>
            <w:tcBorders/>
            <w:shd w:fill="FFFFFF" w:val="clear"/>
            <w:vAlign w:val="center"/>
          </w:tcPr>
          <w:p>
            <w:pPr>
              <w:pStyle w:val="TableContents"/>
              <w:bidi w:val="0"/>
              <w:spacing w:before="0" w:after="283"/>
              <w:jc w:val="left"/>
              <w:rPr/>
            </w:pPr>
            <w:r>
              <w:rPr/>
              <w:t>Common stock issued for conversion of convertible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4,533,980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84" w:name="xdx_407_ecustom--DerivativeLiabilitiesRe"/>
            <w:bookmarkEnd w:id="284"/>
          </w:p>
        </w:tc>
      </w:tr>
      <w:tr>
        <w:trPr/>
        <w:tc>
          <w:tcPr>
            <w:tcW w:w="7370" w:type="dxa"/>
            <w:tcBorders/>
            <w:shd w:fill="CCEEFF" w:val="clear"/>
            <w:vAlign w:val="center"/>
          </w:tcPr>
          <w:p>
            <w:pPr>
              <w:pStyle w:val="TableContents"/>
              <w:bidi w:val="0"/>
              <w:spacing w:before="0" w:after="283"/>
              <w:jc w:val="left"/>
              <w:rPr/>
            </w:pPr>
            <w:r>
              <w:rPr/>
              <w:t>Derivative liabilities reclassified as additional paid-in capital upon conversion of convertible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1,733,734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5" w:name="xdx_403_ecustom--DeferredOfferingCostsRe"/>
            <w:bookmarkEnd w:id="285"/>
          </w:p>
        </w:tc>
      </w:tr>
      <w:tr>
        <w:trPr/>
        <w:tc>
          <w:tcPr>
            <w:tcW w:w="7370" w:type="dxa"/>
            <w:tcBorders/>
            <w:shd w:fill="FFFFFF" w:val="clear"/>
            <w:vAlign w:val="center"/>
          </w:tcPr>
          <w:p>
            <w:pPr>
              <w:pStyle w:val="TableContents"/>
              <w:bidi w:val="0"/>
              <w:spacing w:before="0" w:after="283"/>
              <w:jc w:val="left"/>
              <w:rPr/>
            </w:pPr>
            <w:r>
              <w:rPr/>
              <w:t>Deferred offering costs reclassified as additional paid-in capital upon financing drawdown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2,394,152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86" w:name="xdx_404_ecustom--CashlessExerciseOfStock"/>
            <w:bookmarkEnd w:id="286"/>
          </w:p>
        </w:tc>
      </w:tr>
      <w:tr>
        <w:trPr/>
        <w:tc>
          <w:tcPr>
            <w:tcW w:w="7370" w:type="dxa"/>
            <w:tcBorders/>
            <w:shd w:fill="CCEEFF" w:val="clear"/>
            <w:vAlign w:val="center"/>
          </w:tcPr>
          <w:p>
            <w:pPr>
              <w:pStyle w:val="TableContents"/>
              <w:bidi w:val="0"/>
              <w:spacing w:before="0" w:after="283"/>
              <w:jc w:val="left"/>
              <w:rPr/>
            </w:pPr>
            <w:r>
              <w:rPr/>
              <w:t xml:space="preserve">Cashless exercise of stock options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87" w:name="xdx_404_ecustom--RightofuseAssetsObtaine"/>
            <w:bookmarkEnd w:id="287"/>
          </w:p>
        </w:tc>
      </w:tr>
      <w:tr>
        <w:trPr/>
        <w:tc>
          <w:tcPr>
            <w:tcW w:w="7370" w:type="dxa"/>
            <w:tcBorders/>
            <w:shd w:fill="FFFFFF" w:val="clear"/>
            <w:vAlign w:val="center"/>
          </w:tcPr>
          <w:p>
            <w:pPr>
              <w:pStyle w:val="TableContents"/>
              <w:bidi w:val="0"/>
              <w:spacing w:before="0" w:after="283"/>
              <w:jc w:val="left"/>
              <w:rPr/>
            </w:pPr>
            <w:r>
              <w:rPr/>
              <w:t>Right-of-use assets obtained in exchange for 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2,216,753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8" w:name="fin_005"/>
      <w:bookmarkEnd w:id="288"/>
      <w:r>
        <w:rPr>
          <w:rFonts w:ascii="Times New Roman;Times;Serif" w:hAnsi="Times New Roman;Times;Serif"/>
          <w:b/>
          <w:i w:val="false"/>
          <w:caps w:val="false"/>
          <w:smallCaps w:val="false"/>
          <w:sz w:val="20"/>
        </w:rPr>
        <w:t>ARRIVE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i w:val="false"/>
          <w:caps w:val="false"/>
          <w:smallCaps w:val="false"/>
          <w:sz w:val="20"/>
        </w:rPr>
      </w:pPr>
      <w:bookmarkStart w:id="289" w:name="xdx_804_eus-gaap--NatureOfOperations_zxP"/>
      <w:bookmarkEnd w:id="289"/>
      <w:r>
        <w:rPr>
          <w:rFonts w:ascii="Times New Roman;Times;Serif" w:hAnsi="Times New Roman;Times;Serif"/>
          <w:b/>
          <w:i w:val="false"/>
          <w:caps w:val="false"/>
          <w:smallCaps w:val="false"/>
          <w:sz w:val="20"/>
        </w:rPr>
        <w:t xml:space="preserve">NOTE 1 - </w:t>
      </w:r>
      <w:bookmarkStart w:id="290" w:name="xdx_824_zV24vLx065Oe"/>
      <w:bookmarkEnd w:id="290"/>
      <w:r>
        <w:rPr>
          <w:rFonts w:ascii="Times New Roman;Times;Serif" w:hAnsi="Times New Roman;Times;Serif"/>
          <w:b/>
          <w:i w:val="false"/>
          <w:caps w:val="false"/>
          <w:smallCaps w:val="false"/>
          <w:sz w:val="20"/>
        </w:rPr>
        <w:t>NATURE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Inc. (the Company) was incorporated on April 30, 2020, in the State of Delaware as Dronedek Corporation. On July 27, 2023, Dronedek Corporation changed its name to Arrive Technology Inc. On September 27, 2024, Arrive Technology Inc. changed its name to Arrive AI Inc. The Company is an early-stage technology company with a focus on designing and implementing a commercially-viable smart mailbox for drone, robotic and human package receiving and storage.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a number of risks similar to those of other companies of similar size in its industry, including, but not limited to, the need for successful development of products, the need for additional capital (or financing) to fund operating losses, competition from substitute products and services from larger companies, protection of proprietary technology, patent litigation, dependence on key individuals, and risks associated with changes in information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the term is used in The Jumpstart Our Business Startups Act (JOBS Act), enacted on April 5, 2012 and has elected to comply with certain reduced public company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rPr>
      </w:pPr>
      <w:bookmarkStart w:id="291" w:name="xdx_80C_eus-gaap--SignificantAccountingP"/>
      <w:bookmarkEnd w:id="291"/>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2 - </w:t>
      </w:r>
      <w:bookmarkStart w:id="292" w:name="xdx_82F_zBvWlOWcu2H"/>
      <w:bookmarkEnd w:id="292"/>
      <w:r>
        <w:rPr>
          <w:rFonts w:ascii="Times New Roman;Times;Serif" w:hAnsi="Times New Roman;Times;Serif"/>
          <w:b/>
          <w:i w:val="false"/>
          <w:caps w:val="false"/>
          <w:smallCaps w:val="false"/>
          <w:sz w:val="20"/>
        </w:rPr>
        <w:t>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293" w:name="xdx_86B_zbAlcvWcc2jk"/>
      <w:bookmarkStart w:id="294" w:name="xdx_847_eus-gaap--BasisOfAccountingPolic"/>
      <w:bookmarkEnd w:id="293"/>
      <w:bookmarkEnd w:id="294"/>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of the Company have been prepared in accordance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95" w:name="xdx_866_zd7yeb7KXId6"/>
      <w:bookmarkStart w:id="296" w:name="xdx_844_eus-gaap--UseOfEstimates_zQNree3"/>
      <w:bookmarkEnd w:id="295"/>
      <w:bookmarkEnd w:id="296"/>
      <w:r>
        <w:rPr>
          <w:rFonts w:ascii="Times New Roman;Times;Serif" w:hAnsi="Times New Roman;Times;Serif"/>
          <w:b w:val="false"/>
          <w:i w:val="false"/>
          <w:caps w:val="false"/>
          <w:smallCaps w:val="false"/>
          <w:sz w:val="20"/>
          <w:u w:val="single"/>
        </w:rPr>
        <w:t>Use of Estimates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97" w:name="xdx_865_z04ucqkoyhQ"/>
      <w:bookmarkStart w:id="298" w:name="xdx_84B_eus-gaap--CashAndCashEquivalents"/>
      <w:bookmarkEnd w:id="297"/>
      <w:bookmarkEnd w:id="298"/>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an original maturity of three months or less at the time of purchase to be cash equivalents, including money market accounts held at financial institutions. The Company did not have cash equivalents at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299" w:name="xdx_869_zTfIsp1EQUl9"/>
      <w:bookmarkStart w:id="300" w:name="xdx_84F_eus-gaap--ConcentrationRiskCredi"/>
      <w:bookmarkEnd w:id="299"/>
      <w:bookmarkEnd w:id="300"/>
      <w:r>
        <w:rPr>
          <w:rFonts w:ascii="Times New Roman;Times;Serif" w:hAnsi="Times New Roman;Times;Serif"/>
          <w:b w:val="false"/>
          <w:i w:val="false"/>
          <w:caps w:val="false"/>
          <w:smallCaps w:val="false"/>
          <w:sz w:val="20"/>
          <w:u w:val="single"/>
        </w:rPr>
        <w:t>Concentration of Credit Risk</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policy is to maintain its cash balances in accounts insured by the Federal Deposit Insurance Corporation (the “FDIC”) or by the Securities Investor Protection Corporation (the “SIPC”). The Company may periodically have cash balances in financial institutions in excess of FDIC and SIPC insurance limits. For the years ended December 31, 2025 and 2024, the Company had approximately $</w:t>
      </w:r>
      <w:bookmarkStart w:id="301" w:name="xdx_904_eus-gaap--CashUninsuredAmount_iI"/>
      <w:bookmarkEnd w:id="301"/>
      <w:r>
        <w:rPr>
          <w:rFonts w:ascii="Times New Roman;Times;Serif" w:hAnsi="Times New Roman;Times;Serif"/>
          <w:b w:val="false"/>
          <w:i w:val="false"/>
          <w:caps w:val="false"/>
          <w:smallCaps w:val="false"/>
          <w:sz w:val="20"/>
        </w:rPr>
        <w:t>1,604,004 and $</w:t>
      </w:r>
      <w:bookmarkStart w:id="302" w:name="xdx_903_eus-gaap--CashUninsuredAmount_iI"/>
      <w:bookmarkEnd w:id="302"/>
      <w:r>
        <w:rPr>
          <w:rFonts w:ascii="Times New Roman;Times;Serif" w:hAnsi="Times New Roman;Times;Serif"/>
          <w:b w:val="false"/>
          <w:i w:val="false"/>
          <w:caps w:val="false"/>
          <w:smallCaps w:val="false"/>
          <w:sz w:val="20"/>
        </w:rPr>
        <w:t>0 of cash in excess of insured limits,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the Company is not exposed to any significant risk concerning its cash balances. To date, the Company has not recognized any losses caused by uninsured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303" w:name="xdx_86B_zbnoBirSk3Rd"/>
      <w:bookmarkStart w:id="304" w:name="xdx_84A_eus-gaap--EquityMethodInvestment"/>
      <w:bookmarkEnd w:id="303"/>
      <w:bookmarkEnd w:id="304"/>
      <w:r>
        <w:rPr>
          <w:rFonts w:ascii="Times New Roman;Times;Serif" w:hAnsi="Times New Roman;Times;Serif"/>
          <w:b w:val="false"/>
          <w:i w:val="false"/>
          <w:caps w:val="false"/>
          <w:smallCaps w:val="false"/>
          <w:sz w:val="20"/>
          <w:u w:val="single"/>
        </w:rPr>
        <w:t>Investments at Fair Value</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invested a portion of its excess cash in exchange-traded equity securities. The Company accounts for these investments in accordance with Financial Accounting Standards Board (“FASB”) Accounting Standards Codification (“ASC”) ASC 321, </w:t>
      </w:r>
      <w:r>
        <w:rPr>
          <w:rFonts w:ascii="Times New Roman;Times;Serif" w:hAnsi="Times New Roman;Times;Serif"/>
          <w:b w:val="false"/>
          <w:i/>
          <w:caps w:val="false"/>
          <w:smallCaps w:val="false"/>
          <w:sz w:val="20"/>
        </w:rPr>
        <w:t>Investments—Equity Securities</w:t>
      </w:r>
      <w:r>
        <w:rPr>
          <w:rFonts w:ascii="Times New Roman;Times;Serif" w:hAnsi="Times New Roman;Times;Serif"/>
          <w:b w:val="false"/>
          <w:i w:val="false"/>
          <w:caps w:val="false"/>
          <w:smallCaps w:val="false"/>
          <w:sz w:val="20"/>
        </w:rPr>
        <w:t xml:space="preserve">. Equity securities with readily determinable fair values are measured at fair value at each reporting date, with changes in fair value recognized in the statement of operations as unrealized gains or losses. Realized gains and losses on the sale or disposition of equity securities are also recognized in the statement of operations in the period of sale. The Company classifies the fair value of these securities within Level 1 of the fair value hierarchy established under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as the securities are exchange-traded with quoted prices in active markets. As of December 31, 2025 and 2024, the Company held no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also wrote covered call options against its long equity security positions to generate income from option premiums. Written call options are recognized as liabilities at fair value in accordance with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and are remeasured at fair value at each reporting date. The Company does not designate these instruments as accounting hedges; accordingly, changes in fair value are recognized in the statement of operations within other income (expense). These instruments are classified within Level 1 of the fair value hierarchy, as they are exchange-traded and valued using quoted market prices in active markets. Premiums received are reflected in the initial fair value of the derivative liability and are subsequently recognized in earnings through changes in fair value over the life of the contract, as the options are traded on recognized national exchanges with quoted prices in active markets. Option premium income received at the time of writing is initially recorded as a liability representing the fair value of the written option and is recognized in earnings upon settlement or expiration of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recognized a realized gain of $133,104 related to equity securities and written call option activity, which is included in other income (expense) in the statement of operations. As of December 31, 2025 and 2024, the Company held no equity securities or written call option positions.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305" w:name="xdx_860_zeqUDUrUnuNj"/>
      <w:bookmarkStart w:id="306" w:name="xdx_84A_eus-gaap--CreditLossFinancialIns"/>
      <w:bookmarkEnd w:id="305"/>
      <w:bookmarkEnd w:id="306"/>
      <w:r>
        <w:rPr>
          <w:rFonts w:ascii="Times New Roman;Times;Serif" w:hAnsi="Times New Roman;Times;Serif"/>
          <w:b w:val="false"/>
          <w:i w:val="false"/>
          <w:caps w:val="false"/>
          <w:smallCaps w:val="false"/>
          <w:sz w:val="20"/>
          <w:u w:val="single"/>
        </w:rPr>
        <w:t>Accounts Receivable and Allowance for Credit Losses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customer obligations due under normal trade terms, which are typically due upon receipt of the invoice. Credit is extended based on evaluation of a customer’s financial condition and collateral is not required. Accounts receivable are stated as amounts due from customers net of an allowance for credit losses. The Company recognizes an allowance for expected credit losses at each balance sheet date. This estimate is derived from a review of the Company’s historical losses based on the aging of receivables. Receivables with similar risk characteristics are pooled for the estimation of expected credit losses. Management adjusts its historical estimate based on its assessment of current conditions, reasonable and supportable forecasts regarding future events, and any other factors deemed relevant by the Company. At each reporting date, the Company updates its estimate of expected credit losses to reflect any changes in credit risk since the receivable was initially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writes off receivables when there is information that indicates the debtor is facing significant financial difficulty and there is no possibility of recovery. If any recoveries are made from any accounts previously written off, they will be recognized in earnings in the year of recovery, in accordance with the entity’s accounting policy. The Company did not record an allowance for credit losses at December 31, 2025 or 2024, as management determined that substantially all outstanding receivables were fully collectible. The Company did not incur material write-offs during the years ended December 31, 2025 and 2024.</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07" w:name="xdx_865_zwoUkSC7adr5"/>
      <w:bookmarkStart w:id="308" w:name="xdx_84E_eus-gaap--PropertyPlantAndEquipm"/>
      <w:bookmarkEnd w:id="307"/>
      <w:bookmarkEnd w:id="308"/>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is recorded at cost. Depreciation is computed using the straight-line method over the estimated useful life of the asset ranging from </w:t>
      </w:r>
      <w:bookmarkStart w:id="309" w:name="xdx_90C_eus-gaap--PropertyPlantAndEquipm"/>
      <w:bookmarkEnd w:id="309"/>
      <w:r>
        <w:rPr>
          <w:rFonts w:ascii="Times New Roman;Times;Serif" w:hAnsi="Times New Roman;Times;Serif"/>
          <w:b w:val="false"/>
          <w:i w:val="false"/>
          <w:caps w:val="false"/>
          <w:smallCaps w:val="false"/>
          <w:sz w:val="20"/>
        </w:rPr>
        <w:t xml:space="preserve">2two to </w:t>
      </w:r>
      <w:bookmarkStart w:id="310" w:name="xdx_90D_eus-gaap--PropertyPlantAndEquipm"/>
      <w:bookmarkEnd w:id="310"/>
      <w:r>
        <w:rPr>
          <w:rFonts w:ascii="Times New Roman;Times;Serif" w:hAnsi="Times New Roman;Times;Serif"/>
          <w:b w:val="false"/>
          <w:i w:val="false"/>
          <w:caps w:val="false"/>
          <w:smallCaps w:val="false"/>
          <w:sz w:val="20"/>
        </w:rPr>
        <w:t>5five years. The cost of leasehold improvements is amortized over the lesser of the length of the related leases or the estimated useful lives of the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Maintenance and repairs of property are charged to operations, and major improvements are capitalized. Upon retirement, sale, or other disposition of property and equipment, the costs and accumulated depreciation are eliminated from the accounts, and any resulting gain or loss is included in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11" w:name="xdx_860_zV11iL7v6No8"/>
      <w:bookmarkStart w:id="312" w:name="xdx_847_eus-gaap--GoodwillAndIntangibleA"/>
      <w:bookmarkEnd w:id="311"/>
      <w:bookmarkEnd w:id="312"/>
      <w:r>
        <w:rPr>
          <w:rFonts w:ascii="Times New Roman;Times;Serif" w:hAnsi="Times New Roman;Times;Serif"/>
          <w:b w:val="false"/>
          <w:i w:val="false"/>
          <w:caps w:val="false"/>
          <w:smallCaps w:val="false"/>
          <w:sz w:val="20"/>
          <w:u w:val="single"/>
        </w:rPr>
        <w:t>Intangible Assets –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capitalizes external costs, such as filing fees, registration documentation, and attorney fees associated with the application and issuance of patents. The Company expenses costs associated with maintaining and defending patents subsequent to issuance in the period incurred. The Company amortizes capitalized patent costs for internally generated patents on a straight-line basis over a range of </w:t>
      </w:r>
      <w:bookmarkStart w:id="313" w:name="xdx_90F_eus-gaap--FiniteLivedIntangibleA"/>
      <w:bookmarkEnd w:id="313"/>
      <w:r>
        <w:rPr>
          <w:rFonts w:ascii="Times New Roman;Times;Serif" w:hAnsi="Times New Roman;Times;Serif"/>
          <w:b w:val="false"/>
          <w:i w:val="false"/>
          <w:caps w:val="false"/>
          <w:smallCaps w:val="false"/>
          <w:sz w:val="20"/>
        </w:rPr>
        <w:t xml:space="preserve">13thirteen to </w:t>
      </w:r>
      <w:bookmarkStart w:id="314" w:name="xdx_903_eus-gaap--FiniteLivedIntangibleA"/>
      <w:bookmarkEnd w:id="314"/>
      <w:r>
        <w:rPr>
          <w:rFonts w:ascii="Times New Roman;Times;Serif" w:hAnsi="Times New Roman;Times;Serif"/>
          <w:b w:val="false"/>
          <w:i w:val="false"/>
          <w:caps w:val="false"/>
          <w:smallCaps w:val="false"/>
          <w:sz w:val="20"/>
        </w:rPr>
        <w:t>16sixteen years or the period in which the goods associated with the patent will be revenue-generating, which represents the estimated useful lives of the patents. The estimated useful lives for internally generated patents are based on the assessment of the following factors: the integrated nature of the patent portfolios being licensed (including the ability of the patent to generate viable goods and revenues), the overall makeup of the patent portfolio over time, and the length of license agreements for such patents. The Company assesses the potential impairment of all capitalized patent costs when events or changes in circumstances indicate that the carrying amount of the Company’s patent portfolio may not be recoverable.</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315" w:name="xdx_84C_eus-gaap--ImpairmentOrDisposalOf"/>
      <w:bookmarkEnd w:id="315"/>
      <w:r>
        <w:rPr>
          <w:rFonts w:ascii="Times New Roman;Times;Serif" w:hAnsi="Times New Roman;Times;Serif"/>
          <w:b w:val="false"/>
          <w:i w:val="false"/>
          <w:caps w:val="false"/>
          <w:smallCaps w:val="false"/>
          <w:sz w:val="20"/>
          <w:u w:val="single"/>
        </w:rPr>
        <w:t>Impairment of Long-Lived Assets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the recoverability of its long-lived assets in accordance with ASC 360, </w:t>
      </w:r>
      <w:r>
        <w:rPr>
          <w:rFonts w:ascii="Times New Roman;Times;Serif" w:hAnsi="Times New Roman;Times;Serif"/>
          <w:b w:val="false"/>
          <w:i/>
          <w:caps w:val="false"/>
          <w:smallCaps w:val="false"/>
          <w:sz w:val="20"/>
        </w:rPr>
        <w:t xml:space="preserve">Property, Plant, and Equipment. </w:t>
      </w:r>
      <w:r>
        <w:rPr>
          <w:rFonts w:ascii="Times New Roman;Times;Serif" w:hAnsi="Times New Roman;Times;Serif"/>
          <w:b w:val="false"/>
          <w:i w:val="false"/>
          <w:caps w:val="false"/>
          <w:smallCaps w:val="false"/>
          <w:sz w:val="20"/>
        </w:rPr>
        <w:t>The Company reviews long-lived assets for impairment whenever events or changes in circumstances indicate that the carrying amount of an asset may not be recoverable. Recoverability of long-lived assets are measured by a comparison of the carrying amount of an asset to future cashflows expected to be generated by the asset, undiscounted and without interest or independent appraisals. If such assets are considered to be impaired, the impairment to be recognized is measured by the amount by which the carrying amount of the asset exceeds the fair value of the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three types of long-lived assets: property and equipment, including vehicles, equipment, and leasehold improvements; construction-in-progress (CIP), and intangible patent assets including those acquired by the acquisition of Airbox Technology in 2023. An impairment loss of $</w:t>
      </w:r>
      <w:bookmarkStart w:id="316" w:name="xdx_90F_eus-gaap--ImpairmentOfLongLivedA"/>
      <w:bookmarkEnd w:id="316"/>
      <w:r>
        <w:rPr>
          <w:rFonts w:ascii="Times New Roman;Times;Serif" w:hAnsi="Times New Roman;Times;Serif"/>
          <w:b w:val="false"/>
          <w:i w:val="false"/>
          <w:caps w:val="false"/>
          <w:smallCaps w:val="false"/>
          <w:sz w:val="20"/>
        </w:rPr>
        <w:t xml:space="preserve">10,541 of one Arrive Point unit that was damaged beyond repair prior to being placed into service was recognized in general and administrative expense for the year ended December 31, 2025. </w:t>
      </w:r>
      <w:bookmarkStart w:id="317" w:name="xdx_904_eus-gaap--ImpairmentOfLongLivedA"/>
      <w:bookmarkEnd w:id="317"/>
      <w:r>
        <w:rPr>
          <w:rFonts w:ascii="Times New Roman;Times;Serif" w:hAnsi="Times New Roman;Times;Serif"/>
          <w:b w:val="false"/>
          <w:i w:val="false"/>
          <w:caps w:val="false"/>
          <w:smallCaps w:val="false"/>
          <w:sz w:val="20"/>
        </w:rPr>
        <w:t>No other impairments of long-lived assets were considered necessary as of December 31, 2025 or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18" w:name="xdx_849_eus-gaap--RevenueFromContractWit"/>
      <w:bookmarkEnd w:id="318"/>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generates revenue from consulting and implementation services and recurring subscription services for access to the Arrive Point network. The Company identifies performance obligations in its contracts with customers, which generally consist of consulting services, installation services, and subscription services. The transaction price is allocated to each distinct performance obligation based on relative standalone selling prices. Contracts are typically short-term in nature and generally do not include significant variable consideration or financing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and subscription services are recognized over time as the customer simultaneously receives and consumes the benefits of the services in accordance with ASC 606-10-25-27(a). Revenue is recognized using an appropriate measure of progress that reflects the transfer of control to the customer, generally based on time elapsed or services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Installation services are generally recognized at a point in time when control of the service is transferred to the customer, which typically occurs upon completion of installation and customer acceptance,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19" w:name="xdx_849_ecustom--ContractBalancesPolicyT"/>
      <w:bookmarkEnd w:id="319"/>
      <w:r>
        <w:rPr>
          <w:rFonts w:ascii="Times New Roman;Times;Serif" w:hAnsi="Times New Roman;Times;Serif"/>
          <w:b w:val="false"/>
          <w:i w:val="false"/>
          <w:caps w:val="false"/>
          <w:smallCaps w:val="false"/>
          <w:sz w:val="20"/>
          <w:u w:val="single"/>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billed accounts receivable, and, when applicable, unbilled receivables (contract assets), and customer advances and deposits (contract liabilities) on the balance sheet. The Company may request advances or deposits from customers before revenue is recognized, which results in contract liabilities. These contract liabilities are released as the performance obligations are satisfied. As disclosed in NOTE 3, the Company did not have any contract assets or contract liabilities recorded on the balance sheet as of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20" w:name="xdx_84B_eus-gaap--LesseeLeasesPolicyText"/>
      <w:bookmarkEnd w:id="320"/>
      <w:r>
        <w:rPr>
          <w:rFonts w:ascii="Times New Roman;Times;Serif" w:hAnsi="Times New Roman;Times;Serif"/>
          <w:b w:val="false"/>
          <w:i w:val="false"/>
          <w:caps w:val="false"/>
          <w:smallCaps w:val="false"/>
          <w:sz w:val="20"/>
          <w:u w:val="single"/>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leases in accordance with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Company determines whether an arrangement is a lease at contract inception. The Company classifies leases as operating or finance leases at commencement; however, all of the Company’s leases are currently classified as operating leases. Operating leases are included in “Right-of-use assets – operating leases” and “Operating lease liabilities” in the Company’s balance sheets.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(“ROU”) assets represent the Company’s right to use the underlying asset for the lease term, and lease liabilities represent the Company’s obligation to make lease payments arising from the lease. Operating lease ROU assets and lease liabilities are recognized at the commencement date based on the present value of lease payments over the lease term. Lease payments included in the measurement of the lease liability consist of fixed payments and variable payments that depend on an index or rate, as applicable. Variable lease payments that do not depend on an index or rate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rate implicit in the lease when that rate is readily determinable. If the implicit rate is not readily determinable, the Company uses its incremental borrowing rate at the commencement date, which reflects the rate of interest the Company would pay to borrow on a collateralized basis over a similar term in a similar economic environment. The lease term includes options to extend or terminate the lease when it is reasonably certain that the Company will exercise such options. Lease and non-lease components are generally accounted for separately. The Company has elected the short-term lease exemption and does not recognize ROU assets or lease liabilities for leases with an initial term of 12 months or less. Lease expense for operating leases is recognized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321" w:name="xdx_84E_eus-gaap--StockholdersEquityPoli"/>
      <w:bookmarkEnd w:id="321"/>
      <w:r>
        <w:rPr>
          <w:rFonts w:ascii="Times New Roman;Times;Serif" w:hAnsi="Times New Roman;Times;Serif"/>
          <w:b w:val="false"/>
          <w:i w:val="false"/>
          <w:caps w:val="false"/>
          <w:smallCaps w:val="false"/>
          <w:sz w:val="20"/>
          <w:u w:val="single"/>
        </w:rPr>
        <w:t>Equity Financing</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equity financing transactions to obtain the funds necessary to continue operations and develop a commercially viable smart mailbox system for drone, robotic and human package receiving and storage. These transactions have included the issuance of common stock and warrants to purchase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evaluates warrants issued in connection with equity financing transactions under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if the warrants are not required to be classified as liabilities under ASC 480, the Company then evaluates them under ASC 815-40,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to determine whether they are indexed to the Company’s own stock and meet the criteria for equity classification. The Company concluded that the warrants meet the criteria for equity classification and are accounted for as equity instruments.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terms and conditions of each equity financing transaction, the warrants are exercisable into additional common shares at an agreed-upon price, as defined in the Stock and Warrant Purchase Agreement (“the agreement”) prior to the expiration of the warrants as stipulated by the terms of the transaction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eligible for issuance under the outstanding warrants were registered under the Securities Act of 1933 on July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322" w:name="xdx_862_zWOKpYv7EPR5"/>
      <w:bookmarkStart w:id="323" w:name="xdx_84B_ecustom--TreasuryStockPolicyText"/>
      <w:bookmarkEnd w:id="322"/>
      <w:bookmarkEnd w:id="323"/>
      <w:r>
        <w:rPr>
          <w:rFonts w:ascii="Times New Roman;Times;Serif" w:hAnsi="Times New Roman;Times;Serif"/>
          <w:b w:val="false"/>
          <w:i w:val="false"/>
          <w:caps w:val="false"/>
          <w:smallCaps w:val="false"/>
          <w:sz w:val="20"/>
          <w:u w:val="single"/>
        </w:rPr>
        <w:t>Treasury Stock</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Board of Directors authorized the Company to repurchase shares of common stock. The Company repurchased </w:t>
      </w:r>
      <w:bookmarkStart w:id="324" w:name="xdx_906_eus-gaap--StockRepurchasedDuring"/>
      <w:bookmarkEnd w:id="324"/>
      <w:r>
        <w:rPr>
          <w:rFonts w:ascii="Times New Roman;Times;Serif" w:hAnsi="Times New Roman;Times;Serif"/>
          <w:b w:val="false"/>
          <w:i w:val="false"/>
          <w:caps w:val="false"/>
          <w:smallCaps w:val="false"/>
          <w:sz w:val="20"/>
        </w:rPr>
        <w:t>19,700 shares for $</w:t>
      </w:r>
      <w:bookmarkStart w:id="325" w:name="xdx_902_eus-gaap--StockRepurchasedDuring"/>
      <w:bookmarkEnd w:id="325"/>
      <w:r>
        <w:rPr>
          <w:rFonts w:ascii="Times New Roman;Times;Serif" w:hAnsi="Times New Roman;Times;Serif"/>
          <w:b w:val="false"/>
          <w:i w:val="false"/>
          <w:caps w:val="false"/>
          <w:smallCaps w:val="false"/>
          <w:sz w:val="20"/>
        </w:rPr>
        <w:t>74,743 during the year ended December 31, 2025. The stock was fully retired as of December 31, 2025, which reduced the number of issued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26" w:name="xdx_862_zOJcUY7NFjh"/>
      <w:bookmarkStart w:id="327" w:name="xdx_84F_eus-gaap--EarningsPerSharePolicy"/>
      <w:bookmarkEnd w:id="326"/>
      <w:bookmarkEnd w:id="327"/>
      <w:r>
        <w:rPr>
          <w:rFonts w:ascii="Times New Roman;Times;Serif" w:hAnsi="Times New Roman;Times;Serif"/>
          <w:b w:val="false"/>
          <w:i w:val="false"/>
          <w:caps w:val="false"/>
          <w:smallCaps w:val="false"/>
          <w:sz w:val="20"/>
          <w:u w:val="single"/>
        </w:rPr>
        <w:t>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ASC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resulting in the presentation of basic and diluted earnings per share. Basic loss per share is computed by dividing net loss by weighted average number of shares of common stock outstanding during each period. Diluted loss per share is computed by dividing net loss by the weighted average number of shares of common stock, common stock equivalents, and potentially dilutive securities outstanding during the period. Because the Company reported a net loss for the years ended December 31, 2025 and 2024, common stock equivalents, including stock options and warrants, were anti-dilutive; therefore, the amounts reported for basic and diluted loss per share were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bookmarkStart w:id="328" w:name="xdx_89C_eus-gaap--ScheduleOfAntidilutive"/>
      <w:bookmarkEnd w:id="328"/>
      <w:r>
        <w:rPr>
          <w:rFonts w:ascii="Times New Roman;Times;Serif" w:hAnsi="Times New Roman;Times;Serif"/>
          <w:b w:val="false"/>
          <w:i w:val="false"/>
          <w:caps w:val="false"/>
          <w:smallCaps w:val="false"/>
          <w:sz w:val="20"/>
        </w:rPr>
        <w:t>The following potentially dilutive securities were excluded from the computation of diluted loss per share because their effect would have been anti-dilutive:</w:t>
      </w:r>
    </w:p>
    <w:p>
      <w:pPr>
        <w:pStyle w:val="TextBody"/>
        <w:bidi w:val="0"/>
        <w:jc w:val="both"/>
        <w:rPr>
          <w:rFonts w:ascii="Times New Roman;Times;Serif" w:hAnsi="Times New Roman;Times;Serif"/>
          <w:b w:val="false"/>
          <w:i w:val="false"/>
          <w:caps w:val="false"/>
          <w:smallCaps w:val="false"/>
          <w:sz w:val="20"/>
        </w:rPr>
      </w:pPr>
      <w:bookmarkStart w:id="329" w:name="xdx_8B8_zBtNm2v93GG"/>
      <w:bookmarkEnd w:id="329"/>
      <w:r>
        <w:rPr>
          <w:rFonts w:ascii="Times New Roman;Times;Serif" w:hAnsi="Times New Roman;Times;Serif"/>
          <w:b w:val="false"/>
          <w:i w:val="false"/>
          <w:caps w:val="false"/>
          <w:smallCaps w:val="false"/>
          <w:sz w:val="20"/>
        </w:rPr>
        <w:t xml:space="preserve">SCHEDULE OF DILUTIVE SECURITIES </w:t>
      </w:r>
    </w:p>
    <w:tbl>
      <w:tblPr>
        <w:tblW w:w="7899" w:type="dxa"/>
        <w:jc w:val="left"/>
        <w:tblInd w:w="0" w:type="dxa"/>
        <w:tblLayout w:type="fixed"/>
        <w:tblCellMar>
          <w:top w:w="0" w:type="dxa"/>
          <w:left w:w="0" w:type="dxa"/>
          <w:bottom w:w="0" w:type="dxa"/>
          <w:right w:w="0" w:type="dxa"/>
        </w:tblCellMar>
      </w:tblPr>
      <w:tblGrid>
        <w:gridCol w:w="4430"/>
        <w:gridCol w:w="60"/>
        <w:gridCol w:w="82"/>
        <w:gridCol w:w="1503"/>
        <w:gridCol w:w="82"/>
        <w:gridCol w:w="82"/>
        <w:gridCol w:w="82"/>
        <w:gridCol w:w="1503"/>
        <w:gridCol w:w="75"/>
      </w:tblGrid>
      <w:tr>
        <w:trPr/>
        <w:tc>
          <w:tcPr>
            <w:tcW w:w="44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330" w:name="xdx_49E_20250101__20251231_z0R3hje2Y6m2"/>
            <w:bookmarkEnd w:id="330"/>
          </w:p>
        </w:tc>
        <w:tc>
          <w:tcPr>
            <w:tcW w:w="158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bookmarkStart w:id="331" w:name="xdx_497_20240101__20241231_zpuFYwTNW7M4"/>
            <w:bookmarkEnd w:id="331"/>
          </w:p>
        </w:tc>
        <w:tc>
          <w:tcPr>
            <w:tcW w:w="158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334" w:type="dxa"/>
            <w:gridSpan w:val="6"/>
            <w:tcBorders>
              <w:bottom w:val="single" w:sz="8" w:space="0" w:color="000000"/>
            </w:tcBorders>
            <w:tcMar>
              <w:bottom w:w="28" w:type="dxa"/>
            </w:tcMar>
            <w:vAlign w:val="center"/>
          </w:tcPr>
          <w:p>
            <w:pPr>
              <w:pStyle w:val="TableContents"/>
              <w:bidi w:val="0"/>
              <w:spacing w:before="0" w:after="283"/>
              <w:jc w:val="center"/>
              <w:rPr/>
            </w:pPr>
            <w:r>
              <w:rPr/>
              <w:t>For the Years ended December 31,</w:t>
            </w:r>
          </w:p>
        </w:tc>
        <w:tc>
          <w:tcPr>
            <w:tcW w:w="75" w:type="dxa"/>
            <w:tcBorders/>
            <w:vAlign w:val="center"/>
          </w:tcPr>
          <w:p>
            <w:pPr>
              <w:pStyle w:val="TableContents"/>
              <w:bidi w:val="0"/>
              <w:spacing w:before="0" w:after="283"/>
              <w:jc w:val="left"/>
              <w:rPr/>
            </w:pPr>
            <w:r>
              <w:rPr/>
              <w:t> </w:t>
            </w:r>
          </w:p>
        </w:tc>
      </w:tr>
      <w:tr>
        <w:trPr/>
        <w:tc>
          <w:tcPr>
            <w:tcW w:w="44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8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8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283"/>
              <w:jc w:val="both"/>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bookmarkStart w:id="332" w:name="xdx_90C_eus-gaap--WeightedAverageNumberO"/>
            <w:bookmarkStart w:id="333" w:name="xdx_90C_eus-gaap--WeightedAverageNumberO"/>
            <w:bookmarkEnd w:id="332"/>
            <w:bookmarkEnd w:id="333"/>
            <w:r>
              <w:rPr/>
              <w:t>32,195,123</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bookmarkStart w:id="334" w:name="xdx_90A_eus-gaap--WeightedAverageNumberO"/>
            <w:bookmarkStart w:id="335" w:name="xdx_907_eus-gaap--WeightedAverageNumberO"/>
            <w:bookmarkEnd w:id="334"/>
            <w:bookmarkEnd w:id="335"/>
            <w:r>
              <w:rPr/>
              <w:t>28,971,543</w:t>
            </w:r>
          </w:p>
        </w:tc>
        <w:tc>
          <w:tcPr>
            <w:tcW w:w="75"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283"/>
              <w:jc w:val="both"/>
              <w:rPr/>
            </w:pPr>
            <w:r>
              <w:rPr/>
              <w:t>Effect of dilutive securities – when applicable</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36" w:name="xdx_40F_eus-gaap--AntidilutiveSecurities"/>
            <w:bookmarkEnd w:id="336"/>
          </w:p>
        </w:tc>
      </w:tr>
      <w:tr>
        <w:trPr/>
        <w:tc>
          <w:tcPr>
            <w:tcW w:w="4430" w:type="dxa"/>
            <w:tcBorders/>
            <w:shd w:fill="CCEEFF" w:val="clear"/>
            <w:vAlign w:val="center"/>
          </w:tcPr>
          <w:p>
            <w:pPr>
              <w:pStyle w:val="TableContents"/>
              <w:bidi w:val="0"/>
              <w:spacing w:before="0" w:after="283"/>
              <w:jc w:val="both"/>
              <w:rPr/>
            </w:pPr>
            <w:r>
              <w:rPr/>
              <w:t>Convertible notes payable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3,241,618</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37" w:name="xdx_40C_eus-gaap--AntidilutiveSecurities"/>
            <w:bookmarkEnd w:id="337"/>
          </w:p>
        </w:tc>
      </w:tr>
      <w:tr>
        <w:trPr/>
        <w:tc>
          <w:tcPr>
            <w:tcW w:w="4430" w:type="dxa"/>
            <w:tcBorders/>
            <w:shd w:fill="FFFFFF" w:val="clear"/>
            <w:vAlign w:val="center"/>
          </w:tcPr>
          <w:p>
            <w:pPr>
              <w:pStyle w:val="TableContents"/>
              <w:bidi w:val="0"/>
              <w:spacing w:before="0" w:after="283"/>
              <w:jc w:val="both"/>
              <w:rPr/>
            </w:pPr>
            <w:r>
              <w:rPr/>
              <w:t>Warrants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503" w:type="dxa"/>
            <w:tcBorders/>
            <w:shd w:fill="FFFFFF" w:val="clear"/>
            <w:vAlign w:val="center"/>
          </w:tcPr>
          <w:p>
            <w:pPr>
              <w:pStyle w:val="TableContents"/>
              <w:bidi w:val="0"/>
              <w:spacing w:before="0" w:after="283"/>
              <w:jc w:val="right"/>
              <w:rPr/>
            </w:pPr>
            <w:r>
              <w:rPr/>
              <w:t>729,546</w:t>
            </w:r>
          </w:p>
        </w:tc>
        <w:tc>
          <w:tcPr>
            <w:tcW w:w="75" w:type="dxa"/>
            <w:tcBorders/>
            <w:shd w:fill="FFFFFF" w:val="clear"/>
            <w:vAlign w:val="center"/>
          </w:tcPr>
          <w:p>
            <w:pPr>
              <w:pStyle w:val="TableContents"/>
              <w:bidi w:val="0"/>
              <w:spacing w:before="0" w:after="283"/>
              <w:jc w:val="left"/>
              <w:rPr/>
            </w:pPr>
            <w:r>
              <w:rPr/>
              <w:t> </w:t>
            </w:r>
            <w:bookmarkStart w:id="338" w:name="xdx_40A_eus-gaap--AntidilutiveSecurities"/>
            <w:bookmarkEnd w:id="338"/>
          </w:p>
        </w:tc>
      </w:tr>
      <w:tr>
        <w:trPr/>
        <w:tc>
          <w:tcPr>
            <w:tcW w:w="4430" w:type="dxa"/>
            <w:tcBorders/>
            <w:shd w:fill="CCEEFF" w:val="clear"/>
            <w:vAlign w:val="center"/>
          </w:tcPr>
          <w:p>
            <w:pPr>
              <w:pStyle w:val="TableContents"/>
              <w:bidi w:val="0"/>
              <w:spacing w:before="0" w:after="283"/>
              <w:jc w:val="both"/>
              <w:rPr/>
            </w:pPr>
            <w:r>
              <w:rPr/>
              <w:t>Stock options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77,786</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148,951</w:t>
            </w:r>
          </w:p>
        </w:tc>
        <w:tc>
          <w:tcPr>
            <w:tcW w:w="75" w:type="dxa"/>
            <w:tcBorders/>
            <w:shd w:fill="CCEEFF" w:val="clear"/>
            <w:vAlign w:val="center"/>
          </w:tcPr>
          <w:p>
            <w:pPr>
              <w:pStyle w:val="TableContents"/>
              <w:bidi w:val="0"/>
              <w:spacing w:before="0" w:after="283"/>
              <w:jc w:val="left"/>
              <w:rPr/>
            </w:pPr>
            <w:r>
              <w:rPr/>
              <w:t> </w:t>
            </w:r>
            <w:bookmarkStart w:id="339" w:name="xdx_40A_eus-gaap--AntidilutiveSecurities"/>
            <w:bookmarkEnd w:id="339"/>
          </w:p>
        </w:tc>
      </w:tr>
      <w:tr>
        <w:trPr/>
        <w:tc>
          <w:tcPr>
            <w:tcW w:w="4430" w:type="dxa"/>
            <w:tcBorders/>
            <w:shd w:fill="FFFFFF" w:val="clear"/>
            <w:vAlign w:val="center"/>
          </w:tcPr>
          <w:p>
            <w:pPr>
              <w:pStyle w:val="TableContents"/>
              <w:bidi w:val="0"/>
              <w:spacing w:before="0" w:after="283"/>
              <w:jc w:val="both"/>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3" w:type="dxa"/>
            <w:tcBorders>
              <w:bottom w:val="single" w:sz="8" w:space="0" w:color="000000"/>
            </w:tcBorders>
            <w:shd w:fill="FFFFFF" w:val="clear"/>
            <w:tcMar>
              <w:bottom w:w="28" w:type="dxa"/>
            </w:tcMar>
            <w:vAlign w:val="center"/>
          </w:tcPr>
          <w:p>
            <w:pPr>
              <w:pStyle w:val="TableContents"/>
              <w:bidi w:val="0"/>
              <w:spacing w:before="0" w:after="283"/>
              <w:jc w:val="right"/>
              <w:rPr/>
            </w:pPr>
            <w:r>
              <w:rPr/>
              <w:t>826,722</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40" w:name="xdx_400_ecustom--WeightedAverageCommonSh"/>
            <w:bookmarkEnd w:id="340"/>
          </w:p>
        </w:tc>
      </w:tr>
      <w:tr>
        <w:trPr/>
        <w:tc>
          <w:tcPr>
            <w:tcW w:w="44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503" w:type="dxa"/>
            <w:tcBorders>
              <w:bottom w:val="double" w:sz="6" w:space="0" w:color="000000"/>
            </w:tcBorders>
            <w:shd w:fill="CCEEFF" w:val="clear"/>
            <w:tcMar>
              <w:bottom w:w="28" w:type="dxa"/>
            </w:tcMar>
            <w:vAlign w:val="center"/>
          </w:tcPr>
          <w:p>
            <w:pPr>
              <w:pStyle w:val="TableContents"/>
              <w:bidi w:val="0"/>
              <w:spacing w:before="0" w:after="283"/>
              <w:jc w:val="right"/>
              <w:rPr/>
            </w:pPr>
            <w:r>
              <w:rPr/>
              <w:t>36,341,249</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503" w:type="dxa"/>
            <w:tcBorders>
              <w:bottom w:val="double" w:sz="6" w:space="0" w:color="000000"/>
            </w:tcBorders>
            <w:shd w:fill="CCEEFF" w:val="clear"/>
            <w:tcMar>
              <w:bottom w:w="28" w:type="dxa"/>
            </w:tcMar>
            <w:vAlign w:val="center"/>
          </w:tcPr>
          <w:p>
            <w:pPr>
              <w:pStyle w:val="TableContents"/>
              <w:bidi w:val="0"/>
              <w:spacing w:before="0" w:after="283"/>
              <w:jc w:val="right"/>
              <w:rPr/>
            </w:pPr>
            <w:r>
              <w:rPr/>
              <w:t>29,850,040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341" w:name="xdx_8A4_zcITDvqhget5"/>
      <w:bookmarkEnd w:id="34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42" w:name="xdx_847_eus-gaap--ComprehensiveIncomePol"/>
      <w:bookmarkEnd w:id="342"/>
      <w:r>
        <w:rPr>
          <w:rFonts w:ascii="Times New Roman;Times;Serif" w:hAnsi="Times New Roman;Times;Serif"/>
          <w:b w:val="false"/>
          <w:i w:val="false"/>
          <w:caps w:val="false"/>
          <w:smallCaps w:val="false"/>
          <w:sz w:val="20"/>
          <w:u w:val="single"/>
        </w:rPr>
        <w:t>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ASC 220-10, “</w:t>
      </w:r>
      <w:r>
        <w:rPr>
          <w:rFonts w:ascii="Times New Roman;Times;Serif" w:hAnsi="Times New Roman;Times;Serif"/>
          <w:b w:val="false"/>
          <w:i/>
          <w:caps w:val="false"/>
          <w:smallCaps w:val="false"/>
          <w:sz w:val="20"/>
        </w:rPr>
        <w:t>Reporting Comprehensive Income (Loss).”</w:t>
      </w:r>
      <w:r>
        <w:rPr>
          <w:rFonts w:ascii="Times New Roman;Times;Serif" w:hAnsi="Times New Roman;Times;Serif"/>
          <w:b w:val="false"/>
          <w:i w:val="false"/>
          <w:caps w:val="false"/>
          <w:smallCaps w:val="false"/>
          <w:sz w:val="20"/>
        </w:rPr>
        <w:t xml:space="preserve"> Comprehensive loss is a more inclusive financial reporting methodology that includes disclosure of certain financial information that historically has not been recognized in the calculation of net loss. The Company had no items of other comprehensive income (loss) for the years ended December 31, 2025 and 2024. Accordingly, comprehensive loss equals net loss for those periods.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343" w:name="xdx_847_ecustom--OfferingCostsPolicyText"/>
      <w:bookmarkEnd w:id="343"/>
      <w:r>
        <w:rPr>
          <w:rFonts w:ascii="Times New Roman;Times;Serif" w:hAnsi="Times New Roman;Times;Serif"/>
          <w:b w:val="false"/>
          <w:i w:val="false"/>
          <w:caps w:val="false"/>
          <w:smallCaps w:val="false"/>
          <w:sz w:val="20"/>
          <w:u w:val="single"/>
        </w:rPr>
        <w:t>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offering costs in accordance with ASC 340-10-S99-1, </w:t>
      </w:r>
      <w:r>
        <w:rPr>
          <w:rFonts w:ascii="Times New Roman;Times;Serif" w:hAnsi="Times New Roman;Times;Serif"/>
          <w:b w:val="false"/>
          <w:i/>
          <w:caps w:val="false"/>
          <w:smallCaps w:val="false"/>
          <w:sz w:val="20"/>
        </w:rPr>
        <w:t>Other Assets and Deferred Costs</w:t>
      </w:r>
      <w:r>
        <w:rPr>
          <w:rFonts w:ascii="Times New Roman;Times;Serif" w:hAnsi="Times New Roman;Times;Serif"/>
          <w:b w:val="false"/>
          <w:i w:val="false"/>
          <w:caps w:val="false"/>
          <w:smallCaps w:val="false"/>
          <w:sz w:val="20"/>
        </w:rPr>
        <w:t xml:space="preserve"> and SAB Topic 5A, </w:t>
      </w:r>
      <w:r>
        <w:rPr>
          <w:rFonts w:ascii="Times New Roman;Times;Serif" w:hAnsi="Times New Roman;Times;Serif"/>
          <w:b w:val="false"/>
          <w:i/>
          <w:caps w:val="false"/>
          <w:smallCaps w:val="false"/>
          <w:sz w:val="20"/>
        </w:rPr>
        <w:t>Expenses of Offering</w:t>
      </w:r>
      <w:r>
        <w:rPr>
          <w:rFonts w:ascii="Times New Roman;Times;Serif" w:hAnsi="Times New Roman;Times;Serif"/>
          <w:b w:val="false"/>
          <w:i w:val="false"/>
          <w:caps w:val="false"/>
          <w:smallCaps w:val="false"/>
          <w:sz w:val="20"/>
        </w:rPr>
        <w:t>. Costs that are directly attributable to proposed or actual equity offerings are capitalized as deferred offering costs until the offering is completed. Deferred offering costs consist of underwriting, legal, accounting, and other expenses. Upon completion of an equity offering, such costs are recorded as a reduction of the related proceeds and reflected as a reduction of additional paid-in capital. If an offering is abandoned, the related deferred offering costs are expensed.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44" w:name="xdx_84E_eus-gaap--ResearchAndDevelopment"/>
      <w:bookmarkEnd w:id="344"/>
      <w:r>
        <w:rPr>
          <w:rFonts w:ascii="Times New Roman;Times;Serif" w:hAnsi="Times New Roman;Times;Serif"/>
          <w:b w:val="false"/>
          <w:i w:val="false"/>
          <w:caps w:val="false"/>
          <w:smallCaps w:val="false"/>
          <w:sz w:val="20"/>
          <w:u w:val="single"/>
        </w:rPr>
        <w:t>Research and Development</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and Development (“R&amp;D”) costs are expensed as incurred in accordance with ASC 730, </w:t>
      </w:r>
      <w:r>
        <w:rPr>
          <w:rFonts w:ascii="Times New Roman;Times;Serif" w:hAnsi="Times New Roman;Times;Serif"/>
          <w:b w:val="false"/>
          <w:i/>
          <w:caps w:val="false"/>
          <w:smallCaps w:val="false"/>
          <w:sz w:val="20"/>
        </w:rPr>
        <w:t>Research and Development</w:t>
      </w:r>
      <w:r>
        <w:rPr>
          <w:rFonts w:ascii="Times New Roman;Times;Serif" w:hAnsi="Times New Roman;Times;Serif"/>
          <w:b w:val="false"/>
          <w:i w:val="false"/>
          <w:caps w:val="false"/>
          <w:smallCaps w:val="false"/>
          <w:sz w:val="20"/>
        </w:rPr>
        <w:t>. R&amp;D expenses primarily consist of fees paid to third-party consultants and other costs incurred in the development of the Company’s proprietary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Company recognized R&amp;D expense of $</w:t>
      </w:r>
      <w:bookmarkStart w:id="345" w:name="xdx_901_eus-gaap--ResearchAndDevelopment"/>
      <w:bookmarkEnd w:id="345"/>
      <w:r>
        <w:rPr>
          <w:rFonts w:ascii="Times New Roman;Times;Serif" w:hAnsi="Times New Roman;Times;Serif"/>
          <w:b w:val="false"/>
          <w:i w:val="false"/>
          <w:caps w:val="false"/>
          <w:smallCaps w:val="false"/>
          <w:sz w:val="20"/>
        </w:rPr>
        <w:t>600,510 and $</w:t>
      </w:r>
      <w:bookmarkStart w:id="346" w:name="xdx_90B_eus-gaap--ResearchAndDevelopment"/>
      <w:bookmarkEnd w:id="346"/>
      <w:r>
        <w:rPr>
          <w:rFonts w:ascii="Times New Roman;Times;Serif" w:hAnsi="Times New Roman;Times;Serif"/>
          <w:b w:val="false"/>
          <w:i w:val="false"/>
          <w:caps w:val="false"/>
          <w:smallCaps w:val="false"/>
          <w:sz w:val="20"/>
        </w:rPr>
        <w:t>760,036,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u w:val="single"/>
        </w:rPr>
      </w:pPr>
      <w:bookmarkStart w:id="347" w:name="xdx_848_eus-gaap--AdvertisingCostsPolicy"/>
      <w:bookmarkEnd w:id="347"/>
      <w:r>
        <w:rPr>
          <w:rFonts w:ascii="Times New Roman;Times;Serif" w:hAnsi="Times New Roman;Times;Serif"/>
          <w:b w:val="false"/>
          <w:i w:val="false"/>
          <w:caps w:val="false"/>
          <w:smallCaps w:val="false"/>
          <w:sz w:val="20"/>
          <w:u w:val="single"/>
        </w:rPr>
        <w:t>Advertising Costs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costs were $</w:t>
      </w:r>
      <w:bookmarkStart w:id="348" w:name="xdx_906_eus-gaap--AdvertisingExpense_c20"/>
      <w:bookmarkEnd w:id="348"/>
      <w:r>
        <w:rPr>
          <w:rFonts w:ascii="Times New Roman;Times;Serif" w:hAnsi="Times New Roman;Times;Serif"/>
          <w:b w:val="false"/>
          <w:i w:val="false"/>
          <w:caps w:val="false"/>
          <w:smallCaps w:val="false"/>
          <w:sz w:val="20"/>
        </w:rPr>
        <w:t>73,896 and $</w:t>
      </w:r>
      <w:bookmarkStart w:id="349" w:name="xdx_90E_eus-gaap--AdvertisingExpense_c20"/>
      <w:bookmarkEnd w:id="349"/>
      <w:r>
        <w:rPr>
          <w:rFonts w:ascii="Times New Roman;Times;Serif" w:hAnsi="Times New Roman;Times;Serif"/>
          <w:b w:val="false"/>
          <w:i w:val="false"/>
          <w:caps w:val="false"/>
          <w:smallCaps w:val="false"/>
          <w:sz w:val="20"/>
        </w:rPr>
        <w:t>189,026 for the years ended December 31, 2025 and 2024. These costs when incurred are included in 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50" w:name="xdx_84F_eus-gaap--ShareBasedCompensation"/>
      <w:bookmarkEnd w:id="350"/>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stock-based compensation under the provisions of ASC 718, </w:t>
      </w:r>
      <w:r>
        <w:rPr>
          <w:rFonts w:ascii="Times New Roman;Times;Serif" w:hAnsi="Times New Roman;Times;Serif"/>
          <w:b w:val="false"/>
          <w:i/>
          <w:caps w:val="false"/>
          <w:smallCaps w:val="false"/>
          <w:sz w:val="20"/>
        </w:rPr>
        <w:t xml:space="preserve">Compensation—Stock Compensation, </w:t>
      </w:r>
      <w:r>
        <w:rPr>
          <w:rFonts w:ascii="Times New Roman;Times;Serif" w:hAnsi="Times New Roman;Times;Serif"/>
          <w:b w:val="false"/>
          <w:i w:val="false"/>
          <w:caps w:val="false"/>
          <w:smallCaps w:val="false"/>
          <w:sz w:val="20"/>
        </w:rPr>
        <w:t>which requires the measurement and recognition of compensation expense for all stock-based awards made to employees and directors based on estimated fair values on the grant date. The Company estimates the fair value of stock option awards on the date of grant using the Black-Scholes model. The fair value of restricted stock units is measured at the market price of the Company’s stock on the date of grant. The value of the portion of the award that is ultimately expected to vest is recognized as expense over the requisite service periods using the straight-line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Accounting Standards Update (“ASU”) No. 2018-07, </w:t>
      </w:r>
      <w:r>
        <w:rPr>
          <w:rFonts w:ascii="Times New Roman;Times;Serif" w:hAnsi="Times New Roman;Times;Serif"/>
          <w:b w:val="false"/>
          <w:i/>
          <w:caps w:val="false"/>
          <w:smallCaps w:val="false"/>
          <w:sz w:val="20"/>
        </w:rPr>
        <w:t>Compensation—Stock Compensation (Topic 718), Improvements to Nonemployee Share-Based Payment Accounting</w:t>
      </w:r>
      <w:r>
        <w:rPr>
          <w:rFonts w:ascii="Times New Roman;Times;Serif" w:hAnsi="Times New Roman;Times;Serif"/>
          <w:b w:val="false"/>
          <w:i w:val="false"/>
          <w:caps w:val="false"/>
          <w:smallCaps w:val="false"/>
          <w:sz w:val="20"/>
        </w:rPr>
        <w:t xml:space="preserve">, the Company accounts for share-based payment transactions for acquiring goods and services from nonemployees in a manner consistent with employee awards. Such awards are measured at the grant-date fair value of the equity instruments issued and recognized as expense when the goods are delivered or services are rendered, unless the awards are subject to vesting conditions, in which case expense is recognized over the requisite service period.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account for forfeiture of stock-based awards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fair value of one (1) share of the Company’s common stock was determined to be $</w:t>
      </w:r>
      <w:bookmarkStart w:id="351" w:name="xdx_90A_ecustom--SharebasedCompensationA"/>
      <w:bookmarkEnd w:id="351"/>
      <w:r>
        <w:rPr>
          <w:rFonts w:ascii="Times New Roman;Times;Serif" w:hAnsi="Times New Roman;Times;Serif"/>
          <w:b w:val="false"/>
          <w:i w:val="false"/>
          <w:caps w:val="false"/>
          <w:smallCaps w:val="false"/>
          <w:sz w:val="20"/>
        </w:rPr>
        <w:t>13.00 for the period of January 1, 2025 to May 15, 2025 and $</w:t>
      </w:r>
      <w:bookmarkStart w:id="352" w:name="xdx_907_eus-gaap--SharePrice_iI_c2024123"/>
      <w:bookmarkEnd w:id="352"/>
      <w:r>
        <w:rPr>
          <w:rFonts w:ascii="Times New Roman;Times;Serif" w:hAnsi="Times New Roman;Times;Serif"/>
          <w:b w:val="false"/>
          <w:i w:val="false"/>
          <w:caps w:val="false"/>
          <w:smallCaps w:val="false"/>
          <w:sz w:val="20"/>
        </w:rPr>
        <w:t>12.00 for the year ended December 31, 2024. On May 15, 2025, the Company completed its direct listing, and its common stock began trading on the Nasdaq Stock Exchange. Subsequent to May 15, 2025, the price of the Company’s common stock was determined by the Nasdaq daily closing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May 15, 2025, the fair value of common stock was determined using the prior transaction method, which considers actual transactions in the Company’s non-controlling, non-marketable private company equity interests. This method reflects the value of a non-controlling, non-marketable interest; however, management concluded that no additional discount for lack of control or marketability was necessary based on the specific facts and circumstances. As part of this methodology, there are a number of limiting assumptions, however, management believes it appropriately represents the fair market value indication for one (1) share of the Company’s common stock. Prior to May 15, 2025, because the Company’s stock was not publicly traded, expected volatility was estimated based on the historical and implied volatility of comparable publicly traded companies, considering factors such as industry, stage of the life cycle, size, market capitalization, and financial leverage.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53" w:name="xdx_840_ecustom--ConvertibleNotesPayable"/>
      <w:bookmarkEnd w:id="353"/>
      <w:r>
        <w:rPr>
          <w:rFonts w:ascii="Times New Roman;Times;Serif" w:hAnsi="Times New Roman;Times;Serif"/>
          <w:b w:val="false"/>
          <w:i w:val="false"/>
          <w:caps w:val="false"/>
          <w:smallCaps w:val="false"/>
          <w:sz w:val="20"/>
          <w:u w:val="single"/>
        </w:rPr>
        <w:t>Convertible Notes Payable and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convertible notes in accordance with ASC 470,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and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At issuance, the Company evaluates each convertible note to determine whether any embedded features must be bifurcated and accounted for separately as a derivative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embedded conversion feature fails the indexed-to-own-stock test under ASC 815-40-15, because the conversion price is determined by a path-dependent formula rather than a fixed price or a current observable price, the conversion feature is bifurcated from the host debt instrument and recognized as a derivative liability at fair value on the issuance date. The host debt instrument is then recorded at an initial carrying value equal to the cash proceeds received, reduced by (i) the original issue discount (“OID”), (ii) the fair value of the bifurcated derivative liability at issuance, and (iii) debt issuance costs allocable to the host instrument.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 embedded derivative is bifurcated from a convertible note at issuance, the Company initially records the derivative liability at fair value, with the residual proceeds allocated to the host debt instrument, consistent with ASC 835-30 and ASC 815. Debt issuance costs are allocated consistently with this initial measurement approach. The portion of issuance costs allocated to the derivative liability is expensed immediately in the period of issuance. The portion of issuance costs allocated to the host debt instrument is recorded as a contra-debt balance (debt issuance costs) and amortized to interest expense over the expected term of the note using the effective interest method (“EIM”).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combined discount on each host debt instrument consisting of OID, the fair value of the bifurcated derivative at issuance, and allocated debt issuance costs is accreted to the face amount of the note using the EIM over the expected term of each note in accordance with ASC 835-30.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convertible note has no stated maturity date, the Company estimates the expected term based on management’s best estimate of the period over which the debt is expected to remain outstanding, considering the economic substance of the instrument, the contractual terms, the expected timing and pattern of conversion or settlement, and other relevant facts and circumstances. The expected term used for accretion of the host debt instrument is applied consistently with the expected term used in valuing any bifurcated embedded derivative. This estimate is reassessed when facts and circumstances indicate a change may be warranted.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Bifurcated derivative liabilities are recognized at fair value on the issuance date of the applicable convertible note and are subsequently remeasured at fair value at each reporting date and at each conversion date, in accordance with ASC 815. Changes in fair value are recognized in earnings as a gain or loss on change in fair value of derivative liabilities and are presented as a separate line item within other income (expense)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the conversion feature’s fair value cannot be estimated using a closed-form solution because the conversion price is based on a formula that incorporates path-dependent inputs, the Company estimates fair value using a Monte Carlo simulation model. The model simulates a large number of potential stock price paths and computes the expected present value of the conversion payoff under each path. The significant unobservable inputs used in the Monte Carlo simulation include the expected equity volatility, expected instrument term, risk-free rate, and debt discount rate. These instruments are classified within Level 3 of the fair value hierarchy established under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because their valuation relies on significant unobservable inputs. See NOTE 5 for a description of the valuation methodology and significant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noteholder elects to convert a portion or all of a convertible note into shares of common stock, the Company accounts for the conversion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pro-rata portion of the carrying value of the host debt instrument, including the related pro-rata unamortized OID and pro-rata unamortized debt issuance costs, is derecognized upon conversion. If the carrying amount of the net host instrument differs from the consideration transferred, the difference is recognized as a gain or loss on conversion of debt in accordance with ASC 470-50.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pro-rata portion of the bifurcated derivative liability attributable to the converted principal is remeasured to fair value as of the conversion date. The change in fair value from the most recent prior remeasurement date to the conversion date is recognized in earnings as a gain or loss on change in fair value of derivative liability. Upon conversion of the convertible notes payable, the pro-rata portion of the remeasured fair value of the derivative liability is then derecognized from the balance sheet with a credit to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54" w:name="xdx_84D_eus-gaap--FairValueOfFinancialIn"/>
      <w:bookmarkEnd w:id="354"/>
      <w:r>
        <w:rPr>
          <w:rFonts w:ascii="Times New Roman;Times;Serif" w:hAnsi="Times New Roman;Times;Serif"/>
          <w:b w:val="false"/>
          <w:i w:val="false"/>
          <w:caps w:val="false"/>
          <w:smallCaps w:val="false"/>
          <w:sz w:val="20"/>
          <w:u w:val="single"/>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measures fair value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which defines fair value as the price that would be received to sell an asset or paid to transfer a liability in an orderly transaction between market participants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the Company’s short-term financial instruments, including cash, accounts receivable, accounts payable, and accrued liabilities approximate their fair values due to their short-term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host portions of convertible notes payable, excluding the separately recognized bifurcated derivative liabilities, are carried at amortized cost using the effective interest method as disclosed in NOTE 5. The bifurcated derivative liabilities associated with the convertible notes are carried at fair value on a recurring basis and classified within Level 3 of the fair value hierarchy. See NOTE 5 for a full description of the fair value measurement methodology, significant unobservable inputs, and the roll-forward of the derivative liabilities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vehicle note payable is carried at amortized cost. The estimated fair value of this instrument approximates its carrying value due to the interest rate approximating current market rates for similar collateralized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55" w:name="xdx_84F_eus-gaap--IncomeTaxPolicyTextBlo"/>
      <w:bookmarkEnd w:id="355"/>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current and deferred tax assets and liabilities for temporary differences between the financial reporting and tax bases of assets and liabilities and for operating loss carryforwards in accordance with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A valuation allowance is established when, based on the weight of available evidence, it is more-likely-than-not that some or all of the deferred tax assets will not be realized.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56" w:name="xdx_841_eus-gaap--NewAccountingPronounce"/>
      <w:bookmarkEnd w:id="356"/>
      <w:r>
        <w:rPr>
          <w:rFonts w:ascii="Times New Roman;Times;Serif" w:hAnsi="Times New Roman;Times;Serif"/>
          <w:b w:val="false"/>
          <w:i w:val="false"/>
          <w:caps w:val="false"/>
          <w:smallCaps w:val="false"/>
          <w:sz w:val="20"/>
          <w:u w:val="single"/>
        </w:rPr>
        <w:t>Recently Adopted Accounting Pronouncements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FASB issued ASU 2023-07, </w:t>
      </w:r>
      <w:r>
        <w:rPr>
          <w:rFonts w:ascii="Times New Roman;Times;Serif" w:hAnsi="Times New Roman;Times;Serif"/>
          <w:b w:val="false"/>
          <w:i/>
          <w:caps w:val="false"/>
          <w:smallCaps w:val="false"/>
          <w:sz w:val="20"/>
        </w:rPr>
        <w:t>Segment Reporting (Topic 280): Improvements to Reportable Segment Disclosures</w:t>
      </w:r>
      <w:r>
        <w:rPr>
          <w:rFonts w:ascii="Times New Roman;Times;Serif" w:hAnsi="Times New Roman;Times;Serif"/>
          <w:b w:val="false"/>
          <w:i w:val="false"/>
          <w:caps w:val="false"/>
          <w:smallCaps w:val="false"/>
          <w:sz w:val="20"/>
        </w:rPr>
        <w:t>, which requires public entities to disclose significant segment expenses and other segment items on an interim and annual basis, and provide in interim periods all disclosures about a reportable segment’s profit or loss and assets that are currently required annually. The ASU does not change how a public entity identifies its operating segments, aggregates them, or applies the quantitative threshold to determine its reportable segments. The new disclosure requirements are also applicable to entities that account and report as a single operating segment entity. ASU 2023-07 is effective for fiscal years beginning after December 15, 2023, and for interim periods within fiscal years beginning after December 15, 2024. The Company adopted the guidance for the annual reporting period ended December 31, 2024. There was no impact on the Company’s reportable segments identified and additional required disclosures have been included in NOTE 19.</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Improvements to Income Tax Disclosures</w:t>
      </w:r>
      <w:r>
        <w:rPr>
          <w:rFonts w:ascii="Times New Roman;Times;Serif" w:hAnsi="Times New Roman;Times;Serif"/>
          <w:b w:val="false"/>
          <w:i w:val="false"/>
          <w:caps w:val="false"/>
          <w:smallCaps w:val="false"/>
          <w:sz w:val="20"/>
        </w:rPr>
        <w:t xml:space="preserve"> (“ASU 2023-09”), which requires the disclosure of a tabular reconciliation for state and local income tax, tax credits, and changes in valuation allowance. The requirements are effective for annual reporting periods beginning after December 15, 2024, and may be applied prospectively or retrospectively. The Company has adopted the additional disclosure requirements under ASU 2023-09. The additional requirements did not have a material impact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57" w:name="xdx_84A_ecustom--NewAccountingPronouncem"/>
      <w:bookmarkEnd w:id="357"/>
      <w:r>
        <w:rPr>
          <w:rFonts w:ascii="Times New Roman;Times;Serif" w:hAnsi="Times New Roman;Times;Serif"/>
          <w:b w:val="false"/>
          <w:i w:val="false"/>
          <w:caps w:val="false"/>
          <w:smallCaps w:val="false"/>
          <w:sz w:val="20"/>
          <w:u w:val="single"/>
        </w:rPr>
        <w:t>Recently Issued Accounting Pronouncements Not Yet Adopted</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ASC Subtopic </w:t>
      </w:r>
      <w:r>
        <w:rPr>
          <w:rFonts w:ascii="Times New Roman;Times;Serif" w:hAnsi="Times New Roman;Times;Serif"/>
          <w:b w:val="false"/>
          <w:i/>
          <w:caps w:val="false"/>
          <w:smallCaps w:val="false"/>
          <w:sz w:val="20"/>
        </w:rPr>
        <w:t>Disaggregation of Income Statement Expenses (ASC 220-40): Income Statement-Reporting Comprehensive Income—Expense Disaggregation Disclosures</w:t>
      </w:r>
      <w:r>
        <w:rPr>
          <w:rFonts w:ascii="Times New Roman;Times;Serif" w:hAnsi="Times New Roman;Times;Serif"/>
          <w:b w:val="false"/>
          <w:i w:val="false"/>
          <w:caps w:val="false"/>
          <w:smallCaps w:val="false"/>
          <w:sz w:val="20"/>
        </w:rPr>
        <w:t>. The amendments require additional disclosure of the nature of expenses included in the income statement. The amendments in this update are effective for public business entities for fiscal years, beginning after December 15, 2026. Early adoption is permitted. The Company is currently assessing the impact of the adoption of this standard on its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FASB issued ASU 2025-05, </w:t>
      </w:r>
      <w:r>
        <w:rPr>
          <w:rFonts w:ascii="Times New Roman;Times;Serif" w:hAnsi="Times New Roman;Times;Serif"/>
          <w:b w:val="false"/>
          <w:i/>
          <w:caps w:val="false"/>
          <w:smallCaps w:val="false"/>
          <w:sz w:val="20"/>
        </w:rPr>
        <w:t>Measurement of Credit Losses for Accounts Receivable and Contract Assets</w:t>
      </w:r>
      <w:r>
        <w:rPr>
          <w:rFonts w:ascii="Times New Roman;Times;Serif" w:hAnsi="Times New Roman;Times;Serif"/>
          <w:b w:val="false"/>
          <w:i w:val="false"/>
          <w:caps w:val="false"/>
          <w:smallCaps w:val="false"/>
          <w:sz w:val="20"/>
        </w:rPr>
        <w:t>. The amendments provide a practical expedient allowing entities to assume that conditions existing at the balance sheet date are expected to remain unchanged over the life of current accounts receivable when estimating expected credit losses. The amendments are effective for annual reporting periods beginning after December 15, 2025, including interim periods within those fiscal years. Early adoption is permitted. The Company is currently assessing the impact of the adoption of this standard on its financial statements.</w:t>
      </w:r>
    </w:p>
    <w:p>
      <w:pPr>
        <w:pStyle w:val="TextBody"/>
        <w:bidi w:val="0"/>
        <w:spacing w:before="0" w:after="0"/>
        <w:ind w:left="0" w:right="0" w:hanging="0"/>
        <w:jc w:val="both"/>
        <w:rPr>
          <w:caps w:val="false"/>
          <w:smallCaps w:val="false"/>
        </w:rPr>
      </w:pPr>
      <w:bookmarkStart w:id="358" w:name="xdx_854_zTI16fhkL3x4"/>
      <w:bookmarkEnd w:id="358"/>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359" w:name="xdx_803_eus-gaap--RevenueFromContractWit"/>
      <w:bookmarkEnd w:id="359"/>
      <w:r>
        <w:rPr>
          <w:rFonts w:ascii="Times New Roman;Times;Serif" w:hAnsi="Times New Roman;Times;Serif"/>
          <w:b/>
          <w:i w:val="false"/>
          <w:caps/>
          <w:sz w:val="20"/>
        </w:rPr>
        <w:t xml:space="preserve">NOTE 3 – </w:t>
      </w:r>
      <w:bookmarkStart w:id="360" w:name="xdx_825_z73KhtIdezn2"/>
      <w:bookmarkEnd w:id="360"/>
      <w:r>
        <w:rPr>
          <w:rFonts w:ascii="Times New Roman;Times;Serif" w:hAnsi="Times New Roman;Times;Serif"/>
          <w:b/>
          <w:i w:val="false"/>
          <w:caps/>
          <w:sz w:val="20"/>
        </w:rPr>
        <w:t>REVENUE</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1" w:name="xdx_89F_eus-gaap--DisaggregationOfRevenu"/>
      <w:bookmarkEnd w:id="361"/>
      <w:r>
        <w:rPr>
          <w:rFonts w:ascii="Times New Roman;Times;Serif" w:hAnsi="Times New Roman;Times;Serif"/>
          <w:b w:val="false"/>
          <w:i w:val="false"/>
          <w:caps w:val="false"/>
          <w:smallCaps w:val="false"/>
          <w:sz w:val="20"/>
        </w:rPr>
        <w:t>Disaggregated revenue for the year ended December 31, 2025 is as follows (the Company did not recognize revenue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2" w:name="xdx_8B5_zyWUKEk2D8Fd"/>
      <w:bookmarkEnd w:id="362"/>
      <w:r>
        <w:rPr>
          <w:rFonts w:ascii="Times New Roman;Times;Serif" w:hAnsi="Times New Roman;Times;Serif"/>
          <w:b w:val="false"/>
          <w:i w:val="false"/>
          <w:caps w:val="false"/>
          <w:smallCaps w:val="false"/>
          <w:sz w:val="20"/>
        </w:rPr>
        <w:t>SCHEDULE OF DISAGGREGATED REVENUE</w:t>
      </w:r>
    </w:p>
    <w:tbl>
      <w:tblPr>
        <w:tblW w:w="5619" w:type="dxa"/>
        <w:jc w:val="left"/>
        <w:tblInd w:w="0" w:type="dxa"/>
        <w:tblLayout w:type="fixed"/>
        <w:tblCellMar>
          <w:top w:w="0" w:type="dxa"/>
          <w:left w:w="0" w:type="dxa"/>
          <w:bottom w:w="0" w:type="dxa"/>
          <w:right w:w="0" w:type="dxa"/>
        </w:tblCellMar>
      </w:tblPr>
      <w:tblGrid>
        <w:gridCol w:w="3530"/>
        <w:gridCol w:w="60"/>
        <w:gridCol w:w="290"/>
        <w:gridCol w:w="1664"/>
        <w:gridCol w:w="75"/>
      </w:tblGrid>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63" w:name="xdx_493_20250101__20251231_zoNLUC7QhDpi"/>
            <w:bookmarkEnd w:id="363"/>
          </w:p>
        </w:tc>
        <w:tc>
          <w:tcPr>
            <w:tcW w:w="1954" w:type="dxa"/>
            <w:gridSpan w:val="2"/>
            <w:tcBorders/>
            <w:vAlign w:val="center"/>
          </w:tcPr>
          <w:p>
            <w:pPr>
              <w:pStyle w:val="TableContents"/>
              <w:bidi w:val="0"/>
              <w:spacing w:before="0" w:after="283"/>
              <w:jc w:val="center"/>
              <w:rPr>
                <w:b/>
              </w:rPr>
            </w:pPr>
            <w:r>
              <w:rPr>
                <w:b/>
              </w:rPr>
              <w:t>Year Ended</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u w:val="single"/>
              </w:rPr>
            </w:pPr>
            <w:r>
              <w:rPr>
                <w:u w:val="single"/>
              </w:rPr>
              <w:t>Revenue source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64" w:name="xdx_401_eus-gaap--RevenueFromContractWit"/>
            <w:bookmarkEnd w:id="364"/>
          </w:p>
        </w:tc>
      </w:tr>
      <w:tr>
        <w:trPr/>
        <w:tc>
          <w:tcPr>
            <w:tcW w:w="3530" w:type="dxa"/>
            <w:tcBorders/>
            <w:shd w:fill="FFFFFF" w:val="clear"/>
            <w:vAlign w:val="center"/>
          </w:tcPr>
          <w:p>
            <w:pPr>
              <w:pStyle w:val="TableContents"/>
              <w:bidi w:val="0"/>
              <w:spacing w:before="0" w:after="283"/>
              <w:jc w:val="left"/>
              <w:rPr/>
            </w:pPr>
            <w:r>
              <w:rPr/>
              <w:t>Consulting services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w:t>
            </w:r>
          </w:p>
        </w:tc>
        <w:tc>
          <w:tcPr>
            <w:tcW w:w="1664" w:type="dxa"/>
            <w:tcBorders/>
            <w:shd w:fill="FFFFFF" w:val="clear"/>
            <w:vAlign w:val="center"/>
          </w:tcPr>
          <w:p>
            <w:pPr>
              <w:pStyle w:val="TableContents"/>
              <w:bidi w:val="0"/>
              <w:spacing w:before="0" w:after="283"/>
              <w:jc w:val="right"/>
              <w:rPr/>
            </w:pPr>
            <w:r>
              <w:rPr/>
              <w:t>89,000</w:t>
            </w:r>
          </w:p>
        </w:tc>
        <w:tc>
          <w:tcPr>
            <w:tcW w:w="75" w:type="dxa"/>
            <w:tcBorders/>
            <w:shd w:fill="FFFFFF" w:val="clear"/>
            <w:vAlign w:val="center"/>
          </w:tcPr>
          <w:p>
            <w:pPr>
              <w:pStyle w:val="TableContents"/>
              <w:bidi w:val="0"/>
              <w:spacing w:before="0" w:after="283"/>
              <w:jc w:val="left"/>
              <w:rPr/>
            </w:pPr>
            <w:r>
              <w:rPr/>
              <w:t> </w:t>
            </w:r>
            <w:bookmarkStart w:id="365" w:name="xdx_403_eus-gaap--RevenueFromContractWit"/>
            <w:bookmarkEnd w:id="365"/>
          </w:p>
        </w:tc>
      </w:tr>
      <w:tr>
        <w:trPr/>
        <w:tc>
          <w:tcPr>
            <w:tcW w:w="3530" w:type="dxa"/>
            <w:tcBorders/>
            <w:shd w:fill="CCEEFF" w:val="clear"/>
            <w:vAlign w:val="center"/>
          </w:tcPr>
          <w:p>
            <w:pPr>
              <w:pStyle w:val="TableContents"/>
              <w:bidi w:val="0"/>
              <w:spacing w:before="0" w:after="283"/>
              <w:jc w:val="left"/>
              <w:rPr/>
            </w:pPr>
            <w:r>
              <w:rPr/>
              <w:t>Installation services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3,675</w:t>
            </w:r>
          </w:p>
        </w:tc>
        <w:tc>
          <w:tcPr>
            <w:tcW w:w="75" w:type="dxa"/>
            <w:tcBorders/>
            <w:shd w:fill="CCEEFF" w:val="clear"/>
            <w:vAlign w:val="center"/>
          </w:tcPr>
          <w:p>
            <w:pPr>
              <w:pStyle w:val="TableContents"/>
              <w:bidi w:val="0"/>
              <w:spacing w:before="0" w:after="283"/>
              <w:jc w:val="left"/>
              <w:rPr/>
            </w:pPr>
            <w:r>
              <w:rPr/>
              <w:t> </w:t>
            </w:r>
            <w:bookmarkStart w:id="366" w:name="xdx_401_eus-gaap--RevenueFromContractWit"/>
            <w:bookmarkEnd w:id="366"/>
          </w:p>
        </w:tc>
      </w:tr>
      <w:tr>
        <w:trPr/>
        <w:tc>
          <w:tcPr>
            <w:tcW w:w="3530" w:type="dxa"/>
            <w:tcBorders/>
            <w:shd w:fill="FFFFFF" w:val="clear"/>
            <w:vAlign w:val="center"/>
          </w:tcPr>
          <w:p>
            <w:pPr>
              <w:pStyle w:val="TableContents"/>
              <w:bidi w:val="0"/>
              <w:spacing w:before="0" w:after="283"/>
              <w:jc w:val="left"/>
              <w:rPr/>
            </w:pPr>
            <w:r>
              <w:rPr/>
              <w:t>Subscription fees</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FFFFFF" w:val="clear"/>
            <w:tcMar>
              <w:bottom w:w="28" w:type="dxa"/>
            </w:tcMar>
            <w:vAlign w:val="center"/>
          </w:tcPr>
          <w:p>
            <w:pPr>
              <w:pStyle w:val="TableContents"/>
              <w:bidi w:val="0"/>
              <w:spacing w:before="0" w:after="283"/>
              <w:jc w:val="right"/>
              <w:rPr/>
            </w:pPr>
            <w:r>
              <w:rPr/>
              <w:t>20,575</w:t>
            </w:r>
          </w:p>
        </w:tc>
        <w:tc>
          <w:tcPr>
            <w:tcW w:w="75" w:type="dxa"/>
            <w:tcBorders/>
            <w:shd w:fill="FFFFFF" w:val="clear"/>
            <w:vAlign w:val="center"/>
          </w:tcPr>
          <w:p>
            <w:pPr>
              <w:pStyle w:val="TableContents"/>
              <w:bidi w:val="0"/>
              <w:spacing w:before="0" w:after="283"/>
              <w:jc w:val="left"/>
              <w:rPr/>
            </w:pPr>
            <w:r>
              <w:rPr/>
              <w:t> </w:t>
            </w:r>
            <w:bookmarkStart w:id="367" w:name="xdx_406_eus-gaap--RevenueFromContractWit"/>
            <w:bookmarkEnd w:id="367"/>
          </w:p>
        </w:tc>
      </w:tr>
      <w:tr>
        <w:trPr/>
        <w:tc>
          <w:tcPr>
            <w:tcW w:w="353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64" w:type="dxa"/>
            <w:tcBorders>
              <w:bottom w:val="double" w:sz="6" w:space="0" w:color="000000"/>
            </w:tcBorders>
            <w:shd w:fill="CCEEFF" w:val="clear"/>
            <w:tcMar>
              <w:bottom w:w="28" w:type="dxa"/>
            </w:tcMar>
            <w:vAlign w:val="center"/>
          </w:tcPr>
          <w:p>
            <w:pPr>
              <w:pStyle w:val="TableContents"/>
              <w:bidi w:val="0"/>
              <w:spacing w:before="0" w:after="283"/>
              <w:jc w:val="right"/>
              <w:rPr/>
            </w:pPr>
            <w:r>
              <w:rPr/>
              <w:t>113,250</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u w:val="single"/>
              </w:rPr>
            </w:pPr>
            <w:r>
              <w:rPr>
                <w:u w:val="single"/>
              </w:rPr>
              <w:t>Timing of Revenue Recognition</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6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68" w:name="xdx_40D_eus-gaap--RevenueFromContractWit"/>
            <w:bookmarkEnd w:id="368"/>
          </w:p>
        </w:tc>
      </w:tr>
      <w:tr>
        <w:trPr/>
        <w:tc>
          <w:tcPr>
            <w:tcW w:w="3530" w:type="dxa"/>
            <w:tcBorders/>
            <w:shd w:fill="FFFFFF" w:val="clear"/>
            <w:vAlign w:val="center"/>
          </w:tcPr>
          <w:p>
            <w:pPr>
              <w:pStyle w:val="TableContents"/>
              <w:bidi w:val="0"/>
              <w:spacing w:before="0" w:after="283"/>
              <w:jc w:val="left"/>
              <w:rPr/>
            </w:pPr>
            <w:r>
              <w:rPr/>
              <w:t>Services transferred over time</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w:t>
            </w:r>
          </w:p>
        </w:tc>
        <w:tc>
          <w:tcPr>
            <w:tcW w:w="1664" w:type="dxa"/>
            <w:tcBorders/>
            <w:shd w:fill="FFFFFF" w:val="clear"/>
            <w:vAlign w:val="center"/>
          </w:tcPr>
          <w:p>
            <w:pPr>
              <w:pStyle w:val="TableContents"/>
              <w:bidi w:val="0"/>
              <w:spacing w:before="0" w:after="283"/>
              <w:jc w:val="right"/>
              <w:rPr/>
            </w:pPr>
            <w:r>
              <w:rPr/>
              <w:t>109,575</w:t>
            </w:r>
          </w:p>
        </w:tc>
        <w:tc>
          <w:tcPr>
            <w:tcW w:w="75" w:type="dxa"/>
            <w:tcBorders/>
            <w:shd w:fill="FFFFFF" w:val="clear"/>
            <w:vAlign w:val="center"/>
          </w:tcPr>
          <w:p>
            <w:pPr>
              <w:pStyle w:val="TableContents"/>
              <w:bidi w:val="0"/>
              <w:spacing w:before="0" w:after="283"/>
              <w:jc w:val="left"/>
              <w:rPr/>
            </w:pPr>
            <w:r>
              <w:rPr/>
              <w:t> </w:t>
            </w:r>
            <w:bookmarkStart w:id="369" w:name="xdx_400_eus-gaap--RevenueFromContractWit"/>
            <w:bookmarkEnd w:id="369"/>
          </w:p>
        </w:tc>
      </w:tr>
      <w:tr>
        <w:trPr/>
        <w:tc>
          <w:tcPr>
            <w:tcW w:w="3530" w:type="dxa"/>
            <w:tcBorders/>
            <w:shd w:fill="CCEEFF" w:val="clear"/>
            <w:vAlign w:val="center"/>
          </w:tcPr>
          <w:p>
            <w:pPr>
              <w:pStyle w:val="TableContents"/>
              <w:bidi w:val="0"/>
              <w:spacing w:before="0" w:after="283"/>
              <w:jc w:val="left"/>
              <w:rPr/>
            </w:pPr>
            <w:r>
              <w:rPr/>
              <w:t>Services transferred at a point in time</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pPr>
            <w:r>
              <w:rPr/>
              <w:t>3,675</w:t>
            </w:r>
          </w:p>
        </w:tc>
        <w:tc>
          <w:tcPr>
            <w:tcW w:w="75" w:type="dxa"/>
            <w:tcBorders/>
            <w:shd w:fill="CCEEFF" w:val="clear"/>
            <w:vAlign w:val="center"/>
          </w:tcPr>
          <w:p>
            <w:pPr>
              <w:pStyle w:val="TableContents"/>
              <w:bidi w:val="0"/>
              <w:spacing w:before="0" w:after="283"/>
              <w:jc w:val="left"/>
              <w:rPr/>
            </w:pPr>
            <w:r>
              <w:rPr/>
              <w:t> </w:t>
            </w:r>
            <w:bookmarkStart w:id="370" w:name="xdx_40B_eus-gaap--RevenueFromContractWit"/>
            <w:bookmarkEnd w:id="370"/>
          </w:p>
        </w:tc>
      </w:tr>
      <w:tr>
        <w:trPr/>
        <w:tc>
          <w:tcPr>
            <w:tcW w:w="3530"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64" w:type="dxa"/>
            <w:tcBorders>
              <w:bottom w:val="double" w:sz="6" w:space="0" w:color="000000"/>
            </w:tcBorders>
            <w:shd w:fill="FFFFFF" w:val="clear"/>
            <w:tcMar>
              <w:bottom w:w="28" w:type="dxa"/>
            </w:tcMar>
            <w:vAlign w:val="center"/>
          </w:tcPr>
          <w:p>
            <w:pPr>
              <w:pStyle w:val="TableContents"/>
              <w:bidi w:val="0"/>
              <w:spacing w:before="0" w:after="283"/>
              <w:jc w:val="right"/>
              <w:rPr/>
            </w:pPr>
            <w:r>
              <w:rPr/>
              <w:t>113,250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576" w:right="0" w:hanging="576"/>
        <w:jc w:val="both"/>
        <w:rPr>
          <w:caps w:val="false"/>
          <w:smallCaps w:val="false"/>
        </w:rPr>
      </w:pPr>
      <w:bookmarkStart w:id="371" w:name="xdx_8A9_z9YN2sxyXJid"/>
      <w:bookmarkEnd w:id="37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ARRIVE AI INC.</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NOTES TO FINANCIAL STATEMENTS (CONTINUED)</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DECEMBER 31, 2025 AND 2024</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2" w:name="xdx_808_eus-gaap--SubstantialDoubtAboutG"/>
      <w:bookmarkEnd w:id="372"/>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4 - </w:t>
      </w:r>
      <w:bookmarkStart w:id="373" w:name="xdx_821_zh59SrPixNL"/>
      <w:bookmarkEnd w:id="373"/>
      <w:r>
        <w:rPr>
          <w:rFonts w:ascii="Times New Roman;Times;Serif" w:hAnsi="Times New Roman;Times;Serif"/>
          <w:b/>
          <w:i w:val="false"/>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cash and cash equivalents of approximately $</w:t>
      </w:r>
      <w:bookmarkStart w:id="374" w:name="xdx_90B_eus-gaap--CashEquivalentsAtCarry"/>
      <w:bookmarkEnd w:id="374"/>
      <w:r>
        <w:rPr>
          <w:rFonts w:ascii="Times New Roman;Times;Serif" w:hAnsi="Times New Roman;Times;Serif"/>
          <w:b w:val="false"/>
          <w:i w:val="false"/>
          <w:caps w:val="false"/>
          <w:smallCaps w:val="false"/>
          <w:sz w:val="20"/>
        </w:rPr>
        <w:t>2.1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disclosed in </w:t>
      </w:r>
      <w:r>
        <w:rPr>
          <w:rFonts w:ascii="Times New Roman;Times;Serif" w:hAnsi="Times New Roman;Times;Serif"/>
          <w:b w:val="false"/>
          <w:i w:val="false"/>
          <w:caps/>
          <w:sz w:val="20"/>
        </w:rPr>
        <w:t>Note</w:t>
      </w:r>
      <w:r>
        <w:rPr>
          <w:rFonts w:ascii="Times New Roman;Times;Serif" w:hAnsi="Times New Roman;Times;Serif"/>
          <w:b w:val="false"/>
          <w:i w:val="false"/>
          <w:caps w:val="false"/>
          <w:smallCaps w:val="false"/>
          <w:sz w:val="20"/>
        </w:rPr>
        <w:t xml:space="preserve"> 20, subsequent to year end, on January 26, 2026, the Company received $</w:t>
      </w:r>
      <w:bookmarkStart w:id="375" w:name="xdx_90E_eus-gaap--ConvertibleNotesPayabl"/>
      <w:bookmarkEnd w:id="375"/>
      <w:r>
        <w:rPr>
          <w:rFonts w:ascii="Times New Roman;Times;Serif" w:hAnsi="Times New Roman;Times;Serif"/>
          <w:b w:val="false"/>
          <w:i w:val="false"/>
          <w:caps w:val="false"/>
          <w:smallCaps w:val="false"/>
          <w:sz w:val="20"/>
        </w:rPr>
        <w:t>9.6 million in net proceeds from a convertible note payable financing transaction with Streeterville Capital, LLC (“Streeterville”), representing $</w:t>
      </w:r>
      <w:bookmarkStart w:id="376" w:name="xdx_905_eus-gaap--ProceedsFromHedgeFinan"/>
      <w:bookmarkEnd w:id="376"/>
      <w:r>
        <w:rPr>
          <w:rFonts w:ascii="Times New Roman;Times;Serif" w:hAnsi="Times New Roman;Times;Serif"/>
          <w:b w:val="false"/>
          <w:i w:val="false"/>
          <w:caps w:val="false"/>
          <w:smallCaps w:val="false"/>
          <w:sz w:val="20"/>
        </w:rPr>
        <w:t>10.0 million in gross proceeds less approximately $</w:t>
      </w:r>
      <w:bookmarkStart w:id="377" w:name="xdx_901_eus-gaap--FeesAndCommissionsMort"/>
      <w:bookmarkEnd w:id="377"/>
      <w:r>
        <w:rPr>
          <w:rFonts w:ascii="Times New Roman;Times;Serif" w:hAnsi="Times New Roman;Times;Serif"/>
          <w:b w:val="false"/>
          <w:i w:val="false"/>
          <w:caps w:val="false"/>
          <w:smallCaps w:val="false"/>
          <w:sz w:val="20"/>
        </w:rPr>
        <w:t>0.4 million in banking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disclosed in </w:t>
      </w:r>
      <w:r>
        <w:rPr>
          <w:rFonts w:ascii="Times New Roman;Times;Serif" w:hAnsi="Times New Roman;Times;Serif"/>
          <w:b w:val="false"/>
          <w:i w:val="false"/>
          <w:caps/>
          <w:sz w:val="20"/>
        </w:rPr>
        <w:t>Note</w:t>
      </w:r>
      <w:r>
        <w:rPr>
          <w:rFonts w:ascii="Times New Roman;Times;Serif" w:hAnsi="Times New Roman;Times;Serif"/>
          <w:b w:val="false"/>
          <w:i w:val="false"/>
          <w:caps w:val="false"/>
          <w:smallCaps w:val="false"/>
          <w:sz w:val="20"/>
        </w:rPr>
        <w:t xml:space="preserve"> 10, the Company is party to a convertible note payable financing arrangement with Streeterville (the “Streeterville Facility”), which initially provided a maximum facility of up to $</w:t>
      </w:r>
      <w:bookmarkStart w:id="378" w:name="xdx_90C_eus-gaap--ConvertibleNotesPayabl"/>
      <w:bookmarkEnd w:id="378"/>
      <w:r>
        <w:rPr>
          <w:rFonts w:ascii="Times New Roman;Times;Serif" w:hAnsi="Times New Roman;Times;Serif"/>
          <w:b w:val="false"/>
          <w:i w:val="false"/>
          <w:caps w:val="false"/>
          <w:smallCaps w:val="false"/>
          <w:sz w:val="20"/>
        </w:rPr>
        <w:t>40,000,000 in gross borrowings, subject to the terms and conditions of the agreement. The convertible note payable includes limitations that may restrict additional borrowings, including (i) a limitation on total outstanding indebtedness, (ii) a minimum market capitalization requirement of $</w:t>
      </w:r>
      <w:bookmarkStart w:id="379" w:name="xdx_909_eus-gaap--DeferredSalesInducemen"/>
      <w:bookmarkEnd w:id="379"/>
      <w:r>
        <w:rPr>
          <w:rFonts w:ascii="Times New Roman;Times;Serif" w:hAnsi="Times New Roman;Times;Serif"/>
          <w:b w:val="false"/>
          <w:i w:val="false"/>
          <w:caps w:val="false"/>
          <w:smallCaps w:val="false"/>
          <w:sz w:val="20"/>
        </w:rPr>
        <w:t>100 million, and (iii) a minimum book value of $</w:t>
      </w:r>
      <w:bookmarkStart w:id="380" w:name="xdx_903_ecustom--ManagementFees_iI_pn5n6"/>
      <w:bookmarkEnd w:id="380"/>
      <w:r>
        <w:rPr>
          <w:rFonts w:ascii="Times New Roman;Times;Serif" w:hAnsi="Times New Roman;Times;Serif"/>
          <w:b w:val="false"/>
          <w:i w:val="false"/>
          <w:caps w:val="false"/>
          <w:smallCaps w:val="false"/>
          <w:sz w:val="20"/>
        </w:rPr>
        <w:t xml:space="preserve">4 million at the time of a draw. Availability under this facility is subject to the Company’s ability to satisfy these conditions, or the investor’s continued practice of extending funds, despite certain conditions not being met.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on a going concern basis, which contemplates the realization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205-40,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management evaluated whether conditions or events, considered in the aggregate, raise substantial doubt about the Company’s ability to continue as a going concern within one year after the date that these financial statements are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recurring operating losses and negative cash flows from operations since inception and expects to continue to do so as it invests in product development, commercialization, and infrastructure. These conditions, considered in the aggregate, raise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developed plans to address these conditions, which include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Utilizing existing cash and cash equivalents of approximately $</w:t>
            </w:r>
            <w:bookmarkStart w:id="381" w:name="xdx_90B_eus-gaap--CashCashEquivalentsAnd"/>
            <w:bookmarkEnd w:id="381"/>
            <w:r>
              <w:rPr>
                <w:rFonts w:ascii="Times New Roman;Times;Serif" w:hAnsi="Times New Roman;Times;Serif"/>
                <w:b w:val="false"/>
                <w:i w:val="false"/>
                <w:caps w:val="false"/>
                <w:smallCaps w:val="false"/>
                <w:sz w:val="20"/>
              </w:rPr>
              <w:t>2.1 million as of December 31,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Deploying the $</w:t>
            </w:r>
            <w:bookmarkStart w:id="382" w:name="xdx_90B_eus-gaap--ProceedsFromCommission"/>
            <w:bookmarkEnd w:id="382"/>
            <w:r>
              <w:rPr>
                <w:rFonts w:ascii="Times New Roman;Times;Serif" w:hAnsi="Times New Roman;Times;Serif"/>
                <w:b w:val="false"/>
                <w:i w:val="false"/>
                <w:caps w:val="false"/>
                <w:smallCaps w:val="false"/>
                <w:sz w:val="20"/>
              </w:rPr>
              <w:t>9.6 million in net proceeds received on January 26, 2026 from the issuance of a convertible promissory note to Streeterville Capital, LLC, as further described in NOTE 20;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drawing additional amounts under the Securities Purchase Agreement with Streeterville, which provides up to an additional $</w:t>
            </w:r>
            <w:bookmarkStart w:id="383" w:name="xdx_90C_eus-gaap--OtherBorrowings_iI_pn5"/>
            <w:bookmarkEnd w:id="383"/>
            <w:r>
              <w:rPr>
                <w:rFonts w:ascii="Times New Roman;Times;Serif" w:hAnsi="Times New Roman;Times;Serif"/>
                <w:b w:val="false"/>
                <w:i w:val="false"/>
                <w:caps w:val="false"/>
                <w:smallCaps w:val="false"/>
                <w:sz w:val="20"/>
              </w:rPr>
              <w:t>19.0 million in gross borrowings, subject to certain conditions including a limitation on total outstanding indebtedness, a minimum market capitalization of $</w:t>
            </w:r>
            <w:bookmarkStart w:id="384" w:name="xdx_902_eus-gaap--DeferredSalesInducemen"/>
            <w:bookmarkEnd w:id="384"/>
            <w:r>
              <w:rPr>
                <w:rFonts w:ascii="Times New Roman;Times;Serif" w:hAnsi="Times New Roman;Times;Serif"/>
                <w:b w:val="false"/>
                <w:i w:val="false"/>
                <w:caps w:val="false"/>
                <w:smallCaps w:val="false"/>
                <w:sz w:val="20"/>
              </w:rPr>
              <w:t>100 million and a minimum book value of $</w:t>
            </w:r>
            <w:bookmarkStart w:id="385" w:name="xdx_90B_ecustom--ManagementFees_iI_pn5n6"/>
            <w:bookmarkEnd w:id="385"/>
            <w:r>
              <w:rPr>
                <w:rFonts w:ascii="Times New Roman;Times;Serif" w:hAnsi="Times New Roman;Times;Serif"/>
                <w:b w:val="false"/>
                <w:i w:val="false"/>
                <w:caps w:val="false"/>
                <w:smallCaps w:val="false"/>
                <w:sz w:val="20"/>
              </w:rPr>
              <w:t xml:space="preserve">4 million at the time of each draw. The Company’s ability to access these funds is dependent on satisfying these conditions and on Streeterville’s willingness to continue funding draws.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continued existence is dependent on its ability to continue its operating plan and to access remaining funds under the Securities Purchase Agreement (“SPA”) or obtain additional debt or equity financing. There can be no assurance that the Company will be able to access funds under the SPA or obtain additional debt or equity financing. Accordingly, substantial doubt about the Company’s ability to continue as a going concern is not alleviated by management’s plans. These financial statements do not include any adjustment that might result from the Company’s inability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10, 2026, the Company’s cash, cash equivalents, and short-term investments were approximately $</w:t>
      </w:r>
      <w:bookmarkStart w:id="386" w:name="xdx_90C_eus-gaap--ShortTermInvestments_i"/>
      <w:bookmarkStart w:id="387" w:name="xdx_90D_eus-gaap--CashAndCashEquivalents"/>
      <w:bookmarkEnd w:id="386"/>
      <w:bookmarkEnd w:id="387"/>
      <w:r>
        <w:rPr>
          <w:rFonts w:ascii="Times New Roman;Times;Serif" w:hAnsi="Times New Roman;Times;Serif"/>
          <w:b w:val="false"/>
          <w:i w:val="false"/>
          <w:caps w:val="false"/>
          <w:smallCaps w:val="false"/>
          <w:sz w:val="20"/>
        </w:rPr>
        <w:t>8.2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8" w:name="xdx_805_eus-gaap--FairValueMeasurementIn"/>
      <w:bookmarkEnd w:id="388"/>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5 - </w:t>
      </w:r>
      <w:bookmarkStart w:id="389" w:name="xdx_823_zc0LpFtmxfU4"/>
      <w:bookmarkEnd w:id="389"/>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fair value measurements in accordance with ASC 820, which defines fair value as the price that would be received to sell an asset or paid to transfer a liability in an orderly transaction between market participants at the measurement date. ASC 820 establishes a three-level hierarchy for inputs used in measuring fair value:</w:t>
      </w:r>
    </w:p>
    <w:p>
      <w:pPr>
        <w:pStyle w:val="TextBody"/>
        <w:bidi w:val="0"/>
        <w:spacing w:before="0" w:after="0"/>
        <w:ind w:left="0" w:right="0" w:hanging="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1</w:t>
            </w:r>
            <w:r>
              <w:rPr>
                <w:rFonts w:ascii="Times New Roman;Times;Serif" w:hAnsi="Times New Roman;Times;Serif"/>
                <w:b w:val="false"/>
                <w:i w:val="false"/>
                <w:caps w:val="false"/>
                <w:smallCaps w:val="false"/>
                <w:sz w:val="20"/>
              </w:rPr>
              <w:t xml:space="preserve"> — Quoted prices in active markets for identical assets or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w:t>
            </w:r>
            <w:r>
              <w:rPr>
                <w:rFonts w:ascii="Times New Roman;Times;Serif" w:hAnsi="Times New Roman;Times;Serif"/>
                <w:b w:val="false"/>
                <w:i w:val="false"/>
                <w:caps w:val="false"/>
                <w:smallCaps w:val="false"/>
                <w:sz w:val="20"/>
              </w:rPr>
              <w:t xml:space="preserve"> — Observable inputs other than quoted prices included in Level 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w:t>
            </w:r>
            <w:r>
              <w:rPr>
                <w:rFonts w:ascii="Times New Roman;Times;Serif" w:hAnsi="Times New Roman;Times;Serif"/>
                <w:b w:val="false"/>
                <w:i w:val="false"/>
                <w:caps w:val="false"/>
                <w:smallCaps w:val="false"/>
                <w:sz w:val="20"/>
              </w:rPr>
              <w:t xml:space="preserve"> — Unobservable inputs supported by little or no market activity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its bifurcated derivative liabilities associated with its convertible notes at fair value on a recurring basis, see NOTE 10. These instruments are classified within Level 3 of the fair value hierarchy because their valuation relies on significant unobservable inputs, including expected equity volatility, expected term, and debt discount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0" w:name="xdx_898_eus-gaap--ScheduleOfDerivativeLi"/>
      <w:bookmarkEnd w:id="390"/>
      <w:r>
        <w:rPr>
          <w:rFonts w:ascii="Times New Roman;Times;Serif" w:hAnsi="Times New Roman;Times;Serif"/>
          <w:b w:val="false"/>
          <w:i w:val="false"/>
          <w:caps w:val="false"/>
          <w:smallCaps w:val="false"/>
          <w:sz w:val="20"/>
        </w:rPr>
        <w:t>The following table presents the Company’s financial liabilities measured at fair value on a recurring basis: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91" w:name="xdx_8B6_z4BFoZbXrXWa"/>
      <w:bookmarkEnd w:id="391"/>
      <w:r>
        <w:rPr>
          <w:rFonts w:ascii="Times New Roman;Times;Serif" w:hAnsi="Times New Roman;Times;Serif"/>
          <w:b w:val="false"/>
          <w:i w:val="false"/>
          <w:caps w:val="false"/>
          <w:smallCaps w:val="false"/>
          <w:sz w:val="20"/>
        </w:rPr>
        <w:t>SCHEDULE OF FINANCE LIABILITIES MEASURED AT FAIR VALUE </w:t>
      </w:r>
    </w:p>
    <w:tbl>
      <w:tblPr>
        <w:tblW w:w="6723" w:type="dxa"/>
        <w:jc w:val="left"/>
        <w:tblInd w:w="0" w:type="dxa"/>
        <w:tblLayout w:type="fixed"/>
        <w:tblCellMar>
          <w:top w:w="0" w:type="dxa"/>
          <w:left w:w="0" w:type="dxa"/>
          <w:bottom w:w="28" w:type="dxa"/>
          <w:right w:w="0" w:type="dxa"/>
        </w:tblCellMar>
      </w:tblPr>
      <w:tblGrid>
        <w:gridCol w:w="1925"/>
        <w:gridCol w:w="60"/>
        <w:gridCol w:w="575"/>
        <w:gridCol w:w="60"/>
        <w:gridCol w:w="276"/>
        <w:gridCol w:w="1678"/>
        <w:gridCol w:w="60"/>
        <w:gridCol w:w="60"/>
        <w:gridCol w:w="218"/>
        <w:gridCol w:w="1736"/>
        <w:gridCol w:w="75"/>
      </w:tblGrid>
      <w:tr>
        <w:trPr/>
        <w:tc>
          <w:tcPr>
            <w:tcW w:w="1925" w:type="dxa"/>
            <w:tcBorders>
              <w:bottom w:val="single" w:sz="8" w:space="0" w:color="000000"/>
            </w:tcBorders>
            <w:vAlign w:val="center"/>
          </w:tcPr>
          <w:p>
            <w:pPr>
              <w:pStyle w:val="TableContents"/>
              <w:bidi w:val="0"/>
              <w:spacing w:before="0" w:after="283"/>
              <w:jc w:val="left"/>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575" w:type="dxa"/>
            <w:tcBorders>
              <w:bottom w:val="single" w:sz="8" w:space="0" w:color="000000"/>
            </w:tcBorders>
            <w:vAlign w:val="center"/>
          </w:tcPr>
          <w:p>
            <w:pPr>
              <w:pStyle w:val="TableContents"/>
              <w:bidi w:val="0"/>
              <w:spacing w:before="0" w:after="283"/>
              <w:jc w:val="center"/>
              <w:rPr>
                <w:b/>
              </w:rPr>
            </w:pPr>
            <w:r>
              <w:rPr>
                <w:b/>
              </w:rPr>
              <w:t>Level</w:t>
            </w:r>
          </w:p>
        </w:tc>
        <w:tc>
          <w:tcPr>
            <w:tcW w:w="60" w:type="dxa"/>
            <w:tcBorders/>
            <w:tcMar>
              <w:bottom w:w="0" w:type="dxa"/>
            </w:tcMar>
            <w:vAlign w:val="center"/>
          </w:tcPr>
          <w:p>
            <w:pPr>
              <w:pStyle w:val="TableContents"/>
              <w:bidi w:val="0"/>
              <w:spacing w:before="0" w:after="283"/>
              <w:jc w:val="left"/>
              <w:rPr/>
            </w:pPr>
            <w:r>
              <w:rPr/>
              <w:t> </w:t>
            </w:r>
            <w:bookmarkStart w:id="392" w:name="xdx_499_20251231_zOtKG3R45zuf"/>
            <w:bookmarkEnd w:id="392"/>
          </w:p>
        </w:tc>
        <w:tc>
          <w:tcPr>
            <w:tcW w:w="1954" w:type="dxa"/>
            <w:gridSpan w:val="2"/>
            <w:tcBorders>
              <w:bottom w:val="single" w:sz="8" w:space="0" w:color="000000"/>
            </w:tcBorders>
            <w:vAlign w:val="center"/>
          </w:tcPr>
          <w:p>
            <w:pPr>
              <w:pStyle w:val="TableContents"/>
              <w:bidi w:val="0"/>
              <w:spacing w:before="0" w:after="283"/>
              <w:jc w:val="center"/>
              <w:rPr>
                <w:b/>
              </w:rPr>
            </w:pPr>
            <w:r>
              <w:rPr>
                <w:b/>
              </w:rPr>
              <w:t>December 31, 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393" w:name="xdx_497_20241231_zovMmoDBlk6b"/>
            <w:bookmarkEnd w:id="393"/>
          </w:p>
        </w:tc>
        <w:tc>
          <w:tcPr>
            <w:tcW w:w="1954" w:type="dxa"/>
            <w:gridSpan w:val="2"/>
            <w:tcBorders>
              <w:bottom w:val="single" w:sz="8" w:space="0" w:color="000000"/>
            </w:tcBorders>
            <w:vAlign w:val="center"/>
          </w:tcPr>
          <w:p>
            <w:pPr>
              <w:pStyle w:val="TableContents"/>
              <w:bidi w:val="0"/>
              <w:spacing w:before="0" w:after="283"/>
              <w:jc w:val="center"/>
              <w:rPr>
                <w:b/>
              </w:rPr>
            </w:pPr>
            <w:r>
              <w:rPr>
                <w:b/>
              </w:rPr>
              <w:t>December 31, 2024</w:t>
            </w:r>
          </w:p>
        </w:tc>
        <w:tc>
          <w:tcPr>
            <w:tcW w:w="75" w:type="dxa"/>
            <w:tcBorders/>
            <w:tcMar>
              <w:bottom w:w="0" w:type="dxa"/>
            </w:tcMar>
            <w:vAlign w:val="center"/>
          </w:tcPr>
          <w:p>
            <w:pPr>
              <w:pStyle w:val="TableContents"/>
              <w:bidi w:val="0"/>
              <w:spacing w:before="0" w:after="283"/>
              <w:jc w:val="left"/>
              <w:rPr/>
            </w:pPr>
            <w:r>
              <w:rPr/>
              <w:t> </w:t>
            </w:r>
            <w:bookmarkStart w:id="394" w:name="xdx_40E_eus-gaap--DerivativeLiabilitiesC"/>
            <w:bookmarkEnd w:id="394"/>
          </w:p>
        </w:tc>
      </w:tr>
      <w:tr>
        <w:trPr/>
        <w:tc>
          <w:tcPr>
            <w:tcW w:w="1925" w:type="dxa"/>
            <w:tcBorders/>
            <w:shd w:fill="CCEEFF" w:val="clear"/>
            <w:tcMar>
              <w:bottom w:w="0" w:type="dxa"/>
            </w:tcMar>
            <w:vAlign w:val="center"/>
          </w:tcPr>
          <w:p>
            <w:pPr>
              <w:pStyle w:val="TableContents"/>
              <w:bidi w:val="0"/>
              <w:spacing w:before="0" w:after="283"/>
              <w:jc w:val="left"/>
              <w:rPr/>
            </w:pPr>
            <w:r>
              <w:rPr/>
              <w:t>Derivative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center"/>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w:t>
            </w:r>
          </w:p>
        </w:tc>
        <w:tc>
          <w:tcPr>
            <w:tcW w:w="167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w:t>
            </w:r>
          </w:p>
        </w:tc>
        <w:tc>
          <w:tcPr>
            <w:tcW w:w="1736" w:type="dxa"/>
            <w:tcBorders/>
            <w:shd w:fill="CCEEFF" w:val="clear"/>
            <w:tcMar>
              <w:bottom w:w="0" w:type="dxa"/>
            </w:tcMar>
            <w:vAlign w:val="center"/>
          </w:tcPr>
          <w:p>
            <w:pPr>
              <w:pStyle w:val="TableContents"/>
              <w:bidi w:val="0"/>
              <w:spacing w:before="0" w:after="283"/>
              <w:jc w:val="right"/>
              <w:rPr/>
            </w:pPr>
            <w:r>
              <w:rPr/>
              <w:t>                 </w:t>
            </w: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95" w:name="xdx_8A8_zFcbn5QaQGOc"/>
      <w:bookmarkEnd w:id="39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accounts receivable, accounts payable, and accrued liabilities approximate fair value due to their short-term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convertible notes issued under the Securities Purchase Agreement with Streeterville Capital, LLC, as described in NOTE 10, the Company bifurcated the embedded conversion feature from each note and recognized it as a derivative liability under ASC 815. Each derivative liability is initially recognized at fair value on the issuance date of the respective convertible note and is subsequently remeasured at fair value at each reporting date and each conversion date. Changes in fair value are recognized in the statement of operations.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each derivative liability using a Monte Carlo simulation model, which simulates a large number of potential stock price paths and computes the expected present value of the conversion payoff under each path.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Valuation Inputs and Basis of Significant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6" w:name="xdx_897_eus-gaap--FairValueAssetsAndLiab"/>
      <w:bookmarkEnd w:id="396"/>
      <w:r>
        <w:rPr>
          <w:rFonts w:ascii="Times New Roman;Times;Serif" w:hAnsi="Times New Roman;Times;Serif"/>
          <w:b w:val="false"/>
          <w:i w:val="false"/>
          <w:caps w:val="false"/>
          <w:smallCaps w:val="false"/>
          <w:sz w:val="20"/>
        </w:rPr>
        <w:t>The following inputs were used in the Monte Carlo simulation at each instrument inception measurement date: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7" w:name="xdx_8BB_z6X2DS3q7IBf"/>
      <w:bookmarkEnd w:id="397"/>
      <w:r>
        <w:rPr>
          <w:rFonts w:ascii="Times New Roman;Times;Serif" w:hAnsi="Times New Roman;Times;Serif"/>
          <w:b w:val="false"/>
          <w:i w:val="false"/>
          <w:caps w:val="false"/>
          <w:smallCaps w:val="false"/>
          <w:sz w:val="20"/>
        </w:rPr>
        <w:t>SCHEDULE OF VALUATION OF MEASUREMENT INPUT </w:t>
      </w:r>
    </w:p>
    <w:tbl>
      <w:tblPr>
        <w:tblW w:w="10205" w:type="dxa"/>
        <w:jc w:val="left"/>
        <w:tblInd w:w="0" w:type="dxa"/>
        <w:tblLayout w:type="fixed"/>
        <w:tblCellMar>
          <w:top w:w="0" w:type="dxa"/>
          <w:left w:w="0" w:type="dxa"/>
          <w:bottom w:w="28" w:type="dxa"/>
          <w:right w:w="0" w:type="dxa"/>
        </w:tblCellMar>
      </w:tblPr>
      <w:tblGrid>
        <w:gridCol w:w="2743"/>
        <w:gridCol w:w="60"/>
        <w:gridCol w:w="441"/>
        <w:gridCol w:w="1766"/>
        <w:gridCol w:w="215"/>
        <w:gridCol w:w="60"/>
        <w:gridCol w:w="224"/>
        <w:gridCol w:w="1982"/>
        <w:gridCol w:w="215"/>
        <w:gridCol w:w="60"/>
        <w:gridCol w:w="218"/>
        <w:gridCol w:w="1988"/>
        <w:gridCol w:w="233"/>
      </w:tblGrid>
      <w:tr>
        <w:trPr/>
        <w:tc>
          <w:tcPr>
            <w:tcW w:w="2743" w:type="dxa"/>
            <w:tcBorders>
              <w:bottom w:val="single" w:sz="8" w:space="0" w:color="000000"/>
            </w:tcBorders>
            <w:vAlign w:val="center"/>
          </w:tcPr>
          <w:p>
            <w:pPr>
              <w:pStyle w:val="TableContents"/>
              <w:bidi w:val="0"/>
              <w:spacing w:before="0" w:after="283"/>
              <w:jc w:val="left"/>
              <w:rPr>
                <w:b/>
              </w:rPr>
            </w:pPr>
            <w:r>
              <w:rPr>
                <w:b/>
              </w:rPr>
              <w:t>Input</w:t>
            </w:r>
          </w:p>
        </w:tc>
        <w:tc>
          <w:tcPr>
            <w:tcW w:w="60" w:type="dxa"/>
            <w:tcBorders/>
            <w:tcMar>
              <w:bottom w:w="0" w:type="dxa"/>
            </w:tcMar>
            <w:vAlign w:val="center"/>
          </w:tcPr>
          <w:p>
            <w:pPr>
              <w:pStyle w:val="TableContents"/>
              <w:bidi w:val="0"/>
              <w:spacing w:before="0" w:after="283"/>
              <w:jc w:val="left"/>
              <w:rPr/>
            </w:pPr>
            <w:r>
              <w:rPr/>
              <w:t> </w:t>
            </w:r>
          </w:p>
        </w:tc>
        <w:tc>
          <w:tcPr>
            <w:tcW w:w="2207" w:type="dxa"/>
            <w:gridSpan w:val="2"/>
            <w:tcBorders>
              <w:bottom w:val="single" w:sz="8" w:space="0" w:color="000000"/>
            </w:tcBorders>
            <w:vAlign w:val="center"/>
          </w:tcPr>
          <w:p>
            <w:pPr>
              <w:pStyle w:val="TableContents"/>
              <w:bidi w:val="0"/>
              <w:spacing w:before="0" w:after="283"/>
              <w:jc w:val="center"/>
              <w:rPr>
                <w:b/>
              </w:rPr>
            </w:pPr>
            <w:r>
              <w:rPr>
                <w:b/>
              </w:rPr>
              <w:t>Derivative 1 (Convertible Note 1)</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06" w:type="dxa"/>
            <w:gridSpan w:val="2"/>
            <w:tcBorders>
              <w:bottom w:val="single" w:sz="8" w:space="0" w:color="000000"/>
            </w:tcBorders>
            <w:vAlign w:val="center"/>
          </w:tcPr>
          <w:p>
            <w:pPr>
              <w:pStyle w:val="TableContents"/>
              <w:bidi w:val="0"/>
              <w:spacing w:before="0" w:after="283"/>
              <w:jc w:val="center"/>
              <w:rPr>
                <w:b/>
              </w:rPr>
            </w:pPr>
            <w:r>
              <w:rPr>
                <w:b/>
              </w:rPr>
              <w:t>Derivative 2 (Convertible Note 2)</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06" w:type="dxa"/>
            <w:gridSpan w:val="2"/>
            <w:tcBorders>
              <w:bottom w:val="single" w:sz="8" w:space="0" w:color="000000"/>
            </w:tcBorders>
            <w:vAlign w:val="center"/>
          </w:tcPr>
          <w:p>
            <w:pPr>
              <w:pStyle w:val="TableContents"/>
              <w:bidi w:val="0"/>
              <w:spacing w:before="0" w:after="283"/>
              <w:jc w:val="center"/>
              <w:rPr>
                <w:b/>
              </w:rPr>
            </w:pPr>
            <w:r>
              <w:rPr>
                <w:b/>
              </w:rPr>
              <w:t>Derivative 3 (Convertible Note 3)</w:t>
            </w:r>
          </w:p>
        </w:tc>
        <w:tc>
          <w:tcPr>
            <w:tcW w:w="233" w:type="dxa"/>
            <w:tcBorders/>
            <w:tcMar>
              <w:bottom w:w="0" w:type="dxa"/>
            </w:tcMar>
            <w:vAlign w:val="center"/>
          </w:tcPr>
          <w:p>
            <w:pPr>
              <w:pStyle w:val="TableContents"/>
              <w:bidi w:val="0"/>
              <w:spacing w:before="0" w:after="283"/>
              <w:jc w:val="left"/>
              <w:rPr/>
            </w:pPr>
            <w:r>
              <w:rPr/>
              <w:t> </w:t>
            </w:r>
          </w:p>
        </w:tc>
      </w:tr>
      <w:tr>
        <w:trPr/>
        <w:tc>
          <w:tcPr>
            <w:tcW w:w="2743" w:type="dxa"/>
            <w:tcBorders/>
            <w:shd w:fill="CCEEFF" w:val="clear"/>
            <w:tcMar>
              <w:bottom w:w="0" w:type="dxa"/>
            </w:tcMar>
            <w:vAlign w:val="center"/>
          </w:tcPr>
          <w:p>
            <w:pPr>
              <w:pStyle w:val="TableContents"/>
              <w:bidi w:val="0"/>
              <w:spacing w:before="0" w:after="283"/>
              <w:jc w:val="left"/>
              <w:rPr/>
            </w:pPr>
            <w:r>
              <w:rPr/>
              <w:t>Assumed instrument term</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1" w:type="dxa"/>
            <w:tcBorders/>
            <w:shd w:fill="CCEEFF" w:val="clear"/>
            <w:tcMar>
              <w:bottom w:w="0" w:type="dxa"/>
            </w:tcMar>
            <w:vAlign w:val="center"/>
          </w:tcPr>
          <w:p>
            <w:pPr>
              <w:pStyle w:val="TableContents"/>
              <w:bidi w:val="0"/>
              <w:spacing w:before="0" w:after="283"/>
              <w:jc w:val="left"/>
              <w:rPr/>
            </w:pPr>
            <w:r>
              <w:rPr/>
              <w:t> </w:t>
            </w:r>
          </w:p>
        </w:tc>
        <w:tc>
          <w:tcPr>
            <w:tcW w:w="176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398" w:name="xdx_90C_eus-gaap--LongTermDebtTerm_iI_dt"/>
            <w:bookmarkEnd w:id="398"/>
            <w:r>
              <w:rPr>
                <w:rFonts w:ascii="Times New Roman;Times;Serif" w:hAnsi="Times New Roman;Times;Serif"/>
                <w:sz w:val="20"/>
              </w:rPr>
              <w:t>3.0 years</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982" w:type="dxa"/>
            <w:tcBorders/>
            <w:shd w:fill="CCEEFF" w:val="clear"/>
            <w:tcMar>
              <w:bottom w:w="0" w:type="dxa"/>
            </w:tcMar>
            <w:vAlign w:val="center"/>
          </w:tcPr>
          <w:p>
            <w:pPr>
              <w:pStyle w:val="TableContents"/>
              <w:bidi w:val="0"/>
              <w:spacing w:before="0" w:after="283"/>
              <w:jc w:val="right"/>
              <w:rPr/>
            </w:pPr>
            <w:r>
              <w:rPr/>
              <w:t>         </w:t>
            </w:r>
            <w:bookmarkStart w:id="399" w:name="xdx_906_eus-gaap--LongTermDebtTerm_iI_dt"/>
            <w:bookmarkEnd w:id="399"/>
            <w:r>
              <w:rPr>
                <w:rFonts w:ascii="Times New Roman;Times;Serif" w:hAnsi="Times New Roman;Times;Serif"/>
                <w:sz w:val="20"/>
              </w:rPr>
              <w:t>3.0 years</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1988" w:type="dxa"/>
            <w:tcBorders/>
            <w:shd w:fill="CCEEFF" w:val="clear"/>
            <w:tcMar>
              <w:bottom w:w="0" w:type="dxa"/>
            </w:tcMar>
            <w:vAlign w:val="center"/>
          </w:tcPr>
          <w:p>
            <w:pPr>
              <w:pStyle w:val="TableContents"/>
              <w:bidi w:val="0"/>
              <w:spacing w:before="0" w:after="283"/>
              <w:jc w:val="right"/>
              <w:rPr/>
            </w:pPr>
            <w:r>
              <w:rPr/>
              <w:t>          </w:t>
            </w:r>
            <w:bookmarkStart w:id="400" w:name="xdx_907_eus-gaap--LongTermDebtTerm_iI_dt"/>
            <w:bookmarkEnd w:id="400"/>
            <w:r>
              <w:rPr>
                <w:rFonts w:ascii="Times New Roman;Times;Serif" w:hAnsi="Times New Roman;Times;Serif"/>
                <w:sz w:val="20"/>
              </w:rPr>
              <w:t>3.0 years</w:t>
            </w:r>
          </w:p>
        </w:tc>
        <w:tc>
          <w:tcPr>
            <w:tcW w:w="233" w:type="dxa"/>
            <w:tcBorders/>
            <w:shd w:fill="CCEEFF" w:val="clear"/>
            <w:tcMar>
              <w:bottom w:w="0" w:type="dxa"/>
            </w:tcMar>
            <w:vAlign w:val="center"/>
          </w:tcPr>
          <w:p>
            <w:pPr>
              <w:pStyle w:val="TableContents"/>
              <w:bidi w:val="0"/>
              <w:spacing w:before="0" w:after="283"/>
              <w:jc w:val="left"/>
              <w:rPr/>
            </w:pPr>
            <w:r>
              <w:rPr/>
              <w:t> </w:t>
            </w:r>
          </w:p>
        </w:tc>
      </w:tr>
      <w:tr>
        <w:trPr/>
        <w:tc>
          <w:tcPr>
            <w:tcW w:w="2743" w:type="dxa"/>
            <w:tcBorders/>
            <w:shd w:fill="FFFFFF" w:val="clear"/>
            <w:tcMar>
              <w:bottom w:w="0" w:type="dxa"/>
            </w:tcMar>
            <w:vAlign w:val="center"/>
          </w:tcPr>
          <w:p>
            <w:pPr>
              <w:pStyle w:val="TableContents"/>
              <w:bidi w:val="0"/>
              <w:spacing w:before="0" w:after="283"/>
              <w:jc w:val="left"/>
              <w:rPr/>
            </w:pPr>
            <w:r>
              <w:rPr/>
              <w:t>Stock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1" w:type="dxa"/>
            <w:tcBorders/>
            <w:shd w:fill="FFFFFF" w:val="clear"/>
            <w:tcMar>
              <w:bottom w:w="0" w:type="dxa"/>
            </w:tcMar>
            <w:vAlign w:val="center"/>
          </w:tcPr>
          <w:p>
            <w:pPr>
              <w:pStyle w:val="TableContents"/>
              <w:bidi w:val="0"/>
              <w:spacing w:before="0" w:after="283"/>
              <w:jc w:val="left"/>
              <w:rPr/>
            </w:pPr>
            <w:r>
              <w:rPr/>
              <w:t>$</w:t>
            </w:r>
          </w:p>
        </w:tc>
        <w:tc>
          <w:tcPr>
            <w:tcW w:w="1766" w:type="dxa"/>
            <w:tcBorders/>
            <w:shd w:fill="FFFFFF" w:val="clear"/>
            <w:tcMar>
              <w:bottom w:w="0" w:type="dxa"/>
            </w:tcMar>
            <w:vAlign w:val="center"/>
          </w:tcPr>
          <w:p>
            <w:pPr>
              <w:pStyle w:val="TableContents"/>
              <w:bidi w:val="0"/>
              <w:spacing w:before="0" w:after="283"/>
              <w:jc w:val="right"/>
              <w:rPr/>
            </w:pPr>
            <w:bookmarkStart w:id="401" w:name="xdx_90A_eus-gaap--LongTermDebtMeasuremen"/>
            <w:bookmarkEnd w:id="401"/>
            <w:r>
              <w:rPr/>
              <w:t>13.25</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w:t>
            </w:r>
          </w:p>
        </w:tc>
        <w:tc>
          <w:tcPr>
            <w:tcW w:w="198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402" w:name="xdx_905_eus-gaap--LongTermDebtMeasuremen"/>
            <w:bookmarkEnd w:id="402"/>
            <w:r>
              <w:rPr>
                <w:rFonts w:ascii="Times New Roman;Times;Serif" w:hAnsi="Times New Roman;Times;Serif"/>
                <w:sz w:val="20"/>
              </w:rPr>
              <w:t>6.78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 w:type="dxa"/>
            <w:tcBorders/>
            <w:shd w:fill="FFFFFF" w:val="clear"/>
            <w:tcMar>
              <w:bottom w:w="0" w:type="dxa"/>
            </w:tcMar>
            <w:vAlign w:val="center"/>
          </w:tcPr>
          <w:p>
            <w:pPr>
              <w:pStyle w:val="TableContents"/>
              <w:bidi w:val="0"/>
              <w:spacing w:before="0" w:after="283"/>
              <w:jc w:val="left"/>
              <w:rPr/>
            </w:pPr>
            <w:r>
              <w:rPr/>
              <w:t>$</w:t>
            </w:r>
          </w:p>
        </w:tc>
        <w:tc>
          <w:tcPr>
            <w:tcW w:w="198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403" w:name="xdx_90E_eus-gaap--LongTermDebtMeasuremen"/>
            <w:bookmarkEnd w:id="403"/>
            <w:r>
              <w:rPr>
                <w:rFonts w:ascii="Times New Roman;Times;Serif" w:hAnsi="Times New Roman;Times;Serif"/>
                <w:sz w:val="20"/>
              </w:rPr>
              <w:t>3.90</w:t>
            </w:r>
          </w:p>
        </w:tc>
        <w:tc>
          <w:tcPr>
            <w:tcW w:w="233" w:type="dxa"/>
            <w:tcBorders/>
            <w:shd w:fill="FFFFFF" w:val="clear"/>
            <w:tcMar>
              <w:bottom w:w="0" w:type="dxa"/>
            </w:tcMar>
            <w:vAlign w:val="center"/>
          </w:tcPr>
          <w:p>
            <w:pPr>
              <w:pStyle w:val="TableContents"/>
              <w:bidi w:val="0"/>
              <w:spacing w:before="0" w:after="283"/>
              <w:jc w:val="left"/>
              <w:rPr/>
            </w:pPr>
            <w:r>
              <w:rPr/>
              <w:t> </w:t>
            </w:r>
          </w:p>
        </w:tc>
      </w:tr>
      <w:tr>
        <w:trPr/>
        <w:tc>
          <w:tcPr>
            <w:tcW w:w="2743" w:type="dxa"/>
            <w:tcBorders/>
            <w:shd w:fill="CCEEFF" w:val="clear"/>
            <w:tcMar>
              <w:bottom w:w="0" w:type="dxa"/>
            </w:tcMar>
            <w:vAlign w:val="center"/>
          </w:tcPr>
          <w:p>
            <w:pPr>
              <w:pStyle w:val="TableContents"/>
              <w:bidi w:val="0"/>
              <w:spacing w:before="0" w:after="283"/>
              <w:jc w:val="left"/>
              <w:rPr/>
            </w:pPr>
            <w:r>
              <w:rPr/>
              <w:t>Selected equity 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1" w:type="dxa"/>
            <w:tcBorders/>
            <w:shd w:fill="CCEEFF" w:val="clear"/>
            <w:tcMar>
              <w:bottom w:w="0" w:type="dxa"/>
            </w:tcMar>
            <w:vAlign w:val="center"/>
          </w:tcPr>
          <w:p>
            <w:pPr>
              <w:pStyle w:val="TableContents"/>
              <w:bidi w:val="0"/>
              <w:spacing w:before="0" w:after="283"/>
              <w:jc w:val="left"/>
              <w:rPr/>
            </w:pPr>
            <w:r>
              <w:rPr/>
              <w:t> </w:t>
            </w:r>
          </w:p>
        </w:tc>
        <w:tc>
          <w:tcPr>
            <w:tcW w:w="1766" w:type="dxa"/>
            <w:tcBorders/>
            <w:shd w:fill="CCEEFF" w:val="clear"/>
            <w:tcMar>
              <w:bottom w:w="0" w:type="dxa"/>
            </w:tcMar>
            <w:vAlign w:val="center"/>
          </w:tcPr>
          <w:p>
            <w:pPr>
              <w:pStyle w:val="TableContents"/>
              <w:bidi w:val="0"/>
              <w:spacing w:before="0" w:after="283"/>
              <w:jc w:val="right"/>
              <w:rPr/>
            </w:pPr>
            <w:bookmarkStart w:id="404" w:name="xdx_909_eus-gaap--LongTermDebtMeasuremen"/>
            <w:bookmarkEnd w:id="404"/>
            <w:r>
              <w:rPr/>
              <w:t>135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98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405" w:name="xdx_904_eus-gaap--LongTermDebtMeasuremen"/>
            <w:bookmarkEnd w:id="405"/>
            <w:r>
              <w:rPr>
                <w:rFonts w:ascii="Times New Roman;Times;Serif" w:hAnsi="Times New Roman;Times;Serif"/>
                <w:sz w:val="20"/>
              </w:rPr>
              <w:t>130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198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406" w:name="xdx_903_eus-gaap--LongTermDebtMeasuremen"/>
            <w:bookmarkEnd w:id="406"/>
            <w:r>
              <w:rPr>
                <w:rFonts w:ascii="Times New Roman;Times;Serif" w:hAnsi="Times New Roman;Times;Serif"/>
                <w:sz w:val="20"/>
              </w:rPr>
              <w:t>150</w:t>
            </w:r>
          </w:p>
        </w:tc>
        <w:tc>
          <w:tcPr>
            <w:tcW w:w="233" w:type="dxa"/>
            <w:tcBorders/>
            <w:shd w:fill="CCEEFF" w:val="clear"/>
            <w:tcMar>
              <w:bottom w:w="0" w:type="dxa"/>
            </w:tcMar>
            <w:vAlign w:val="center"/>
          </w:tcPr>
          <w:p>
            <w:pPr>
              <w:pStyle w:val="TableContents"/>
              <w:bidi w:val="0"/>
              <w:spacing w:before="0" w:after="283"/>
              <w:jc w:val="left"/>
              <w:rPr/>
            </w:pPr>
            <w:r>
              <w:rPr/>
              <w:t>%</w:t>
            </w:r>
          </w:p>
        </w:tc>
      </w:tr>
      <w:tr>
        <w:trPr/>
        <w:tc>
          <w:tcPr>
            <w:tcW w:w="2743" w:type="dxa"/>
            <w:tcBorders/>
            <w:shd w:fill="FFFFFF" w:val="clear"/>
            <w:tcMar>
              <w:bottom w:w="0" w:type="dxa"/>
            </w:tcMar>
            <w:vAlign w:val="center"/>
          </w:tcPr>
          <w:p>
            <w:pPr>
              <w:pStyle w:val="TableContents"/>
              <w:bidi w:val="0"/>
              <w:spacing w:before="0" w:after="283"/>
              <w:jc w:val="left"/>
              <w:rPr/>
            </w:pPr>
            <w:r>
              <w:rPr/>
              <w:t>Risk-free rate (continuous compounded, 3-year)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1" w:type="dxa"/>
            <w:tcBorders/>
            <w:shd w:fill="FFFFFF" w:val="clear"/>
            <w:tcMar>
              <w:bottom w:w="0" w:type="dxa"/>
            </w:tcMar>
            <w:vAlign w:val="center"/>
          </w:tcPr>
          <w:p>
            <w:pPr>
              <w:pStyle w:val="TableContents"/>
              <w:bidi w:val="0"/>
              <w:spacing w:before="0" w:after="283"/>
              <w:jc w:val="left"/>
              <w:rPr/>
            </w:pPr>
            <w:r>
              <w:rPr/>
              <w:t> </w:t>
            </w:r>
          </w:p>
        </w:tc>
        <w:tc>
          <w:tcPr>
            <w:tcW w:w="1766" w:type="dxa"/>
            <w:tcBorders/>
            <w:shd w:fill="FFFFFF" w:val="clear"/>
            <w:tcMar>
              <w:bottom w:w="0" w:type="dxa"/>
            </w:tcMar>
            <w:vAlign w:val="center"/>
          </w:tcPr>
          <w:p>
            <w:pPr>
              <w:pStyle w:val="TableContents"/>
              <w:bidi w:val="0"/>
              <w:spacing w:before="0" w:after="283"/>
              <w:jc w:val="right"/>
              <w:rPr/>
            </w:pPr>
            <w:bookmarkStart w:id="407" w:name="xdx_900_eus-gaap--LongTermDebtMeasuremen"/>
            <w:bookmarkEnd w:id="407"/>
            <w:r>
              <w:rPr/>
              <w:t>3.91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 w:type="dxa"/>
            <w:tcBorders/>
            <w:shd w:fill="FFFFFF" w:val="clear"/>
            <w:tcMar>
              <w:bottom w:w="0" w:type="dxa"/>
            </w:tcMar>
            <w:vAlign w:val="center"/>
          </w:tcPr>
          <w:p>
            <w:pPr>
              <w:pStyle w:val="TableContents"/>
              <w:bidi w:val="0"/>
              <w:spacing w:before="0" w:after="283"/>
              <w:jc w:val="left"/>
              <w:rPr/>
            </w:pPr>
            <w:r>
              <w:rPr/>
              <w:t> </w:t>
            </w:r>
          </w:p>
        </w:tc>
        <w:tc>
          <w:tcPr>
            <w:tcW w:w="198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408" w:name="xdx_902_eus-gaap--LongTermDebtMeasuremen"/>
            <w:bookmarkEnd w:id="408"/>
            <w:r>
              <w:rPr>
                <w:rFonts w:ascii="Times New Roman;Times;Serif" w:hAnsi="Times New Roman;Times;Serif"/>
                <w:sz w:val="20"/>
              </w:rPr>
              <w:t>3.68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8" w:type="dxa"/>
            <w:tcBorders/>
            <w:shd w:fill="FFFFFF" w:val="clear"/>
            <w:tcMar>
              <w:bottom w:w="0" w:type="dxa"/>
            </w:tcMar>
            <w:vAlign w:val="center"/>
          </w:tcPr>
          <w:p>
            <w:pPr>
              <w:pStyle w:val="TableContents"/>
              <w:bidi w:val="0"/>
              <w:spacing w:before="0" w:after="283"/>
              <w:jc w:val="left"/>
              <w:rPr/>
            </w:pPr>
            <w:r>
              <w:rPr/>
              <w:t> </w:t>
            </w:r>
          </w:p>
        </w:tc>
        <w:tc>
          <w:tcPr>
            <w:tcW w:w="198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409" w:name="xdx_908_eus-gaap--LongTermDebtMeasuremen"/>
            <w:bookmarkEnd w:id="409"/>
            <w:r>
              <w:rPr>
                <w:rFonts w:ascii="Times New Roman;Times;Serif" w:hAnsi="Times New Roman;Times;Serif"/>
                <w:sz w:val="20"/>
              </w:rPr>
              <w:t>3.47</w:t>
            </w:r>
          </w:p>
        </w:tc>
        <w:tc>
          <w:tcPr>
            <w:tcW w:w="233" w:type="dxa"/>
            <w:tcBorders/>
            <w:shd w:fill="FFFFFF" w:val="clear"/>
            <w:tcMar>
              <w:bottom w:w="0" w:type="dxa"/>
            </w:tcMar>
            <w:vAlign w:val="center"/>
          </w:tcPr>
          <w:p>
            <w:pPr>
              <w:pStyle w:val="TableContents"/>
              <w:bidi w:val="0"/>
              <w:spacing w:before="0" w:after="283"/>
              <w:jc w:val="left"/>
              <w:rPr/>
            </w:pPr>
            <w:r>
              <w:rPr/>
              <w:t>%</w:t>
            </w:r>
          </w:p>
        </w:tc>
      </w:tr>
      <w:tr>
        <w:trPr/>
        <w:tc>
          <w:tcPr>
            <w:tcW w:w="2743" w:type="dxa"/>
            <w:tcBorders/>
            <w:shd w:fill="CCEEFF" w:val="clear"/>
            <w:tcMar>
              <w:bottom w:w="0" w:type="dxa"/>
            </w:tcMar>
            <w:vAlign w:val="center"/>
          </w:tcPr>
          <w:p>
            <w:pPr>
              <w:pStyle w:val="TableContents"/>
              <w:bidi w:val="0"/>
              <w:spacing w:before="0" w:after="283"/>
              <w:jc w:val="left"/>
              <w:rPr/>
            </w:pPr>
            <w:r>
              <w:rPr/>
              <w:t>Debt discount rate (3-year)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1" w:type="dxa"/>
            <w:tcBorders/>
            <w:shd w:fill="CCEEFF" w:val="clear"/>
            <w:tcMar>
              <w:bottom w:w="0" w:type="dxa"/>
            </w:tcMar>
            <w:vAlign w:val="center"/>
          </w:tcPr>
          <w:p>
            <w:pPr>
              <w:pStyle w:val="TableContents"/>
              <w:bidi w:val="0"/>
              <w:spacing w:before="0" w:after="283"/>
              <w:jc w:val="left"/>
              <w:rPr/>
            </w:pPr>
            <w:r>
              <w:rPr/>
              <w:t> </w:t>
            </w:r>
          </w:p>
        </w:tc>
        <w:tc>
          <w:tcPr>
            <w:tcW w:w="1766" w:type="dxa"/>
            <w:tcBorders/>
            <w:shd w:fill="CCEEFF" w:val="clear"/>
            <w:tcMar>
              <w:bottom w:w="0" w:type="dxa"/>
            </w:tcMar>
            <w:vAlign w:val="center"/>
          </w:tcPr>
          <w:p>
            <w:pPr>
              <w:pStyle w:val="TableContents"/>
              <w:bidi w:val="0"/>
              <w:spacing w:before="0" w:after="283"/>
              <w:jc w:val="right"/>
              <w:rPr/>
            </w:pPr>
            <w:bookmarkStart w:id="410" w:name="xdx_904_eus-gaap--LongTermDebtMeasuremen"/>
            <w:bookmarkEnd w:id="410"/>
            <w:r>
              <w:rPr/>
              <w:t>25.72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 w:type="dxa"/>
            <w:tcBorders/>
            <w:shd w:fill="CCEEFF" w:val="clear"/>
            <w:tcMar>
              <w:bottom w:w="0" w:type="dxa"/>
            </w:tcMar>
            <w:vAlign w:val="center"/>
          </w:tcPr>
          <w:p>
            <w:pPr>
              <w:pStyle w:val="TableContents"/>
              <w:bidi w:val="0"/>
              <w:spacing w:before="0" w:after="283"/>
              <w:jc w:val="left"/>
              <w:rPr/>
            </w:pPr>
            <w:r>
              <w:rPr/>
              <w:t> </w:t>
            </w:r>
          </w:p>
        </w:tc>
        <w:tc>
          <w:tcPr>
            <w:tcW w:w="198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411" w:name="xdx_901_eus-gaap--LongTermDebtMeasuremen"/>
            <w:bookmarkEnd w:id="411"/>
            <w:r>
              <w:rPr>
                <w:rFonts w:ascii="Times New Roman;Times;Serif" w:hAnsi="Times New Roman;Times;Serif"/>
                <w:sz w:val="20"/>
              </w:rPr>
              <w:t>28.69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198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412" w:name="xdx_902_eus-gaap--LongTermDebtMeasuremen"/>
            <w:bookmarkEnd w:id="412"/>
            <w:r>
              <w:rPr>
                <w:rFonts w:ascii="Times New Roman;Times;Serif" w:hAnsi="Times New Roman;Times;Serif"/>
                <w:sz w:val="20"/>
              </w:rPr>
              <w:t>27.06</w:t>
            </w:r>
          </w:p>
        </w:tc>
        <w:tc>
          <w:tcPr>
            <w:tcW w:w="23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inputs were used in the Monte Carlo simulation to remeasure the derivative liabilities at each reporting date:</w:t>
      </w:r>
    </w:p>
    <w:p>
      <w:pPr>
        <w:pStyle w:val="TextBody"/>
        <w:bidi w:val="0"/>
        <w:spacing w:before="0" w:after="0"/>
        <w:ind w:left="0" w:right="0" w:hanging="0"/>
        <w:jc w:val="left"/>
        <w:rPr>
          <w:caps w:val="false"/>
          <w:smallCaps w:val="false"/>
        </w:rPr>
      </w:pPr>
      <w:r>
        <w:rPr>
          <w:caps w:val="false"/>
          <w:smallCaps w:val="false"/>
        </w:rPr>
        <w:t> </w:t>
      </w:r>
    </w:p>
    <w:tbl>
      <w:tblPr>
        <w:tblW w:w="8463" w:type="dxa"/>
        <w:jc w:val="left"/>
        <w:tblInd w:w="0" w:type="dxa"/>
        <w:tblLayout w:type="fixed"/>
        <w:tblCellMar>
          <w:top w:w="0" w:type="dxa"/>
          <w:left w:w="0" w:type="dxa"/>
          <w:bottom w:w="28" w:type="dxa"/>
          <w:right w:w="0" w:type="dxa"/>
        </w:tblCellMar>
      </w:tblPr>
      <w:tblGrid>
        <w:gridCol w:w="4565"/>
        <w:gridCol w:w="60"/>
        <w:gridCol w:w="155"/>
        <w:gridCol w:w="824"/>
        <w:gridCol w:w="215"/>
        <w:gridCol w:w="60"/>
        <w:gridCol w:w="155"/>
        <w:gridCol w:w="824"/>
        <w:gridCol w:w="215"/>
        <w:gridCol w:w="60"/>
        <w:gridCol w:w="175"/>
        <w:gridCol w:w="925"/>
        <w:gridCol w:w="230"/>
      </w:tblGrid>
      <w:tr>
        <w:trPr/>
        <w:tc>
          <w:tcPr>
            <w:tcW w:w="4565" w:type="dxa"/>
            <w:tcBorders>
              <w:bottom w:val="single" w:sz="8" w:space="0" w:color="000000"/>
            </w:tcBorders>
            <w:vAlign w:val="center"/>
          </w:tcPr>
          <w:p>
            <w:pPr>
              <w:pStyle w:val="TableContents"/>
              <w:bidi w:val="0"/>
              <w:spacing w:before="0" w:after="283"/>
              <w:jc w:val="left"/>
              <w:rPr>
                <w:b/>
              </w:rPr>
            </w:pPr>
            <w:r>
              <w:rPr>
                <w:b/>
              </w:rPr>
              <w:t>Input</w:t>
            </w:r>
          </w:p>
        </w:tc>
        <w:tc>
          <w:tcPr>
            <w:tcW w:w="60" w:type="dxa"/>
            <w:tcBorders/>
            <w:tcMar>
              <w:bottom w:w="0" w:type="dxa"/>
            </w:tcMar>
            <w:vAlign w:val="center"/>
          </w:tcPr>
          <w:p>
            <w:pPr>
              <w:pStyle w:val="TableContents"/>
              <w:bidi w:val="0"/>
              <w:spacing w:before="0" w:after="283"/>
              <w:jc w:val="left"/>
              <w:rPr/>
            </w:pPr>
            <w:r>
              <w:rPr/>
              <w:t> </w:t>
            </w:r>
          </w:p>
        </w:tc>
        <w:tc>
          <w:tcPr>
            <w:tcW w:w="979" w:type="dxa"/>
            <w:gridSpan w:val="2"/>
            <w:tcBorders>
              <w:bottom w:val="single" w:sz="8" w:space="0" w:color="000000"/>
            </w:tcBorders>
            <w:vAlign w:val="center"/>
          </w:tcPr>
          <w:p>
            <w:pPr>
              <w:pStyle w:val="TableContents"/>
              <w:bidi w:val="0"/>
              <w:spacing w:before="0" w:after="283"/>
              <w:jc w:val="center"/>
              <w:rPr>
                <w:b/>
              </w:rPr>
            </w:pPr>
            <w:r>
              <w:rPr>
                <w:b/>
              </w:rPr>
              <w:t>6/30/2025</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9" w:type="dxa"/>
            <w:gridSpan w:val="2"/>
            <w:tcBorders>
              <w:bottom w:val="single" w:sz="8" w:space="0" w:color="000000"/>
            </w:tcBorders>
            <w:vAlign w:val="center"/>
          </w:tcPr>
          <w:p>
            <w:pPr>
              <w:pStyle w:val="TableContents"/>
              <w:bidi w:val="0"/>
              <w:spacing w:before="0" w:after="283"/>
              <w:jc w:val="center"/>
              <w:rPr>
                <w:b/>
              </w:rPr>
            </w:pPr>
            <w:r>
              <w:rPr>
                <w:b/>
              </w:rPr>
              <w:t>9/30/2025</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283"/>
              <w:jc w:val="center"/>
              <w:rPr>
                <w:b/>
              </w:rPr>
            </w:pPr>
            <w:r>
              <w:rPr>
                <w:b/>
              </w:rPr>
              <w:t>12/31/2025</w:t>
            </w:r>
          </w:p>
        </w:tc>
        <w:tc>
          <w:tcPr>
            <w:tcW w:w="230" w:type="dxa"/>
            <w:tcBorders/>
            <w:tcMar>
              <w:bottom w:w="0" w:type="dxa"/>
            </w:tcMar>
            <w:vAlign w:val="center"/>
          </w:tcPr>
          <w:p>
            <w:pPr>
              <w:pStyle w:val="TableContents"/>
              <w:bidi w:val="0"/>
              <w:spacing w:before="0" w:after="283"/>
              <w:jc w:val="left"/>
              <w:rPr/>
            </w:pPr>
            <w:r>
              <w:rPr/>
              <w:t> </w:t>
            </w:r>
          </w:p>
        </w:tc>
      </w:tr>
      <w:tr>
        <w:trPr/>
        <w:tc>
          <w:tcPr>
            <w:tcW w:w="4565" w:type="dxa"/>
            <w:tcBorders/>
            <w:shd w:fill="CCEEFF" w:val="clear"/>
            <w:tcMar>
              <w:bottom w:w="0" w:type="dxa"/>
            </w:tcMar>
            <w:vAlign w:val="center"/>
          </w:tcPr>
          <w:p>
            <w:pPr>
              <w:pStyle w:val="TableContents"/>
              <w:bidi w:val="0"/>
              <w:spacing w:before="0" w:after="283"/>
              <w:jc w:val="left"/>
              <w:rPr/>
            </w:pPr>
            <w:r>
              <w:rPr/>
              <w:t>Assumed instrument term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413" w:name="xdx_906_eus-gaap--LongTermDebtTerm_iI_dt"/>
            <w:bookmarkEnd w:id="413"/>
            <w:r>
              <w:rPr>
                <w:rFonts w:ascii="Times New Roman;Times;Serif" w:hAnsi="Times New Roman;Times;Serif"/>
                <w:sz w:val="20"/>
              </w:rPr>
              <w:t>3.0 years</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414" w:name="xdx_90E_eus-gaap--LongTermDebtTerm_iI_dt"/>
            <w:bookmarkEnd w:id="414"/>
            <w:r>
              <w:rPr>
                <w:rFonts w:ascii="Times New Roman;Times;Serif" w:hAnsi="Times New Roman;Times;Serif"/>
                <w:sz w:val="20"/>
              </w:rPr>
              <w:t>3.0 years</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9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415" w:name="xdx_903_eus-gaap--LongTermDebtTerm_iI_dt"/>
            <w:bookmarkEnd w:id="415"/>
            <w:r>
              <w:rPr>
                <w:rFonts w:ascii="Times New Roman;Times;Serif" w:hAnsi="Times New Roman;Times;Serif"/>
                <w:sz w:val="20"/>
              </w:rPr>
              <w:t>3.0 years</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565" w:type="dxa"/>
            <w:tcBorders/>
            <w:shd w:fill="FFFFFF" w:val="clear"/>
            <w:tcMar>
              <w:bottom w:w="0" w:type="dxa"/>
            </w:tcMar>
            <w:vAlign w:val="center"/>
          </w:tcPr>
          <w:p>
            <w:pPr>
              <w:pStyle w:val="TableContents"/>
              <w:bidi w:val="0"/>
              <w:spacing w:before="0" w:after="283"/>
              <w:jc w:val="left"/>
              <w:rPr/>
            </w:pPr>
            <w:r>
              <w:rPr/>
              <w:t>Stock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w:t>
            </w:r>
          </w:p>
        </w:tc>
        <w:tc>
          <w:tcPr>
            <w:tcW w:w="824" w:type="dxa"/>
            <w:tcBorders/>
            <w:shd w:fill="FFFFFF" w:val="clear"/>
            <w:tcMar>
              <w:bottom w:w="0" w:type="dxa"/>
            </w:tcMar>
            <w:vAlign w:val="center"/>
          </w:tcPr>
          <w:p>
            <w:pPr>
              <w:pStyle w:val="TableContents"/>
              <w:bidi w:val="0"/>
              <w:spacing w:before="0" w:after="283"/>
              <w:jc w:val="right"/>
              <w:rPr/>
            </w:pPr>
            <w:bookmarkStart w:id="416" w:name="xdx_90E_eus-gaap--LongTermDebtMeasuremen"/>
            <w:bookmarkEnd w:id="416"/>
            <w:r>
              <w:rPr/>
              <w:t>11.68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w:t>
            </w:r>
          </w:p>
        </w:tc>
        <w:tc>
          <w:tcPr>
            <w:tcW w:w="824" w:type="dxa"/>
            <w:tcBorders/>
            <w:shd w:fill="FFFFFF" w:val="clear"/>
            <w:tcMar>
              <w:bottom w:w="0" w:type="dxa"/>
            </w:tcMar>
            <w:vAlign w:val="center"/>
          </w:tcPr>
          <w:p>
            <w:pPr>
              <w:pStyle w:val="TableContents"/>
              <w:bidi w:val="0"/>
              <w:spacing w:before="0" w:after="283"/>
              <w:jc w:val="right"/>
              <w:rPr/>
            </w:pPr>
            <w:bookmarkStart w:id="417" w:name="xdx_903_eus-gaap--LongTermDebtMeasuremen"/>
            <w:bookmarkEnd w:id="417"/>
            <w:r>
              <w:rPr/>
              <w:t>3.64</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w:t>
            </w:r>
          </w:p>
        </w:tc>
        <w:tc>
          <w:tcPr>
            <w:tcW w:w="925" w:type="dxa"/>
            <w:tcBorders/>
            <w:shd w:fill="FFFFFF" w:val="clear"/>
            <w:tcMar>
              <w:bottom w:w="0" w:type="dxa"/>
            </w:tcMar>
            <w:vAlign w:val="center"/>
          </w:tcPr>
          <w:p>
            <w:pPr>
              <w:pStyle w:val="TableContents"/>
              <w:bidi w:val="0"/>
              <w:spacing w:before="0" w:after="283"/>
              <w:jc w:val="right"/>
              <w:rPr/>
            </w:pPr>
            <w:bookmarkStart w:id="418" w:name="xdx_902_eus-gaap--LongTermDebtMeasuremen"/>
            <w:bookmarkEnd w:id="418"/>
            <w:r>
              <w:rPr/>
              <w:t>2.63</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565" w:type="dxa"/>
            <w:tcBorders/>
            <w:shd w:fill="CCEEFF" w:val="clear"/>
            <w:tcMar>
              <w:bottom w:w="0" w:type="dxa"/>
            </w:tcMar>
            <w:vAlign w:val="center"/>
          </w:tcPr>
          <w:p>
            <w:pPr>
              <w:pStyle w:val="TableContents"/>
              <w:bidi w:val="0"/>
              <w:spacing w:before="0" w:after="283"/>
              <w:jc w:val="left"/>
              <w:rPr/>
            </w:pPr>
            <w:r>
              <w:rPr/>
              <w:t>Selected equity 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bookmarkStart w:id="419" w:name="xdx_902_eus-gaap--LongTermDebtMeasuremen"/>
            <w:bookmarkEnd w:id="419"/>
            <w:r>
              <w:rPr/>
              <w:t>135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bookmarkStart w:id="420" w:name="xdx_906_eus-gaap--LongTermDebtMeasuremen"/>
            <w:bookmarkEnd w:id="420"/>
            <w:r>
              <w:rPr/>
              <w:t>145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925" w:type="dxa"/>
            <w:tcBorders/>
            <w:shd w:fill="CCEEFF" w:val="clear"/>
            <w:tcMar>
              <w:bottom w:w="0" w:type="dxa"/>
            </w:tcMar>
            <w:vAlign w:val="center"/>
          </w:tcPr>
          <w:p>
            <w:pPr>
              <w:pStyle w:val="TableContents"/>
              <w:bidi w:val="0"/>
              <w:spacing w:before="0" w:after="283"/>
              <w:jc w:val="right"/>
              <w:rPr/>
            </w:pPr>
            <w:bookmarkStart w:id="421" w:name="xdx_904_eus-gaap--LongTermDebtMeasuremen"/>
            <w:bookmarkEnd w:id="421"/>
            <w:r>
              <w:rPr/>
              <w:t>150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4565" w:type="dxa"/>
            <w:tcBorders/>
            <w:shd w:fill="FFFFFF" w:val="clear"/>
            <w:tcMar>
              <w:bottom w:w="0" w:type="dxa"/>
            </w:tcMar>
            <w:vAlign w:val="center"/>
          </w:tcPr>
          <w:p>
            <w:pPr>
              <w:pStyle w:val="TableContents"/>
              <w:bidi w:val="0"/>
              <w:spacing w:before="0" w:after="283"/>
              <w:jc w:val="left"/>
              <w:rPr/>
            </w:pPr>
            <w:r>
              <w:rPr/>
              <w:t>Risk-free rate (continuous compounded, 3-year)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bookmarkStart w:id="422" w:name="xdx_903_eus-gaap--LongTermDebtMeasuremen"/>
            <w:bookmarkEnd w:id="422"/>
            <w:r>
              <w:rPr/>
              <w:t>3.65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824" w:type="dxa"/>
            <w:tcBorders/>
            <w:shd w:fill="FFFFFF" w:val="clear"/>
            <w:tcMar>
              <w:bottom w:w="0" w:type="dxa"/>
            </w:tcMar>
            <w:vAlign w:val="center"/>
          </w:tcPr>
          <w:p>
            <w:pPr>
              <w:pStyle w:val="TableContents"/>
              <w:bidi w:val="0"/>
              <w:spacing w:before="0" w:after="283"/>
              <w:jc w:val="right"/>
              <w:rPr/>
            </w:pPr>
            <w:bookmarkStart w:id="423" w:name="xdx_908_eus-gaap--LongTermDebtMeasuremen"/>
            <w:bookmarkEnd w:id="423"/>
            <w:r>
              <w:rPr/>
              <w:t>3.58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925" w:type="dxa"/>
            <w:tcBorders/>
            <w:shd w:fill="FFFFFF" w:val="clear"/>
            <w:tcMar>
              <w:bottom w:w="0" w:type="dxa"/>
            </w:tcMar>
            <w:vAlign w:val="center"/>
          </w:tcPr>
          <w:p>
            <w:pPr>
              <w:pStyle w:val="TableContents"/>
              <w:bidi w:val="0"/>
              <w:spacing w:before="0" w:after="283"/>
              <w:jc w:val="right"/>
              <w:rPr/>
            </w:pPr>
            <w:bookmarkStart w:id="424" w:name="xdx_904_eus-gaap--LongTermDebtMeasuremen"/>
            <w:bookmarkEnd w:id="424"/>
            <w:r>
              <w:rPr/>
              <w:t>3.52</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565" w:type="dxa"/>
            <w:tcBorders/>
            <w:shd w:fill="CCEEFF" w:val="clear"/>
            <w:tcMar>
              <w:bottom w:w="0" w:type="dxa"/>
            </w:tcMar>
            <w:vAlign w:val="center"/>
          </w:tcPr>
          <w:p>
            <w:pPr>
              <w:pStyle w:val="TableContents"/>
              <w:bidi w:val="0"/>
              <w:spacing w:before="0" w:after="283"/>
              <w:jc w:val="left"/>
              <w:rPr/>
            </w:pPr>
            <w:r>
              <w:rPr/>
              <w:t>Debt discount rate (3-year)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bookmarkStart w:id="425" w:name="xdx_909_eus-gaap--LongTermDebtMeasuremen"/>
            <w:bookmarkEnd w:id="425"/>
            <w:r>
              <w:rPr/>
              <w:t>28.93</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right"/>
              <w:rPr/>
            </w:pPr>
            <w:bookmarkStart w:id="426" w:name="xdx_906_eus-gaap--LongTermDebtMeasuremen"/>
            <w:bookmarkEnd w:id="426"/>
            <w:r>
              <w:rPr/>
              <w:t>26.00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925" w:type="dxa"/>
            <w:tcBorders/>
            <w:shd w:fill="CCEEFF" w:val="clear"/>
            <w:tcMar>
              <w:bottom w:w="0" w:type="dxa"/>
            </w:tcMar>
            <w:vAlign w:val="center"/>
          </w:tcPr>
          <w:p>
            <w:pPr>
              <w:pStyle w:val="TableContents"/>
              <w:bidi w:val="0"/>
              <w:spacing w:before="0" w:after="283"/>
              <w:jc w:val="right"/>
              <w:rPr/>
            </w:pPr>
            <w:bookmarkStart w:id="427" w:name="xdx_905_eus-gaap--LongTermDebtMeasuremen"/>
            <w:bookmarkEnd w:id="427"/>
            <w:r>
              <w:rPr/>
              <w:t>27.10</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range of inputs were used in the Monte Carlo simulation to remeasure the derivative liabilities at conversion dates (derivatives with multiple conversions are presented with the range of inputs):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43"/>
        <w:gridCol w:w="60"/>
        <w:gridCol w:w="477"/>
        <w:gridCol w:w="1863"/>
        <w:gridCol w:w="215"/>
        <w:gridCol w:w="60"/>
        <w:gridCol w:w="212"/>
        <w:gridCol w:w="2127"/>
        <w:gridCol w:w="215"/>
        <w:gridCol w:w="60"/>
        <w:gridCol w:w="228"/>
        <w:gridCol w:w="2211"/>
        <w:gridCol w:w="234"/>
      </w:tblGrid>
      <w:tr>
        <w:trPr/>
        <w:tc>
          <w:tcPr>
            <w:tcW w:w="2243" w:type="dxa"/>
            <w:tcBorders>
              <w:bottom w:val="single" w:sz="8" w:space="0" w:color="000000"/>
            </w:tcBorders>
            <w:vAlign w:val="center"/>
          </w:tcPr>
          <w:p>
            <w:pPr>
              <w:pStyle w:val="TableContents"/>
              <w:bidi w:val="0"/>
              <w:spacing w:before="0" w:after="283"/>
              <w:jc w:val="left"/>
              <w:rPr>
                <w:b/>
              </w:rPr>
            </w:pPr>
            <w:r>
              <w:rPr>
                <w:b/>
              </w:rPr>
              <w:t>Input</w:t>
            </w:r>
          </w:p>
        </w:tc>
        <w:tc>
          <w:tcPr>
            <w:tcW w:w="60" w:type="dxa"/>
            <w:tcBorders/>
            <w:tcMar>
              <w:bottom w:w="0" w:type="dxa"/>
            </w:tcMar>
            <w:vAlign w:val="center"/>
          </w:tcPr>
          <w:p>
            <w:pPr>
              <w:pStyle w:val="TableContents"/>
              <w:bidi w:val="0"/>
              <w:spacing w:before="0" w:after="283"/>
              <w:jc w:val="left"/>
              <w:rPr/>
            </w:pPr>
            <w:r>
              <w:rPr/>
              <w:t> </w:t>
            </w:r>
          </w:p>
        </w:tc>
        <w:tc>
          <w:tcPr>
            <w:tcW w:w="2340" w:type="dxa"/>
            <w:gridSpan w:val="2"/>
            <w:tcBorders>
              <w:bottom w:val="single" w:sz="8" w:space="0" w:color="000000"/>
            </w:tcBorders>
            <w:vAlign w:val="center"/>
          </w:tcPr>
          <w:p>
            <w:pPr>
              <w:pStyle w:val="TableContents"/>
              <w:bidi w:val="0"/>
              <w:spacing w:before="0" w:after="283"/>
              <w:jc w:val="center"/>
              <w:rPr>
                <w:b/>
              </w:rPr>
            </w:pPr>
            <w:r>
              <w:rPr>
                <w:b/>
              </w:rPr>
              <w:t>Derivative 1 (Convertible Note 1)</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39" w:type="dxa"/>
            <w:gridSpan w:val="2"/>
            <w:tcBorders>
              <w:bottom w:val="single" w:sz="8" w:space="0" w:color="000000"/>
            </w:tcBorders>
            <w:vAlign w:val="center"/>
          </w:tcPr>
          <w:p>
            <w:pPr>
              <w:pStyle w:val="TableContents"/>
              <w:bidi w:val="0"/>
              <w:spacing w:before="0" w:after="283"/>
              <w:jc w:val="center"/>
              <w:rPr>
                <w:b/>
              </w:rPr>
            </w:pPr>
            <w:r>
              <w:rPr>
                <w:b/>
              </w:rPr>
              <w:t>Derivative 2 (Convertible Note 2)</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39" w:type="dxa"/>
            <w:gridSpan w:val="2"/>
            <w:tcBorders>
              <w:bottom w:val="single" w:sz="8" w:space="0" w:color="000000"/>
            </w:tcBorders>
            <w:vAlign w:val="center"/>
          </w:tcPr>
          <w:p>
            <w:pPr>
              <w:pStyle w:val="TableContents"/>
              <w:bidi w:val="0"/>
              <w:spacing w:before="0" w:after="283"/>
              <w:jc w:val="center"/>
              <w:rPr>
                <w:b/>
              </w:rPr>
            </w:pPr>
            <w:r>
              <w:rPr>
                <w:b/>
              </w:rPr>
              <w:t>Derivative 3 (Convertible Note 3)</w:t>
            </w:r>
          </w:p>
        </w:tc>
        <w:tc>
          <w:tcPr>
            <w:tcW w:w="234" w:type="dxa"/>
            <w:tcBorders/>
            <w:tcMar>
              <w:bottom w:w="0" w:type="dxa"/>
            </w:tcMar>
            <w:vAlign w:val="center"/>
          </w:tcPr>
          <w:p>
            <w:pPr>
              <w:pStyle w:val="TableContents"/>
              <w:bidi w:val="0"/>
              <w:spacing w:before="0" w:after="283"/>
              <w:jc w:val="left"/>
              <w:rPr/>
            </w:pPr>
            <w:r>
              <w:rPr/>
              <w:t> </w:t>
            </w:r>
          </w:p>
        </w:tc>
      </w:tr>
      <w:tr>
        <w:trPr/>
        <w:tc>
          <w:tcPr>
            <w:tcW w:w="2243" w:type="dxa"/>
            <w:tcBorders/>
            <w:shd w:fill="CCEEFF" w:val="clear"/>
            <w:tcMar>
              <w:bottom w:w="0" w:type="dxa"/>
            </w:tcMar>
            <w:vAlign w:val="center"/>
          </w:tcPr>
          <w:p>
            <w:pPr>
              <w:pStyle w:val="TableContents"/>
              <w:bidi w:val="0"/>
              <w:spacing w:before="0" w:after="283"/>
              <w:jc w:val="left"/>
              <w:rPr/>
            </w:pPr>
            <w:r>
              <w:rPr/>
              <w:t>Assumed instrument term</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7" w:type="dxa"/>
            <w:tcBorders/>
            <w:shd w:fill="CCEEFF" w:val="clear"/>
            <w:tcMar>
              <w:bottom w:w="0" w:type="dxa"/>
            </w:tcMar>
            <w:vAlign w:val="center"/>
          </w:tcPr>
          <w:p>
            <w:pPr>
              <w:pStyle w:val="TableContents"/>
              <w:bidi w:val="0"/>
              <w:spacing w:before="0" w:after="283"/>
              <w:jc w:val="left"/>
              <w:rPr/>
            </w:pPr>
            <w:r>
              <w:rPr/>
              <w:t> </w:t>
            </w:r>
          </w:p>
        </w:tc>
        <w:tc>
          <w:tcPr>
            <w:tcW w:w="186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428" w:name="xdx_900_eus-gaap--LongTermDebtTerm_iI_dt"/>
            <w:bookmarkEnd w:id="428"/>
            <w:r>
              <w:rPr>
                <w:rFonts w:ascii="Times New Roman;Times;Serif" w:hAnsi="Times New Roman;Times;Serif"/>
                <w:sz w:val="20"/>
              </w:rPr>
              <w:t>3.0 years</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2127" w:type="dxa"/>
            <w:tcBorders/>
            <w:shd w:fill="CCEEFF" w:val="clear"/>
            <w:tcMar>
              <w:bottom w:w="0" w:type="dxa"/>
            </w:tcMar>
            <w:vAlign w:val="center"/>
          </w:tcPr>
          <w:p>
            <w:pPr>
              <w:pStyle w:val="TableContents"/>
              <w:bidi w:val="0"/>
              <w:spacing w:before="0" w:after="283"/>
              <w:jc w:val="right"/>
              <w:rPr/>
            </w:pPr>
            <w:r>
              <w:rPr/>
              <w:t>             </w:t>
            </w:r>
            <w:bookmarkStart w:id="429" w:name="xdx_900_eus-gaap--LongTermDebtTerm_iI_dt"/>
            <w:bookmarkEnd w:id="429"/>
            <w:r>
              <w:rPr>
                <w:rFonts w:ascii="Times New Roman;Times;Serif" w:hAnsi="Times New Roman;Times;Serif"/>
                <w:sz w:val="20"/>
              </w:rPr>
              <w:t>3.0 years</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2211" w:type="dxa"/>
            <w:tcBorders/>
            <w:shd w:fill="CCEEFF" w:val="clear"/>
            <w:tcMar>
              <w:bottom w:w="0" w:type="dxa"/>
            </w:tcMar>
            <w:vAlign w:val="center"/>
          </w:tcPr>
          <w:p>
            <w:pPr>
              <w:pStyle w:val="TableContents"/>
              <w:bidi w:val="0"/>
              <w:spacing w:before="0" w:after="283"/>
              <w:jc w:val="right"/>
              <w:rPr/>
            </w:pPr>
            <w:r>
              <w:rPr/>
              <w:t>                     </w:t>
            </w:r>
            <w:r>
              <w:rPr/>
              <w:t>-</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243" w:type="dxa"/>
            <w:tcBorders/>
            <w:shd w:fill="FFFFFF" w:val="clear"/>
            <w:tcMar>
              <w:bottom w:w="0" w:type="dxa"/>
            </w:tcMar>
            <w:vAlign w:val="center"/>
          </w:tcPr>
          <w:p>
            <w:pPr>
              <w:pStyle w:val="TableContents"/>
              <w:bidi w:val="0"/>
              <w:spacing w:before="0" w:after="283"/>
              <w:jc w:val="left"/>
              <w:rPr/>
            </w:pPr>
            <w:r>
              <w:rPr/>
              <w:t>Stock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7" w:type="dxa"/>
            <w:tcBorders/>
            <w:shd w:fill="FFFFFF" w:val="clear"/>
            <w:tcMar>
              <w:bottom w:w="0" w:type="dxa"/>
            </w:tcMar>
            <w:vAlign w:val="center"/>
          </w:tcPr>
          <w:p>
            <w:pPr>
              <w:pStyle w:val="TableContents"/>
              <w:bidi w:val="0"/>
              <w:spacing w:before="0" w:after="283"/>
              <w:jc w:val="left"/>
              <w:rPr/>
            </w:pPr>
            <w:r>
              <w:rPr/>
              <w:t>$</w:t>
            </w:r>
          </w:p>
        </w:tc>
        <w:tc>
          <w:tcPr>
            <w:tcW w:w="186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430" w:name="xdx_90A_eus-gaap--LongTermDebtMeasuremen"/>
            <w:bookmarkEnd w:id="430"/>
            <w:r>
              <w:rPr>
                <w:rFonts w:ascii="Times New Roman;Times;Serif" w:hAnsi="Times New Roman;Times;Serif"/>
                <w:sz w:val="20"/>
              </w:rPr>
              <w:t>3.18-</w:t>
            </w:r>
            <w:bookmarkStart w:id="431" w:name="xdx_90C_eus-gaap--LongTermDebtMeasuremen"/>
            <w:bookmarkEnd w:id="431"/>
            <w:r>
              <w:rPr>
                <w:rFonts w:ascii="Times New Roman;Times;Serif" w:hAnsi="Times New Roman;Times;Serif"/>
                <w:sz w:val="20"/>
              </w:rPr>
              <w:t>6.78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w:t>
            </w:r>
          </w:p>
        </w:tc>
        <w:tc>
          <w:tcPr>
            <w:tcW w:w="2127" w:type="dxa"/>
            <w:tcBorders/>
            <w:shd w:fill="FFFFFF" w:val="clear"/>
            <w:tcMar>
              <w:bottom w:w="0" w:type="dxa"/>
            </w:tcMar>
            <w:vAlign w:val="center"/>
          </w:tcPr>
          <w:p>
            <w:pPr>
              <w:pStyle w:val="TableContents"/>
              <w:bidi w:val="0"/>
              <w:spacing w:before="0" w:after="283"/>
              <w:jc w:val="right"/>
              <w:rPr/>
            </w:pPr>
            <w:bookmarkStart w:id="432" w:name="xdx_909_eus-gaap--LongTermDebtMeasuremen"/>
            <w:bookmarkEnd w:id="432"/>
            <w:r>
              <w:rPr/>
              <w:t>3.45</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w:t>
            </w:r>
          </w:p>
        </w:tc>
        <w:tc>
          <w:tcPr>
            <w:tcW w:w="2211" w:type="dxa"/>
            <w:tcBorders/>
            <w:shd w:fill="FFFFFF" w:val="clear"/>
            <w:tcMar>
              <w:bottom w:w="0" w:type="dxa"/>
            </w:tcMar>
            <w:vAlign w:val="center"/>
          </w:tcPr>
          <w:p>
            <w:pPr>
              <w:pStyle w:val="TableContents"/>
              <w:bidi w:val="0"/>
              <w:spacing w:before="0" w:after="283"/>
              <w:jc w:val="right"/>
              <w:rPr/>
            </w:pPr>
            <w:bookmarkStart w:id="433" w:name="xdx_909_eus-gaap--LongTermDebtMeasuremen"/>
            <w:bookmarkEnd w:id="433"/>
            <w:r>
              <w:rPr/>
              <w:t>-</w:t>
            </w:r>
          </w:p>
        </w:tc>
        <w:tc>
          <w:tcPr>
            <w:tcW w:w="234" w:type="dxa"/>
            <w:tcBorders/>
            <w:shd w:fill="FFFFFF" w:val="clear"/>
            <w:tcMar>
              <w:bottom w:w="0" w:type="dxa"/>
            </w:tcMar>
            <w:vAlign w:val="center"/>
          </w:tcPr>
          <w:p>
            <w:pPr>
              <w:pStyle w:val="TableContents"/>
              <w:bidi w:val="0"/>
              <w:spacing w:before="0" w:after="283"/>
              <w:jc w:val="left"/>
              <w:rPr/>
            </w:pPr>
            <w:r>
              <w:rPr/>
              <w:t> </w:t>
            </w:r>
          </w:p>
        </w:tc>
      </w:tr>
      <w:tr>
        <w:trPr/>
        <w:tc>
          <w:tcPr>
            <w:tcW w:w="2243" w:type="dxa"/>
            <w:tcBorders/>
            <w:shd w:fill="CCEEFF" w:val="clear"/>
            <w:tcMar>
              <w:bottom w:w="0" w:type="dxa"/>
            </w:tcMar>
            <w:vAlign w:val="center"/>
          </w:tcPr>
          <w:p>
            <w:pPr>
              <w:pStyle w:val="TableContents"/>
              <w:bidi w:val="0"/>
              <w:spacing w:before="0" w:after="283"/>
              <w:jc w:val="left"/>
              <w:rPr/>
            </w:pPr>
            <w:r>
              <w:rPr/>
              <w:t>Selected equity 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7" w:type="dxa"/>
            <w:tcBorders/>
            <w:shd w:fill="CCEEFF" w:val="clear"/>
            <w:tcMar>
              <w:bottom w:w="0" w:type="dxa"/>
            </w:tcMar>
            <w:vAlign w:val="center"/>
          </w:tcPr>
          <w:p>
            <w:pPr>
              <w:pStyle w:val="TableContents"/>
              <w:bidi w:val="0"/>
              <w:spacing w:before="0" w:after="283"/>
              <w:jc w:val="left"/>
              <w:rPr/>
            </w:pPr>
            <w:r>
              <w:rPr/>
              <w:t> </w:t>
            </w:r>
          </w:p>
        </w:tc>
        <w:tc>
          <w:tcPr>
            <w:tcW w:w="186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434" w:name="xdx_90D_eus-gaap--LongTermDebtMeasuremen"/>
            <w:bookmarkEnd w:id="434"/>
            <w:r>
              <w:rPr>
                <w:rFonts w:ascii="Times New Roman;Times;Serif" w:hAnsi="Times New Roman;Times;Serif"/>
                <w:sz w:val="20"/>
              </w:rPr>
              <w:t>130-</w:t>
            </w:r>
            <w:bookmarkStart w:id="435" w:name="xdx_90F_eus-gaap--LongTermDebtMeasuremen"/>
            <w:bookmarkEnd w:id="435"/>
            <w:r>
              <w:rPr>
                <w:rFonts w:ascii="Times New Roman;Times;Serif" w:hAnsi="Times New Roman;Times;Serif"/>
                <w:sz w:val="20"/>
              </w:rPr>
              <w:t>155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2127" w:type="dxa"/>
            <w:tcBorders/>
            <w:shd w:fill="CCEEFF" w:val="clear"/>
            <w:tcMar>
              <w:bottom w:w="0" w:type="dxa"/>
            </w:tcMar>
            <w:vAlign w:val="center"/>
          </w:tcPr>
          <w:p>
            <w:pPr>
              <w:pStyle w:val="TableContents"/>
              <w:bidi w:val="0"/>
              <w:spacing w:before="0" w:after="283"/>
              <w:jc w:val="right"/>
              <w:rPr/>
            </w:pPr>
            <w:bookmarkStart w:id="436" w:name="xdx_902_eus-gaap--LongTermDebtMeasuremen"/>
            <w:bookmarkEnd w:id="436"/>
            <w:r>
              <w:rPr/>
              <w:t>145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221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437" w:name="xdx_902_eus-gaap--LongTermDebtMeasuremen"/>
            <w:bookmarkEnd w:id="437"/>
            <w:r>
              <w:rPr>
                <w:rFonts w:ascii="Times New Roman;Times;Serif" w:hAnsi="Times New Roman;Times;Serif"/>
                <w:sz w:val="20"/>
              </w:rPr>
              <w:t>-</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243" w:type="dxa"/>
            <w:tcBorders/>
            <w:shd w:fill="FFFFFF" w:val="clear"/>
            <w:tcMar>
              <w:bottom w:w="0" w:type="dxa"/>
            </w:tcMar>
            <w:vAlign w:val="center"/>
          </w:tcPr>
          <w:p>
            <w:pPr>
              <w:pStyle w:val="TableContents"/>
              <w:bidi w:val="0"/>
              <w:spacing w:before="0" w:after="283"/>
              <w:jc w:val="left"/>
              <w:rPr/>
            </w:pPr>
            <w:r>
              <w:rPr/>
              <w:t>Risk-free rate (continuous, 3-year)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7" w:type="dxa"/>
            <w:tcBorders/>
            <w:shd w:fill="FFFFFF" w:val="clear"/>
            <w:tcMar>
              <w:bottom w:w="0" w:type="dxa"/>
            </w:tcMar>
            <w:vAlign w:val="center"/>
          </w:tcPr>
          <w:p>
            <w:pPr>
              <w:pStyle w:val="TableContents"/>
              <w:bidi w:val="0"/>
              <w:spacing w:before="0" w:after="283"/>
              <w:jc w:val="left"/>
              <w:rPr/>
            </w:pPr>
            <w:r>
              <w:rPr/>
              <w:t> </w:t>
            </w:r>
          </w:p>
        </w:tc>
        <w:tc>
          <w:tcPr>
            <w:tcW w:w="186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438" w:name="xdx_90E_eus-gaap--LongTermDebtMeasuremen"/>
            <w:bookmarkEnd w:id="438"/>
            <w:r>
              <w:rPr>
                <w:rFonts w:ascii="Times New Roman;Times;Serif" w:hAnsi="Times New Roman;Times;Serif"/>
                <w:sz w:val="20"/>
              </w:rPr>
              <w:t>3.45-</w:t>
            </w:r>
            <w:bookmarkStart w:id="439" w:name="xdx_907_eus-gaap--LongTermDebtMeasuremen"/>
            <w:bookmarkEnd w:id="439"/>
            <w:r>
              <w:rPr>
                <w:rFonts w:ascii="Times New Roman;Times;Serif" w:hAnsi="Times New Roman;Times;Serif"/>
                <w:sz w:val="20"/>
              </w:rPr>
              <w:t>3.68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2127" w:type="dxa"/>
            <w:tcBorders/>
            <w:shd w:fill="FFFFFF" w:val="clear"/>
            <w:tcMar>
              <w:bottom w:w="0" w:type="dxa"/>
            </w:tcMar>
            <w:vAlign w:val="center"/>
          </w:tcPr>
          <w:p>
            <w:pPr>
              <w:pStyle w:val="TableContents"/>
              <w:bidi w:val="0"/>
              <w:spacing w:before="0" w:after="283"/>
              <w:jc w:val="right"/>
              <w:rPr/>
            </w:pPr>
            <w:bookmarkStart w:id="440" w:name="xdx_901_eus-gaap--LongTermDebtMeasuremen"/>
            <w:bookmarkEnd w:id="440"/>
            <w:r>
              <w:rPr/>
              <w:t>3.54</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221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bookmarkStart w:id="441" w:name="xdx_90D_eus-gaap--LongTermDebtMeasuremen"/>
            <w:bookmarkEnd w:id="441"/>
            <w:r>
              <w:rPr>
                <w:rFonts w:ascii="Times New Roman;Times;Serif" w:hAnsi="Times New Roman;Times;Serif"/>
                <w:sz w:val="20"/>
              </w:rPr>
              <w:t>-</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243" w:type="dxa"/>
            <w:tcBorders/>
            <w:shd w:fill="CCEEFF" w:val="clear"/>
            <w:tcMar>
              <w:bottom w:w="0" w:type="dxa"/>
            </w:tcMar>
            <w:vAlign w:val="center"/>
          </w:tcPr>
          <w:p>
            <w:pPr>
              <w:pStyle w:val="TableContents"/>
              <w:bidi w:val="0"/>
              <w:spacing w:before="0" w:after="283"/>
              <w:jc w:val="left"/>
              <w:rPr/>
            </w:pPr>
            <w:r>
              <w:rPr/>
              <w:t>Debt discount rate (3-year)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7" w:type="dxa"/>
            <w:tcBorders/>
            <w:shd w:fill="CCEEFF" w:val="clear"/>
            <w:tcMar>
              <w:bottom w:w="0" w:type="dxa"/>
            </w:tcMar>
            <w:vAlign w:val="center"/>
          </w:tcPr>
          <w:p>
            <w:pPr>
              <w:pStyle w:val="TableContents"/>
              <w:bidi w:val="0"/>
              <w:spacing w:before="0" w:after="283"/>
              <w:jc w:val="left"/>
              <w:rPr/>
            </w:pPr>
            <w:r>
              <w:rPr/>
              <w:t> </w:t>
            </w:r>
          </w:p>
        </w:tc>
        <w:tc>
          <w:tcPr>
            <w:tcW w:w="186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442" w:name="xdx_907_eus-gaap--LongTermDebtMeasuremen"/>
            <w:bookmarkEnd w:id="442"/>
            <w:r>
              <w:rPr>
                <w:rFonts w:ascii="Times New Roman;Times;Serif" w:hAnsi="Times New Roman;Times;Serif"/>
                <w:sz w:val="20"/>
              </w:rPr>
              <w:t>25.66-</w:t>
            </w:r>
            <w:bookmarkStart w:id="443" w:name="xdx_902_eus-gaap--LongTermDebtMeasuremen"/>
            <w:bookmarkEnd w:id="443"/>
            <w:r>
              <w:rPr>
                <w:rFonts w:ascii="Times New Roman;Times;Serif" w:hAnsi="Times New Roman;Times;Serif"/>
                <w:sz w:val="20"/>
              </w:rPr>
              <w:t>28.69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2127" w:type="dxa"/>
            <w:tcBorders/>
            <w:shd w:fill="CCEEFF" w:val="clear"/>
            <w:tcMar>
              <w:bottom w:w="0" w:type="dxa"/>
            </w:tcMar>
            <w:vAlign w:val="center"/>
          </w:tcPr>
          <w:p>
            <w:pPr>
              <w:pStyle w:val="TableContents"/>
              <w:bidi w:val="0"/>
              <w:spacing w:before="0" w:after="283"/>
              <w:jc w:val="right"/>
              <w:rPr/>
            </w:pPr>
            <w:bookmarkStart w:id="444" w:name="xdx_90E_eus-gaap--LongTermDebtMeasuremen"/>
            <w:bookmarkEnd w:id="444"/>
            <w:r>
              <w:rPr/>
              <w:t>25.91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221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bookmarkStart w:id="445" w:name="xdx_90C_eus-gaap--LongTermDebtMeasuremen"/>
            <w:bookmarkEnd w:id="445"/>
            <w:r>
              <w:rPr>
                <w:rFonts w:ascii="Times New Roman;Times;Serif" w:hAnsi="Times New Roman;Times;Serif"/>
                <w:sz w:val="20"/>
              </w:rPr>
              <w:t>-</w:t>
            </w:r>
          </w:p>
        </w:tc>
        <w:tc>
          <w:tcPr>
            <w:tcW w:w="23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446" w:name="xdx_8A3_zqGnqtew7uki"/>
      <w:bookmarkEnd w:id="44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described in NOTE 10, the convertible notes have no stated maturity. The Company estimated an expected term of three years based on the timing of expected draws from the SPA, the economic structure of the SPA, the conversion mechanics, and its assessment of expected noteholder conversion behavior. This estimate is reassessed at each remeasurement date. </w:t>
      </w:r>
    </w:p>
    <w:p>
      <w:pPr>
        <w:pStyle w:val="TextBody"/>
        <w:bidi w:val="0"/>
        <w:jc w:val="both"/>
        <w:rPr>
          <w:caps w:val="false"/>
          <w:smallCaps w:val="false"/>
        </w:rPr>
      </w:pPr>
      <w:r>
        <w:rPr>
          <w:caps w:val="false"/>
          <w:smallCaps w:val="false"/>
        </w:rPr>
        <w:t> </w:t>
      </w:r>
    </w:p>
    <w:p>
      <w:pPr>
        <w:pStyle w:val="TextBody"/>
        <w:bidi w:val="0"/>
        <w:jc w:val="both"/>
        <w:rPr/>
      </w:pPr>
      <w:r>
        <w:rPr/>
        <w:t>In the above table, the Company disclosed a range of closing day stock prices, historical volatilities, risk-free rates, and debt discount rates used as model inputs for conversion calculations, if the note had multiple conversions during the period. Convertible Note 1 had multiple conversions, which fell on the following dates: August 11, 2025, August 25, 2025, August 29, 2025, September 9, 2025, and September 17, 2025. Convertible Note 2 had one conversion on September 23,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expected equity volatility using the historical volatility of a peer group of comparable-stage companies operating in the autonomous vehicle, robotics, and AI/logistics technology industries, supplemented by the Company’s own limited trading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rate was derived from the continuously compounded yield on U.S. Treasury securities with a remaining term approximately equal to the assumed instrument term, observed as of each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discount rate represents the Company’s estimated cost of non-convertible debt with terms comparable to the convertible notes. This rate was calibrated using observable market data for similarly situated issuers in the Company’s industry and credit profile, adjusted for the specific terms of the 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Sensitivity of Level 3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derivative liabilities are valued using significant unobservable inputs, their fair value measurements are classified within Level 3. Changes in those inputs can have a material effect on the reported fair value. The table below describes the directional sensitivity of the derivative liability fair value to changes in the most significant unobservable inputs, holding all other inputs constant:</w:t>
      </w:r>
    </w:p>
    <w:p>
      <w:pPr>
        <w:pStyle w:val="TextBody"/>
        <w:bidi w:val="0"/>
        <w:spacing w:before="0" w:after="0"/>
        <w:ind w:left="0" w:right="0" w:hanging="0"/>
        <w:jc w:val="left"/>
        <w:rPr>
          <w:caps w:val="false"/>
          <w:smallCaps w:val="false"/>
        </w:rPr>
      </w:pPr>
      <w:r>
        <w:rPr>
          <w:caps w:val="false"/>
          <w:smallCaps w:val="false"/>
        </w:rPr>
        <w:t> </w:t>
      </w:r>
    </w:p>
    <w:tbl>
      <w:tblPr>
        <w:tblW w:w="5145" w:type="dxa"/>
        <w:jc w:val="left"/>
        <w:tblInd w:w="0" w:type="dxa"/>
        <w:tblLayout w:type="fixed"/>
        <w:tblCellMar>
          <w:top w:w="0" w:type="dxa"/>
          <w:left w:w="0" w:type="dxa"/>
          <w:bottom w:w="28" w:type="dxa"/>
          <w:right w:w="0" w:type="dxa"/>
        </w:tblCellMar>
      </w:tblPr>
      <w:tblGrid>
        <w:gridCol w:w="1520"/>
        <w:gridCol w:w="60"/>
        <w:gridCol w:w="1715"/>
        <w:gridCol w:w="60"/>
        <w:gridCol w:w="1790"/>
      </w:tblGrid>
      <w:tr>
        <w:trPr/>
        <w:tc>
          <w:tcPr>
            <w:tcW w:w="15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w:t>
            </w:r>
          </w:p>
        </w:tc>
        <w:tc>
          <w:tcPr>
            <w:tcW w:w="60" w:type="dxa"/>
            <w:tcBorders/>
            <w:tcMar>
              <w:bottom w:w="0" w:type="dxa"/>
            </w:tcMar>
            <w:vAlign w:val="center"/>
          </w:tcPr>
          <w:p>
            <w:pPr>
              <w:pStyle w:val="TableContents"/>
              <w:bidi w:val="0"/>
              <w:spacing w:before="0" w:after="283"/>
              <w:jc w:val="left"/>
              <w:rPr/>
            </w:pPr>
            <w:r>
              <w:rPr/>
              <w:t> </w:t>
            </w:r>
          </w:p>
        </w:tc>
        <w:tc>
          <w:tcPr>
            <w:tcW w:w="171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Direction of Change</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Fair Value </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w:t>
            </w:r>
          </w:p>
        </w:tc>
      </w:tr>
      <w:tr>
        <w:trPr/>
        <w:tc>
          <w:tcPr>
            <w:tcW w:w="15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w:t>
            </w:r>
          </w:p>
        </w:tc>
      </w:tr>
      <w:tr>
        <w:trPr/>
        <w:tc>
          <w:tcPr>
            <w:tcW w:w="152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(increase)</w:t>
            </w:r>
          </w:p>
        </w:tc>
      </w:tr>
      <w:tr>
        <w:trPr/>
        <w:tc>
          <w:tcPr>
            <w:tcW w:w="152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volatility is the most significant unobservable input. The conversion feature has an asymmetric payoff structure (the noteholder benefits from lower stock prices that produce a lower conversion price under the Lookback Formula, subject to the $0.25 floor), and higher volatility generally increases the expected value of that optionality. A hypothetical 10 percentage point increase or decrease in assumed volatility, holding other inputs constant, would result in a directionally significant change in the fair value of the derivative liabilities; however, the magnitude of such change depends on the then-current stock price relative to the conversion price range and cannot be quantified without reference to the applicable simulation outputs. Management considers the volatility assumption to be the key source of estimation uncertainty in the Level 3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 affects the number of simulated conversion opportunities and the present value weighting of simulated payoffs; a longer term increases the value of the conversion optionality. Debt discount rate affects the discount applied to the simulated payoffs; a higher rate reduces present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interrelationship between equity volatility and stock price should also be noted: at lower stock prices, the conversion discount embedded in the Lookback Formula produces larger absolute payoffs per share for the noteholder, and higher volatility amplifies this effect. The $0.25 floor price limits downside exposure in scenarios where the stock price falls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Derivative Liabilities Roll-Forward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7" w:name="xdx_892_eus-gaap--FairValueLiabilitiesMe"/>
      <w:bookmarkEnd w:id="447"/>
      <w:r>
        <w:rPr>
          <w:rFonts w:ascii="Times New Roman;Times;Serif" w:hAnsi="Times New Roman;Times;Serif"/>
          <w:b w:val="false"/>
          <w:i w:val="false"/>
          <w:caps w:val="false"/>
          <w:smallCaps w:val="false"/>
          <w:sz w:val="20"/>
        </w:rPr>
        <w:t>The following table provides a reconciliation of the derivative liabilities measured at fair value using Level 3 inputs for the year ended December 31, 2025:</w:t>
      </w:r>
    </w:p>
    <w:p>
      <w:pPr>
        <w:pStyle w:val="TextBody"/>
        <w:bidi w:val="0"/>
        <w:spacing w:before="0" w:after="0"/>
        <w:ind w:left="0" w:right="0" w:hanging="0"/>
        <w:jc w:val="both"/>
        <w:rPr>
          <w:caps w:val="false"/>
          <w:smallCaps w:val="false"/>
        </w:rPr>
      </w:pPr>
      <w:r>
        <w:rPr>
          <w:caps w:val="false"/>
          <w:smallCaps w:val="false"/>
        </w:rPr>
        <w:t> </w:t>
      </w:r>
      <w:bookmarkStart w:id="448" w:name="xdx_8B9_zfs7ppswoY98"/>
      <w:bookmarkEnd w:id="448"/>
      <w:r>
        <w:rPr>
          <w:rFonts w:ascii="Times New Roman;Times;Serif" w:hAnsi="Times New Roman;Times;Serif"/>
          <w:b w:val="false"/>
          <w:i w:val="false"/>
          <w:caps w:val="false"/>
          <w:smallCaps w:val="false"/>
          <w:sz w:val="20"/>
        </w:rPr>
        <w:t>SCHEDULE OF RECONCILIATION OF THE DERIVATIVE LIABILITIES MEASURED AT FAIR VALUE</w:t>
      </w:r>
    </w:p>
    <w:tbl>
      <w:tblPr>
        <w:tblW w:w="10205" w:type="dxa"/>
        <w:jc w:val="left"/>
        <w:tblInd w:w="0" w:type="dxa"/>
        <w:tblLayout w:type="fixed"/>
        <w:tblCellMar>
          <w:top w:w="0" w:type="dxa"/>
          <w:left w:w="0" w:type="dxa"/>
          <w:bottom w:w="0" w:type="dxa"/>
          <w:right w:w="0" w:type="dxa"/>
        </w:tblCellMar>
      </w:tblPr>
      <w:tblGrid>
        <w:gridCol w:w="3923"/>
        <w:gridCol w:w="60"/>
        <w:gridCol w:w="172"/>
        <w:gridCol w:w="1311"/>
        <w:gridCol w:w="95"/>
        <w:gridCol w:w="60"/>
        <w:gridCol w:w="184"/>
        <w:gridCol w:w="1299"/>
        <w:gridCol w:w="95"/>
        <w:gridCol w:w="60"/>
        <w:gridCol w:w="204"/>
        <w:gridCol w:w="1279"/>
        <w:gridCol w:w="95"/>
        <w:gridCol w:w="60"/>
        <w:gridCol w:w="140"/>
        <w:gridCol w:w="1055"/>
        <w:gridCol w:w="113"/>
      </w:tblGrid>
      <w:tr>
        <w:trPr/>
        <w:tc>
          <w:tcPr>
            <w:tcW w:w="39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49" w:name="xdx_4BE_us-gaap--FinancialInstrumentAxis"/>
            <w:bookmarkEnd w:id="449"/>
          </w:p>
        </w:tc>
        <w:tc>
          <w:tcPr>
            <w:tcW w:w="14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1</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50" w:name="xdx_4B6_us-gaap--FinancialInstrumentAxis"/>
            <w:bookmarkEnd w:id="450"/>
          </w:p>
        </w:tc>
        <w:tc>
          <w:tcPr>
            <w:tcW w:w="14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2</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51" w:name="xdx_4B3_us-gaap--FinancialInstrumentAxis"/>
            <w:bookmarkEnd w:id="451"/>
          </w:p>
        </w:tc>
        <w:tc>
          <w:tcPr>
            <w:tcW w:w="14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52" w:name="xdx_4B6_z5BSzCHucpd7"/>
            <w:bookmarkEnd w:id="452"/>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3" w:type="dxa"/>
            <w:tcBorders/>
            <w:vAlign w:val="center"/>
          </w:tcPr>
          <w:p>
            <w:pPr>
              <w:pStyle w:val="TableContents"/>
              <w:bidi w:val="0"/>
              <w:spacing w:before="0" w:after="283"/>
              <w:jc w:val="center"/>
              <w:rPr/>
            </w:pPr>
            <w:r>
              <w:rPr/>
              <w:t> </w:t>
            </w:r>
            <w:bookmarkStart w:id="453" w:name="xdx_434_c20250101__20250630_eus-gaap--De"/>
            <w:bookmarkEnd w:id="453"/>
          </w:p>
        </w:tc>
      </w:tr>
      <w:tr>
        <w:trPr/>
        <w:tc>
          <w:tcPr>
            <w:tcW w:w="3923" w:type="dxa"/>
            <w:tcBorders/>
            <w:shd w:fill="CCEEFF" w:val="clear"/>
            <w:vAlign w:val="center"/>
          </w:tcPr>
          <w:p>
            <w:pPr>
              <w:pStyle w:val="TableContents"/>
              <w:bidi w:val="0"/>
              <w:spacing w:before="0" w:after="283"/>
              <w:jc w:val="left"/>
              <w:rPr/>
            </w:pPr>
            <w:r>
              <w:rPr/>
              <w:t>Balance at January 1, 2025</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3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29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27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454" w:name="xdx_400_ecustom--DerivativeFairValueAtIs"/>
            <w:bookmarkEnd w:id="454"/>
          </w:p>
        </w:tc>
      </w:tr>
      <w:tr>
        <w:trPr/>
        <w:tc>
          <w:tcPr>
            <w:tcW w:w="3923" w:type="dxa"/>
            <w:tcBorders/>
            <w:shd w:fill="FFFFFF" w:val="clear"/>
            <w:vAlign w:val="center"/>
          </w:tcPr>
          <w:p>
            <w:pPr>
              <w:pStyle w:val="TableContents"/>
              <w:bidi w:val="0"/>
              <w:spacing w:before="0" w:after="283"/>
              <w:jc w:val="left"/>
              <w:rPr/>
            </w:pPr>
            <w:r>
              <w:rPr/>
              <w:t>Derivative liability recognized upon issuance of convertible note payable at fair value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pPr>
            <w:r>
              <w:rPr/>
              <w:t>2,250,000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2,250,000</w:t>
            </w:r>
          </w:p>
        </w:tc>
        <w:tc>
          <w:tcPr>
            <w:tcW w:w="113" w:type="dxa"/>
            <w:tcBorders/>
            <w:shd w:fill="FFFFFF" w:val="clear"/>
            <w:vAlign w:val="center"/>
          </w:tcPr>
          <w:p>
            <w:pPr>
              <w:pStyle w:val="TableContents"/>
              <w:bidi w:val="0"/>
              <w:spacing w:before="0" w:after="283"/>
              <w:jc w:val="left"/>
              <w:rPr/>
            </w:pPr>
            <w:r>
              <w:rPr/>
              <w:t> </w:t>
            </w:r>
            <w:bookmarkStart w:id="455" w:name="xdx_40E_eus-gaap--ChangeInUnrealizedGain"/>
            <w:bookmarkEnd w:id="455"/>
          </w:p>
        </w:tc>
      </w:tr>
      <w:tr>
        <w:trPr/>
        <w:tc>
          <w:tcPr>
            <w:tcW w:w="3923" w:type="dxa"/>
            <w:tcBorders/>
            <w:shd w:fill="CCEEFF" w:val="clear"/>
            <w:vAlign w:val="center"/>
          </w:tcPr>
          <w:p>
            <w:pPr>
              <w:pStyle w:val="TableContents"/>
              <w:bidi w:val="0"/>
              <w:spacing w:before="0" w:after="283"/>
              <w:jc w:val="left"/>
              <w:rPr/>
            </w:pPr>
            <w:r>
              <w:rPr/>
              <w:t>Change in fair value — period-end remeasurement (June 30, 2025)</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1" w:type="dxa"/>
            <w:tcBorders>
              <w:bottom w:val="single" w:sz="8" w:space="0" w:color="000000"/>
            </w:tcBorders>
            <w:shd w:fill="CCEEFF" w:val="clear"/>
            <w:tcMar>
              <w:bottom w:w="28" w:type="dxa"/>
            </w:tcMar>
            <w:vAlign w:val="center"/>
          </w:tcPr>
          <w:p>
            <w:pPr>
              <w:pStyle w:val="TableContents"/>
              <w:bidi w:val="0"/>
              <w:spacing w:before="0" w:after="283"/>
              <w:jc w:val="right"/>
              <w:rPr/>
            </w:pPr>
            <w:r>
              <w:rPr/>
              <w:t>(190,000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(190,000</w:t>
            </w:r>
          </w:p>
        </w:tc>
        <w:tc>
          <w:tcPr>
            <w:tcW w:w="113" w:type="dxa"/>
            <w:tcBorders/>
            <w:shd w:fill="CCEEFF" w:val="clear"/>
            <w:vAlign w:val="center"/>
          </w:tcPr>
          <w:p>
            <w:pPr>
              <w:pStyle w:val="TableContents"/>
              <w:bidi w:val="0"/>
              <w:spacing w:before="0" w:after="283"/>
              <w:jc w:val="left"/>
              <w:rPr/>
            </w:pPr>
            <w:r>
              <w:rPr/>
              <w:t>)</w:t>
            </w:r>
            <w:bookmarkStart w:id="456" w:name="xdx_43D_c20250701__20250930_eus-gaap--De"/>
            <w:bookmarkEnd w:id="456"/>
          </w:p>
        </w:tc>
      </w:tr>
      <w:tr>
        <w:trPr/>
        <w:tc>
          <w:tcPr>
            <w:tcW w:w="3923" w:type="dxa"/>
            <w:tcBorders/>
            <w:shd w:fill="FFFFFF" w:val="clear"/>
            <w:vAlign w:val="center"/>
          </w:tcPr>
          <w:p>
            <w:pPr>
              <w:pStyle w:val="TableContents"/>
              <w:bidi w:val="0"/>
              <w:spacing w:before="0" w:after="283"/>
              <w:jc w:val="left"/>
              <w:rPr/>
            </w:pPr>
            <w:r>
              <w:rPr/>
              <w:t>Balance on June 30, 2025</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pPr>
            <w:r>
              <w:rPr/>
              <w:t>2,060,000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2,060,000</w:t>
            </w:r>
          </w:p>
        </w:tc>
        <w:tc>
          <w:tcPr>
            <w:tcW w:w="113" w:type="dxa"/>
            <w:tcBorders/>
            <w:shd w:fill="FFFFFF" w:val="clear"/>
            <w:vAlign w:val="center"/>
          </w:tcPr>
          <w:p>
            <w:pPr>
              <w:pStyle w:val="TableContents"/>
              <w:bidi w:val="0"/>
              <w:spacing w:before="0" w:after="283"/>
              <w:jc w:val="left"/>
              <w:rPr/>
            </w:pPr>
            <w:r>
              <w:rPr/>
              <w:t> </w:t>
            </w:r>
            <w:bookmarkStart w:id="457" w:name="xdx_403_ecustom--DerivativeFairValueAtIs"/>
            <w:bookmarkEnd w:id="457"/>
          </w:p>
        </w:tc>
      </w:tr>
      <w:tr>
        <w:trPr/>
        <w:tc>
          <w:tcPr>
            <w:tcW w:w="3923" w:type="dxa"/>
            <w:tcBorders/>
            <w:shd w:fill="CCEEFF" w:val="clear"/>
            <w:vAlign w:val="center"/>
          </w:tcPr>
          <w:p>
            <w:pPr>
              <w:pStyle w:val="TableContents"/>
              <w:bidi w:val="0"/>
              <w:spacing w:before="0" w:after="283"/>
              <w:jc w:val="left"/>
              <w:rPr/>
            </w:pPr>
            <w:r>
              <w:rPr/>
              <w:t>Derivative liability recognized upon issuance of convertible note payable at fair value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1,710,000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1,710,000</w:t>
            </w:r>
          </w:p>
        </w:tc>
        <w:tc>
          <w:tcPr>
            <w:tcW w:w="113" w:type="dxa"/>
            <w:tcBorders/>
            <w:shd w:fill="CCEEFF" w:val="clear"/>
            <w:vAlign w:val="center"/>
          </w:tcPr>
          <w:p>
            <w:pPr>
              <w:pStyle w:val="TableContents"/>
              <w:bidi w:val="0"/>
              <w:spacing w:before="0" w:after="283"/>
              <w:jc w:val="left"/>
              <w:rPr/>
            </w:pPr>
            <w:r>
              <w:rPr/>
              <w:t> </w:t>
            </w:r>
            <w:bookmarkStart w:id="458" w:name="xdx_406_ecustom--DerivativeLiabilitiesRe"/>
            <w:bookmarkEnd w:id="458"/>
          </w:p>
        </w:tc>
      </w:tr>
      <w:tr>
        <w:trPr/>
        <w:tc>
          <w:tcPr>
            <w:tcW w:w="3923" w:type="dxa"/>
            <w:tcBorders/>
            <w:shd w:fill="FFFFFF" w:val="clear"/>
            <w:vAlign w:val="center"/>
          </w:tcPr>
          <w:p>
            <w:pPr>
              <w:pStyle w:val="TableContents"/>
              <w:bidi w:val="0"/>
              <w:spacing w:before="0" w:after="283"/>
              <w:jc w:val="left"/>
              <w:rPr/>
            </w:pPr>
            <w:r>
              <w:rPr/>
              <w:t>Reclassification of derivative liabilities upon conversion of convertible notes payable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pPr>
            <w:r>
              <w:rPr/>
              <w:t>(1,427,021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(306,713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(1,733,734</w:t>
            </w:r>
          </w:p>
        </w:tc>
        <w:tc>
          <w:tcPr>
            <w:tcW w:w="113" w:type="dxa"/>
            <w:tcBorders/>
            <w:shd w:fill="FFFFFF" w:val="clear"/>
            <w:vAlign w:val="center"/>
          </w:tcPr>
          <w:p>
            <w:pPr>
              <w:pStyle w:val="TableContents"/>
              <w:bidi w:val="0"/>
              <w:spacing w:before="0" w:after="283"/>
              <w:jc w:val="left"/>
              <w:rPr/>
            </w:pPr>
            <w:r>
              <w:rPr/>
              <w:t>)</w:t>
            </w:r>
            <w:bookmarkStart w:id="459" w:name="xdx_409_ecustom--ChangeInFairValueOfDeri"/>
            <w:bookmarkEnd w:id="459"/>
          </w:p>
        </w:tc>
      </w:tr>
      <w:tr>
        <w:trPr/>
        <w:tc>
          <w:tcPr>
            <w:tcW w:w="3923" w:type="dxa"/>
            <w:tcBorders/>
            <w:shd w:fill="CCEEFF" w:val="clear"/>
            <w:vAlign w:val="center"/>
          </w:tcPr>
          <w:p>
            <w:pPr>
              <w:pStyle w:val="TableContents"/>
              <w:bidi w:val="0"/>
              <w:spacing w:before="0" w:after="283"/>
              <w:jc w:val="left"/>
              <w:rPr/>
            </w:pPr>
            <w:r>
              <w:rPr/>
              <w:t>Change in fair value of derivative liabilities – conversion remeasurement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(424,642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(650,000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(1,074,642</w:t>
            </w:r>
          </w:p>
        </w:tc>
        <w:tc>
          <w:tcPr>
            <w:tcW w:w="113" w:type="dxa"/>
            <w:tcBorders/>
            <w:shd w:fill="CCEEFF" w:val="clear"/>
            <w:vAlign w:val="center"/>
          </w:tcPr>
          <w:p>
            <w:pPr>
              <w:pStyle w:val="TableContents"/>
              <w:bidi w:val="0"/>
              <w:spacing w:before="0" w:after="283"/>
              <w:jc w:val="left"/>
              <w:rPr/>
            </w:pPr>
            <w:r>
              <w:rPr/>
              <w:t>)</w:t>
            </w:r>
            <w:bookmarkStart w:id="460" w:name="xdx_405_eus-gaap--ChangeInUnrealizedGain"/>
            <w:bookmarkEnd w:id="460"/>
          </w:p>
        </w:tc>
      </w:tr>
      <w:tr>
        <w:trPr/>
        <w:tc>
          <w:tcPr>
            <w:tcW w:w="3923" w:type="dxa"/>
            <w:tcBorders/>
            <w:shd w:fill="FFFFFF" w:val="clear"/>
            <w:vAlign w:val="center"/>
          </w:tcPr>
          <w:p>
            <w:pPr>
              <w:pStyle w:val="TableContents"/>
              <w:bidi w:val="0"/>
              <w:spacing w:before="0" w:after="283"/>
              <w:jc w:val="left"/>
              <w:rPr/>
            </w:pPr>
            <w:r>
              <w:rPr/>
              <w:t>Change in fair value — period-end remeasurement (September 30, 2025)</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1" w:type="dxa"/>
            <w:tcBorders>
              <w:bottom w:val="single" w:sz="8" w:space="0" w:color="000000"/>
            </w:tcBorders>
            <w:shd w:fill="FFFFFF" w:val="clear"/>
            <w:tcMar>
              <w:bottom w:w="28" w:type="dxa"/>
            </w:tcMar>
            <w:vAlign w:val="center"/>
          </w:tcPr>
          <w:p>
            <w:pPr>
              <w:pStyle w:val="TableContents"/>
              <w:bidi w:val="0"/>
              <w:spacing w:before="0" w:after="283"/>
              <w:jc w:val="right"/>
              <w:rPr/>
            </w:pPr>
            <w:r>
              <w:rPr/>
              <w:t>161,663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pPr>
            <w:r>
              <w:rPr/>
              <w:t>16,713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178,376</w:t>
            </w:r>
          </w:p>
        </w:tc>
        <w:tc>
          <w:tcPr>
            <w:tcW w:w="113" w:type="dxa"/>
            <w:tcBorders/>
            <w:shd w:fill="FFFFFF" w:val="clear"/>
            <w:vAlign w:val="center"/>
          </w:tcPr>
          <w:p>
            <w:pPr>
              <w:pStyle w:val="TableContents"/>
              <w:bidi w:val="0"/>
              <w:spacing w:before="0" w:after="283"/>
              <w:jc w:val="left"/>
              <w:rPr/>
            </w:pPr>
            <w:r>
              <w:rPr/>
              <w:t> </w:t>
            </w:r>
            <w:bookmarkStart w:id="461" w:name="xdx_43A_c20251001__20251231_eus-gaap--De"/>
            <w:bookmarkEnd w:id="461"/>
          </w:p>
        </w:tc>
      </w:tr>
      <w:tr>
        <w:trPr/>
        <w:tc>
          <w:tcPr>
            <w:tcW w:w="3923" w:type="dxa"/>
            <w:tcBorders/>
            <w:shd w:fill="CCEEFF" w:val="clear"/>
            <w:vAlign w:val="center"/>
          </w:tcPr>
          <w:p>
            <w:pPr>
              <w:pStyle w:val="TableContents"/>
              <w:bidi w:val="0"/>
              <w:spacing w:before="0" w:after="283"/>
              <w:jc w:val="left"/>
              <w:rPr/>
            </w:pPr>
            <w:r>
              <w:rPr/>
              <w:t>Balance on September 30, 2025</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370,000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770,000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1,140,000</w:t>
            </w:r>
          </w:p>
        </w:tc>
        <w:tc>
          <w:tcPr>
            <w:tcW w:w="113" w:type="dxa"/>
            <w:tcBorders/>
            <w:shd w:fill="CCEEFF" w:val="clear"/>
            <w:vAlign w:val="center"/>
          </w:tcPr>
          <w:p>
            <w:pPr>
              <w:pStyle w:val="TableContents"/>
              <w:bidi w:val="0"/>
              <w:spacing w:before="0" w:after="283"/>
              <w:jc w:val="left"/>
              <w:rPr/>
            </w:pPr>
            <w:r>
              <w:rPr/>
              <w:t> </w:t>
            </w:r>
            <w:bookmarkStart w:id="462" w:name="xdx_433_c20251001__20251231_eus-gaap--De"/>
            <w:bookmarkEnd w:id="462"/>
          </w:p>
        </w:tc>
      </w:tr>
      <w:tr>
        <w:trPr/>
        <w:tc>
          <w:tcPr>
            <w:tcW w:w="3923"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370,000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770,000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1,140,000</w:t>
            </w:r>
          </w:p>
        </w:tc>
        <w:tc>
          <w:tcPr>
            <w:tcW w:w="113" w:type="dxa"/>
            <w:tcBorders/>
            <w:shd w:fill="CCEEFF" w:val="clear"/>
            <w:vAlign w:val="center"/>
          </w:tcPr>
          <w:p>
            <w:pPr>
              <w:pStyle w:val="TableContents"/>
              <w:bidi w:val="0"/>
              <w:spacing w:before="0" w:after="283"/>
              <w:jc w:val="left"/>
              <w:rPr/>
            </w:pPr>
            <w:r>
              <w:rPr/>
              <w:t> </w:t>
            </w:r>
            <w:bookmarkStart w:id="463" w:name="xdx_400_ecustom--DerivativeFairValueAtIs"/>
            <w:bookmarkEnd w:id="463"/>
          </w:p>
        </w:tc>
      </w:tr>
      <w:tr>
        <w:trPr/>
        <w:tc>
          <w:tcPr>
            <w:tcW w:w="3923" w:type="dxa"/>
            <w:tcBorders/>
            <w:shd w:fill="FFFFFF" w:val="clear"/>
            <w:vAlign w:val="center"/>
          </w:tcPr>
          <w:p>
            <w:pPr>
              <w:pStyle w:val="TableContents"/>
              <w:bidi w:val="0"/>
              <w:spacing w:before="0" w:after="283"/>
              <w:jc w:val="left"/>
              <w:rPr/>
            </w:pPr>
            <w:r>
              <w:rPr/>
              <w:t>Derivative liability recognized upon issuance of convertible note payable at fair value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29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750,000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750,000</w:t>
            </w:r>
          </w:p>
        </w:tc>
        <w:tc>
          <w:tcPr>
            <w:tcW w:w="113" w:type="dxa"/>
            <w:tcBorders/>
            <w:shd w:fill="FFFFFF" w:val="clear"/>
            <w:vAlign w:val="center"/>
          </w:tcPr>
          <w:p>
            <w:pPr>
              <w:pStyle w:val="TableContents"/>
              <w:bidi w:val="0"/>
              <w:spacing w:before="0" w:after="283"/>
              <w:jc w:val="left"/>
              <w:rPr/>
            </w:pPr>
            <w:r>
              <w:rPr/>
              <w:t> </w:t>
            </w:r>
            <w:bookmarkStart w:id="464" w:name="xdx_405_eus-gaap--ChangeInUnrealizedGain"/>
            <w:bookmarkEnd w:id="464"/>
          </w:p>
        </w:tc>
      </w:tr>
      <w:tr>
        <w:trPr/>
        <w:tc>
          <w:tcPr>
            <w:tcW w:w="3923" w:type="dxa"/>
            <w:tcBorders/>
            <w:shd w:fill="CCEEFF" w:val="clear"/>
            <w:vAlign w:val="center"/>
          </w:tcPr>
          <w:p>
            <w:pPr>
              <w:pStyle w:val="TableContents"/>
              <w:bidi w:val="0"/>
              <w:spacing w:before="0" w:after="283"/>
              <w:jc w:val="left"/>
              <w:rPr/>
            </w:pPr>
            <w:r>
              <w:rPr/>
              <w:t>Change in fair value — period-end remeasurement (December 31, 2025)</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1" w:type="dxa"/>
            <w:tcBorders>
              <w:bottom w:val="single" w:sz="8" w:space="0" w:color="000000"/>
            </w:tcBorders>
            <w:shd w:fill="CCEEFF" w:val="clear"/>
            <w:tcMar>
              <w:bottom w:w="28" w:type="dxa"/>
            </w:tcMar>
            <w:vAlign w:val="center"/>
          </w:tcPr>
          <w:p>
            <w:pPr>
              <w:pStyle w:val="TableContents"/>
              <w:bidi w:val="0"/>
              <w:spacing w:before="0" w:after="283"/>
              <w:jc w:val="right"/>
              <w:rPr/>
            </w:pPr>
            <w:r>
              <w:rPr/>
              <w:t>(90,000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9" w:type="dxa"/>
            <w:tcBorders>
              <w:bottom w:val="single" w:sz="8" w:space="0" w:color="000000"/>
            </w:tcBorders>
            <w:shd w:fill="CCEEFF" w:val="clear"/>
            <w:tcMar>
              <w:bottom w:w="28" w:type="dxa"/>
            </w:tcMar>
            <w:vAlign w:val="center"/>
          </w:tcPr>
          <w:p>
            <w:pPr>
              <w:pStyle w:val="TableContents"/>
              <w:bidi w:val="0"/>
              <w:spacing w:before="0" w:after="283"/>
              <w:jc w:val="right"/>
              <w:rPr/>
            </w:pPr>
            <w:r>
              <w:rPr/>
              <w:t>(190,000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9" w:type="dxa"/>
            <w:tcBorders>
              <w:bottom w:val="single" w:sz="8" w:space="0" w:color="000000"/>
            </w:tcBorders>
            <w:shd w:fill="CCEEFF" w:val="clear"/>
            <w:tcMar>
              <w:bottom w:w="28" w:type="dxa"/>
            </w:tcMar>
            <w:vAlign w:val="center"/>
          </w:tcPr>
          <w:p>
            <w:pPr>
              <w:pStyle w:val="TableContents"/>
              <w:bidi w:val="0"/>
              <w:spacing w:before="0" w:after="283"/>
              <w:jc w:val="right"/>
              <w:rPr/>
            </w:pPr>
            <w:r>
              <w:rPr/>
              <w:t>(150,000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(430,000</w:t>
            </w:r>
          </w:p>
        </w:tc>
        <w:tc>
          <w:tcPr>
            <w:tcW w:w="113" w:type="dxa"/>
            <w:tcBorders/>
            <w:shd w:fill="CCEEFF" w:val="clear"/>
            <w:vAlign w:val="center"/>
          </w:tcPr>
          <w:p>
            <w:pPr>
              <w:pStyle w:val="TableContents"/>
              <w:bidi w:val="0"/>
              <w:spacing w:before="0" w:after="283"/>
              <w:jc w:val="left"/>
              <w:rPr/>
            </w:pPr>
            <w:r>
              <w:rPr/>
              <w:t>)</w:t>
            </w:r>
            <w:bookmarkStart w:id="465" w:name="xdx_435_c20251001__20251231_eus-gaap--De"/>
            <w:bookmarkEnd w:id="465"/>
          </w:p>
        </w:tc>
      </w:tr>
      <w:tr>
        <w:trPr/>
        <w:tc>
          <w:tcPr>
            <w:tcW w:w="3923" w:type="dxa"/>
            <w:tcBorders/>
            <w:shd w:fill="FFFFFF" w:val="clear"/>
            <w:vAlign w:val="center"/>
          </w:tcPr>
          <w:p>
            <w:pPr>
              <w:pStyle w:val="TableContents"/>
              <w:bidi w:val="0"/>
              <w:spacing w:before="0" w:after="283"/>
              <w:jc w:val="left"/>
              <w:rPr/>
            </w:pPr>
            <w:r>
              <w:rPr/>
              <w:t>BALANCE AT DECEMBER 31, 2025</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1" w:type="dxa"/>
            <w:tcBorders>
              <w:bottom w:val="double" w:sz="6" w:space="0" w:color="000000"/>
            </w:tcBorders>
            <w:shd w:fill="FFFFFF" w:val="clear"/>
            <w:tcMar>
              <w:bottom w:w="28" w:type="dxa"/>
            </w:tcMar>
            <w:vAlign w:val="center"/>
          </w:tcPr>
          <w:p>
            <w:pPr>
              <w:pStyle w:val="TableContents"/>
              <w:bidi w:val="0"/>
              <w:spacing w:before="0" w:after="283"/>
              <w:jc w:val="right"/>
              <w:rPr/>
            </w:pPr>
            <w:r>
              <w:rPr/>
              <w:t>280,000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9" w:type="dxa"/>
            <w:tcBorders>
              <w:bottom w:val="double" w:sz="6" w:space="0" w:color="000000"/>
            </w:tcBorders>
            <w:shd w:fill="FFFFFF" w:val="clear"/>
            <w:tcMar>
              <w:bottom w:w="28" w:type="dxa"/>
            </w:tcMar>
            <w:vAlign w:val="center"/>
          </w:tcPr>
          <w:p>
            <w:pPr>
              <w:pStyle w:val="TableContents"/>
              <w:bidi w:val="0"/>
              <w:spacing w:before="0" w:after="283"/>
              <w:jc w:val="right"/>
              <w:rPr/>
            </w:pPr>
            <w:r>
              <w:rPr/>
              <w:t>580,000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79" w:type="dxa"/>
            <w:tcBorders>
              <w:bottom w:val="double" w:sz="6" w:space="0" w:color="000000"/>
            </w:tcBorders>
            <w:shd w:fill="FFFFFF" w:val="clear"/>
            <w:tcMar>
              <w:bottom w:w="28" w:type="dxa"/>
            </w:tcMar>
            <w:vAlign w:val="center"/>
          </w:tcPr>
          <w:p>
            <w:pPr>
              <w:pStyle w:val="TableContents"/>
              <w:bidi w:val="0"/>
              <w:spacing w:before="0" w:after="283"/>
              <w:jc w:val="right"/>
              <w:rPr/>
            </w:pPr>
            <w:r>
              <w:rPr/>
              <w:t>600,000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1,460,000</w:t>
            </w:r>
          </w:p>
        </w:tc>
        <w:tc>
          <w:tcPr>
            <w:tcW w:w="113" w:type="dxa"/>
            <w:tcBorders/>
            <w:shd w:fill="FFFFFF" w:val="clear"/>
            <w:vAlign w:val="center"/>
          </w:tcPr>
          <w:p>
            <w:pPr>
              <w:pStyle w:val="TableContents"/>
              <w:bidi w:val="0"/>
              <w:spacing w:before="0" w:after="283"/>
              <w:jc w:val="left"/>
              <w:rPr/>
            </w:pPr>
            <w:r>
              <w:rPr/>
              <w:t> </w:t>
            </w:r>
            <w:bookmarkStart w:id="466" w:name="xdx_43D_c20251001__20251231_eus-gaap--De"/>
            <w:bookmarkEnd w:id="466"/>
          </w:p>
        </w:tc>
      </w:tr>
      <w:tr>
        <w:trPr/>
        <w:tc>
          <w:tcPr>
            <w:tcW w:w="3923" w:type="dxa"/>
            <w:tcBorders/>
            <w:shd w:fill="FFFFFF" w:val="clear"/>
            <w:vAlign w:val="center"/>
          </w:tcPr>
          <w:p>
            <w:pPr>
              <w:pStyle w:val="TableContents"/>
              <w:bidi w:val="0"/>
              <w:spacing w:before="0" w:after="283"/>
              <w:jc w:val="left"/>
              <w:rPr/>
            </w:pPr>
            <w:r>
              <w:rPr/>
              <w:t>Balance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1" w:type="dxa"/>
            <w:tcBorders>
              <w:bottom w:val="double" w:sz="6" w:space="0" w:color="000000"/>
            </w:tcBorders>
            <w:shd w:fill="FFFFFF" w:val="clear"/>
            <w:tcMar>
              <w:bottom w:w="28" w:type="dxa"/>
            </w:tcMar>
            <w:vAlign w:val="center"/>
          </w:tcPr>
          <w:p>
            <w:pPr>
              <w:pStyle w:val="TableContents"/>
              <w:bidi w:val="0"/>
              <w:spacing w:before="0" w:after="283"/>
              <w:jc w:val="right"/>
              <w:rPr/>
            </w:pPr>
            <w:r>
              <w:rPr/>
              <w:t>280,000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9" w:type="dxa"/>
            <w:tcBorders>
              <w:bottom w:val="double" w:sz="6" w:space="0" w:color="000000"/>
            </w:tcBorders>
            <w:shd w:fill="FFFFFF" w:val="clear"/>
            <w:tcMar>
              <w:bottom w:w="28" w:type="dxa"/>
            </w:tcMar>
            <w:vAlign w:val="center"/>
          </w:tcPr>
          <w:p>
            <w:pPr>
              <w:pStyle w:val="TableContents"/>
              <w:bidi w:val="0"/>
              <w:spacing w:before="0" w:after="283"/>
              <w:jc w:val="right"/>
              <w:rPr/>
            </w:pPr>
            <w:r>
              <w:rPr/>
              <w:t>580,000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79" w:type="dxa"/>
            <w:tcBorders>
              <w:bottom w:val="double" w:sz="6" w:space="0" w:color="000000"/>
            </w:tcBorders>
            <w:shd w:fill="FFFFFF" w:val="clear"/>
            <w:tcMar>
              <w:bottom w:w="28" w:type="dxa"/>
            </w:tcMar>
            <w:vAlign w:val="center"/>
          </w:tcPr>
          <w:p>
            <w:pPr>
              <w:pStyle w:val="TableContents"/>
              <w:bidi w:val="0"/>
              <w:spacing w:before="0" w:after="283"/>
              <w:jc w:val="right"/>
              <w:rPr/>
            </w:pPr>
            <w:r>
              <w:rPr/>
              <w:t>600,000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1,460,000</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67" w:name="xdx_8A2_z6z3UBK9pzSi"/>
      <w:bookmarkEnd w:id="46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net change in fair value of derivative liabilities recognized in the statement of operations for the year ended December 31, 2025 was a gain of $</w:t>
      </w:r>
      <w:bookmarkStart w:id="468" w:name="xdx_90C_eus-gaap--DerivativeGainLossOnDe"/>
      <w:bookmarkEnd w:id="468"/>
      <w:r>
        <w:rPr>
          <w:rFonts w:ascii="Times New Roman;Times;Serif" w:hAnsi="Times New Roman;Times;Serif"/>
          <w:b w:val="false"/>
          <w:i w:val="false"/>
          <w:caps w:val="false"/>
          <w:smallCaps w:val="false"/>
          <w:sz w:val="20"/>
        </w:rPr>
        <w:t xml:space="preserve">1,516,266, presented within “Change in fair value of derivative liabilities” in the accompanying statement of operations. There was </w:t>
      </w:r>
      <w:bookmarkStart w:id="469" w:name="xdx_901_eus-gaap--DerivativeGainLossOnDe"/>
      <w:bookmarkEnd w:id="469"/>
      <w:r>
        <w:rPr>
          <w:rFonts w:ascii="Times New Roman;Times;Serif" w:hAnsi="Times New Roman;Times;Serif"/>
          <w:b w:val="false"/>
          <w:i w:val="false"/>
          <w:caps w:val="false"/>
          <w:smallCaps w:val="false"/>
          <w:sz w:val="20"/>
        </w:rPr>
        <w:t>no comparable activity during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reclassified upon conversion represent the fair value of the pro-rata portion of each derivative liability, remeasured as of the applicable conversion date and derecognized in connection with the settlement of the related converted principal. The change in fair value through the conversion date is included in “Change in fair value of derivative liabilities - conversion remeasurement” in the table above. For a description of the full conversion accounting policy, including the treatment of the host debt component upon conversion, see NOTE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held exchange-traded equity securities and written call options that were measured at fair value on a recurring basis and classified within Level 1 of the fair value hierarchy. As of December 31, 2025 and 2024, the Company held no such instruments.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0" w:name="xdx_80B_eus-gaap--PropertyPlantAndEquipm"/>
      <w:bookmarkEnd w:id="470"/>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6 - </w:t>
      </w:r>
      <w:bookmarkStart w:id="471" w:name="xdx_820_zrYZTg3uxrGb"/>
      <w:bookmarkEnd w:id="471"/>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2" w:name="xdx_898_eus-gaap--PropertyPlantAndEquipm"/>
      <w:bookmarkEnd w:id="472"/>
      <w:r>
        <w:rPr>
          <w:rFonts w:ascii="Times New Roman;Times;Serif" w:hAnsi="Times New Roman;Times;Serif"/>
          <w:b w:val="false"/>
          <w:i w:val="false"/>
          <w:caps w:val="false"/>
          <w:smallCaps w:val="false"/>
          <w:sz w:val="20"/>
        </w:rPr>
        <w:t>Property and equipment consist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73" w:name="xdx_8B3_zY5HX4MTWQa9"/>
      <w:bookmarkEnd w:id="473"/>
      <w:r>
        <w:rPr>
          <w:rFonts w:ascii="Times New Roman;Times;Serif" w:hAnsi="Times New Roman;Times;Serif"/>
          <w:b w:val="false"/>
          <w:i w:val="false"/>
          <w:caps w:val="false"/>
          <w:smallCaps w:val="false"/>
          <w:sz w:val="20"/>
        </w:rPr>
        <w:t>SCHEDULE OF PROPERTY AND EQUIPMENT</w:t>
      </w:r>
    </w:p>
    <w:tbl>
      <w:tblPr>
        <w:tblW w:w="7115" w:type="dxa"/>
        <w:jc w:val="left"/>
        <w:tblInd w:w="0" w:type="dxa"/>
        <w:tblLayout w:type="fixed"/>
        <w:tblCellMar>
          <w:top w:w="0" w:type="dxa"/>
          <w:left w:w="0" w:type="dxa"/>
          <w:bottom w:w="0" w:type="dxa"/>
          <w:right w:w="0" w:type="dxa"/>
        </w:tblCellMar>
      </w:tblPr>
      <w:tblGrid>
        <w:gridCol w:w="4835"/>
        <w:gridCol w:w="60"/>
        <w:gridCol w:w="140"/>
        <w:gridCol w:w="875"/>
        <w:gridCol w:w="95"/>
        <w:gridCol w:w="60"/>
        <w:gridCol w:w="140"/>
        <w:gridCol w:w="800"/>
        <w:gridCol w:w="110"/>
      </w:tblGrid>
      <w:tr>
        <w:trPr/>
        <w:tc>
          <w:tcPr>
            <w:tcW w:w="48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474" w:name="xdx_490_20251231_zfmyXTMRgo8d"/>
            <w:bookmarkEnd w:id="474"/>
          </w:p>
        </w:tc>
        <w:tc>
          <w:tcPr>
            <w:tcW w:w="101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5" w:name="xdx_490_20241231_zAgow23Vbw25"/>
            <w:bookmarkEnd w:id="475"/>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1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476" w:name="xdx_406_eus-gaap--PropertyPlantAndEquipm"/>
            <w:bookmarkEnd w:id="476"/>
          </w:p>
        </w:tc>
      </w:tr>
      <w:tr>
        <w:trPr/>
        <w:tc>
          <w:tcPr>
            <w:tcW w:w="4835" w:type="dxa"/>
            <w:tcBorders/>
            <w:shd w:fill="CCEEFF" w:val="clear"/>
            <w:vAlign w:val="center"/>
          </w:tcPr>
          <w:p>
            <w:pPr>
              <w:pStyle w:val="TableContents"/>
              <w:bidi w:val="0"/>
              <w:spacing w:before="0" w:after="283"/>
              <w:jc w:val="both"/>
              <w:rPr/>
            </w:pPr>
            <w:r>
              <w:rPr/>
              <w:t>Vehicles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94,751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58,443</w:t>
            </w:r>
          </w:p>
        </w:tc>
        <w:tc>
          <w:tcPr>
            <w:tcW w:w="110" w:type="dxa"/>
            <w:tcBorders/>
            <w:shd w:fill="CCEEFF" w:val="clear"/>
            <w:vAlign w:val="center"/>
          </w:tcPr>
          <w:p>
            <w:pPr>
              <w:pStyle w:val="TableContents"/>
              <w:bidi w:val="0"/>
              <w:spacing w:before="0" w:after="283"/>
              <w:jc w:val="left"/>
              <w:rPr/>
            </w:pPr>
            <w:r>
              <w:rPr/>
              <w:t> </w:t>
            </w:r>
            <w:bookmarkStart w:id="477" w:name="xdx_40F_eus-gaap--PropertyPlantAndEquipm"/>
            <w:bookmarkEnd w:id="477"/>
          </w:p>
        </w:tc>
      </w:tr>
      <w:tr>
        <w:trPr/>
        <w:tc>
          <w:tcPr>
            <w:tcW w:w="4835" w:type="dxa"/>
            <w:tcBorders/>
            <w:shd w:fill="FFFFFF" w:val="clear"/>
            <w:vAlign w:val="center"/>
          </w:tcPr>
          <w:p>
            <w:pPr>
              <w:pStyle w:val="TableContents"/>
              <w:bidi w:val="0"/>
              <w:spacing w:before="0" w:after="283"/>
              <w:jc w:val="both"/>
              <w:rPr/>
            </w:pPr>
            <w:r>
              <w:rPr/>
              <w:t>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308,330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50,000</w:t>
            </w:r>
          </w:p>
        </w:tc>
        <w:tc>
          <w:tcPr>
            <w:tcW w:w="110" w:type="dxa"/>
            <w:tcBorders/>
            <w:shd w:fill="FFFFFF" w:val="clear"/>
            <w:vAlign w:val="center"/>
          </w:tcPr>
          <w:p>
            <w:pPr>
              <w:pStyle w:val="TableContents"/>
              <w:bidi w:val="0"/>
              <w:spacing w:before="0" w:after="283"/>
              <w:jc w:val="left"/>
              <w:rPr/>
            </w:pPr>
            <w:r>
              <w:rPr/>
              <w:t> </w:t>
            </w:r>
            <w:bookmarkStart w:id="478" w:name="xdx_403_eus-gaap--PropertyPlantAndEquipm"/>
            <w:bookmarkEnd w:id="478"/>
          </w:p>
        </w:tc>
      </w:tr>
      <w:tr>
        <w:trPr/>
        <w:tc>
          <w:tcPr>
            <w:tcW w:w="4835" w:type="dxa"/>
            <w:tcBorders/>
            <w:shd w:fill="CCEEFF" w:val="clear"/>
            <w:vAlign w:val="center"/>
          </w:tcPr>
          <w:p>
            <w:pPr>
              <w:pStyle w:val="TableContents"/>
              <w:bidi w:val="0"/>
              <w:spacing w:before="0" w:after="283"/>
              <w:jc w:val="both"/>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154,375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479" w:name="xdx_404_eus-gaap--PropertyPlantAndEquipm"/>
            <w:bookmarkEnd w:id="479"/>
          </w:p>
        </w:tc>
      </w:tr>
      <w:tr>
        <w:trPr/>
        <w:tc>
          <w:tcPr>
            <w:tcW w:w="4835" w:type="dxa"/>
            <w:tcBorders/>
            <w:shd w:fill="FFFFFF" w:val="clear"/>
            <w:vAlign w:val="center"/>
          </w:tcPr>
          <w:p>
            <w:pPr>
              <w:pStyle w:val="TableContents"/>
              <w:bidi w:val="0"/>
              <w:spacing w:before="0" w:after="283"/>
              <w:jc w:val="both"/>
              <w:rPr/>
            </w:pPr>
            <w:r>
              <w:rPr/>
              <w:t>Construction in progress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73,787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38,155</w:t>
            </w:r>
          </w:p>
        </w:tc>
        <w:tc>
          <w:tcPr>
            <w:tcW w:w="110" w:type="dxa"/>
            <w:tcBorders/>
            <w:shd w:fill="FFFFFF" w:val="clear"/>
            <w:vAlign w:val="center"/>
          </w:tcPr>
          <w:p>
            <w:pPr>
              <w:pStyle w:val="TableContents"/>
              <w:bidi w:val="0"/>
              <w:spacing w:before="0" w:after="283"/>
              <w:jc w:val="left"/>
              <w:rPr/>
            </w:pPr>
            <w:r>
              <w:rPr/>
              <w:t> </w:t>
            </w:r>
            <w:bookmarkStart w:id="480" w:name="xdx_408_eus-gaap--PropertyPlantAndEquipm"/>
            <w:bookmarkEnd w:id="480"/>
          </w:p>
        </w:tc>
      </w:tr>
      <w:tr>
        <w:trPr/>
        <w:tc>
          <w:tcPr>
            <w:tcW w:w="4835" w:type="dxa"/>
            <w:tcBorders/>
            <w:shd w:fill="CCEEFF" w:val="clear"/>
            <w:vAlign w:val="center"/>
          </w:tcPr>
          <w:p>
            <w:pPr>
              <w:pStyle w:val="TableContents"/>
              <w:bidi w:val="0"/>
              <w:spacing w:before="0" w:after="283"/>
              <w:jc w:val="both"/>
              <w:rPr/>
            </w:pPr>
            <w:r>
              <w:rPr/>
              <w:t>Total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631,243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146,598</w:t>
            </w:r>
          </w:p>
        </w:tc>
        <w:tc>
          <w:tcPr>
            <w:tcW w:w="110" w:type="dxa"/>
            <w:tcBorders/>
            <w:shd w:fill="CCEEFF" w:val="clear"/>
            <w:vAlign w:val="center"/>
          </w:tcPr>
          <w:p>
            <w:pPr>
              <w:pStyle w:val="TableContents"/>
              <w:bidi w:val="0"/>
              <w:spacing w:before="0" w:after="283"/>
              <w:jc w:val="left"/>
              <w:rPr/>
            </w:pPr>
            <w:r>
              <w:rPr/>
              <w:t> </w:t>
            </w:r>
            <w:bookmarkStart w:id="481" w:name="xdx_409_eus-gaap--AccumulatedDepreciatio"/>
            <w:bookmarkEnd w:id="481"/>
          </w:p>
        </w:tc>
      </w:tr>
      <w:tr>
        <w:trPr/>
        <w:tc>
          <w:tcPr>
            <w:tcW w:w="4835" w:type="dxa"/>
            <w:tcBorders/>
            <w:shd w:fill="FFFFFF" w:val="clear"/>
            <w:vAlign w:val="center"/>
          </w:tcPr>
          <w:p>
            <w:pPr>
              <w:pStyle w:val="TableContents"/>
              <w:bidi w:val="0"/>
              <w:spacing w:before="0" w:after="283"/>
              <w:jc w:val="both"/>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(116,559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(51,173</w:t>
            </w:r>
          </w:p>
        </w:tc>
        <w:tc>
          <w:tcPr>
            <w:tcW w:w="110" w:type="dxa"/>
            <w:tcBorders/>
            <w:shd w:fill="FFFFFF" w:val="clear"/>
            <w:vAlign w:val="center"/>
          </w:tcPr>
          <w:p>
            <w:pPr>
              <w:pStyle w:val="TableContents"/>
              <w:bidi w:val="0"/>
              <w:spacing w:before="0" w:after="283"/>
              <w:jc w:val="left"/>
              <w:rPr/>
            </w:pPr>
            <w:r>
              <w:rPr/>
              <w:t>)</w:t>
            </w:r>
            <w:bookmarkStart w:id="482" w:name="xdx_40A_eus-gaap--PropertyPlantAndEquipm"/>
            <w:bookmarkEnd w:id="482"/>
          </w:p>
        </w:tc>
      </w:tr>
      <w:tr>
        <w:trPr/>
        <w:tc>
          <w:tcPr>
            <w:tcW w:w="4835" w:type="dxa"/>
            <w:tcBorders/>
            <w:shd w:fill="CCEEFF" w:val="clear"/>
            <w:vAlign w:val="center"/>
          </w:tcPr>
          <w:p>
            <w:pPr>
              <w:pStyle w:val="TableContents"/>
              <w:bidi w:val="0"/>
              <w:spacing w:before="0" w:after="283"/>
              <w:jc w:val="both"/>
              <w:rPr/>
            </w:pPr>
            <w:r>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514,684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95,425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total depreciation expense was $</w:t>
      </w:r>
      <w:bookmarkStart w:id="483" w:name="xdx_90F_eus-gaap--Depreciation_c20250101"/>
      <w:bookmarkEnd w:id="483"/>
      <w:r>
        <w:rPr>
          <w:rFonts w:ascii="Times New Roman;Times;Serif" w:hAnsi="Times New Roman;Times;Serif"/>
          <w:b w:val="false"/>
          <w:i w:val="false"/>
          <w:caps w:val="false"/>
          <w:smallCaps w:val="false"/>
          <w:sz w:val="20"/>
        </w:rPr>
        <w:t>65,385 and $</w:t>
      </w:r>
      <w:bookmarkStart w:id="484" w:name="xdx_902_eus-gaap--Depreciation_c20240101"/>
      <w:bookmarkEnd w:id="484"/>
      <w:r>
        <w:rPr>
          <w:rFonts w:ascii="Times New Roman;Times;Serif" w:hAnsi="Times New Roman;Times;Serif"/>
          <w:b w:val="false"/>
          <w:i w:val="false"/>
          <w:caps w:val="false"/>
          <w:smallCaps w:val="false"/>
          <w:sz w:val="20"/>
        </w:rPr>
        <w:t>28,303.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5" w:name="xdx_80C_eus-gaap--LesseeOperatingLeasesT"/>
      <w:bookmarkEnd w:id="485"/>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7 – </w:t>
      </w:r>
      <w:bookmarkStart w:id="486" w:name="xdx_829_zkyhbICPKmCb"/>
      <w:bookmarkEnd w:id="486"/>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and ground robots under noncancelable operating lease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Office Space – Related Party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space is leased from an entity owned by the Company’s Chief Executive Officer and principal shareholder and is therefore considered a related-party lease. The lease is an operating lease with an initial term of five years commencing on October 1, 2025. The lease includes an option to renew upon expiration of the initial term; however, renewal periods were not included in the measurement of the right-of-use asset or lease liability because the Company has determined that exercise of the renewal option is not reasonably certain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lease, the base rent is $</w:t>
      </w:r>
      <w:bookmarkStart w:id="487" w:name="xdx_90F_eus-gaap--PaymentsForRent_c20250"/>
      <w:bookmarkEnd w:id="487"/>
      <w:r>
        <w:rPr>
          <w:rFonts w:ascii="Times New Roman;Times;Serif" w:hAnsi="Times New Roman;Times;Serif"/>
          <w:b w:val="false"/>
          <w:i w:val="false"/>
          <w:caps w:val="false"/>
          <w:smallCaps w:val="false"/>
          <w:sz w:val="20"/>
        </w:rPr>
        <w:t xml:space="preserve">44,481 per month for the first twelve months, increasing </w:t>
      </w:r>
      <w:bookmarkStart w:id="488" w:name="xdx_903_ecustom--MonthlyRentPercentage_p"/>
      <w:bookmarkEnd w:id="488"/>
      <w:r>
        <w:rPr>
          <w:rFonts w:ascii="Times New Roman;Times;Serif" w:hAnsi="Times New Roman;Times;Serif"/>
          <w:b w:val="false"/>
          <w:i w:val="false"/>
          <w:caps w:val="false"/>
          <w:smallCaps w:val="false"/>
          <w:sz w:val="20"/>
        </w:rPr>
        <w:t>3% for each twelve-month period thereafter. The lease is structured as a triple-net arrangement under which the Company also pays taxes, insurance, and common area maintenance charges directly. These triple-net lease (“NNN”) costs are variable in nature and are not included in the measurement of the right-of-use asset or lease liability; they are expensed as incurred. Based on current estimates, NNN costs are approximately $</w:t>
      </w:r>
      <w:bookmarkStart w:id="489" w:name="xdx_904_eus-gaap--OperatingLeaseCost_c20"/>
      <w:bookmarkEnd w:id="489"/>
      <w:r>
        <w:rPr>
          <w:rFonts w:ascii="Times New Roman;Times;Serif" w:hAnsi="Times New Roman;Times;Serif"/>
          <w:b w:val="false"/>
          <w:i w:val="false"/>
          <w:caps w:val="false"/>
          <w:smallCaps w:val="false"/>
          <w:sz w:val="20"/>
        </w:rPr>
        <w:t>9,885 per month. Total variable lease costs recognized under this arrangement during the year ended December 31, 2025 were approximately $</w:t>
      </w:r>
      <w:bookmarkStart w:id="490" w:name="xdx_901_ecustom--VariableLeaseCosts_c202"/>
      <w:bookmarkEnd w:id="490"/>
      <w:r>
        <w:rPr>
          <w:rFonts w:ascii="Times New Roman;Times;Serif" w:hAnsi="Times New Roman;Times;Serif"/>
          <w:b w:val="false"/>
          <w:i w:val="false"/>
          <w:caps w:val="false"/>
          <w:smallCaps w:val="false"/>
          <w:sz w:val="20"/>
        </w:rPr>
        <w:t>29,655. The estimated all-in monthly occupancy cost is approximately $</w:t>
      </w:r>
      <w:bookmarkStart w:id="491" w:name="xdx_90A_eus-gaap--OperatingLeasePayments"/>
      <w:bookmarkEnd w:id="491"/>
      <w:r>
        <w:rPr>
          <w:rFonts w:ascii="Times New Roman;Times;Serif" w:hAnsi="Times New Roman;Times;Serif"/>
          <w:b w:val="false"/>
          <w:i w:val="false"/>
          <w:caps w:val="false"/>
          <w:smallCaps w:val="false"/>
          <w:sz w:val="20"/>
        </w:rPr>
        <w:t>54,366. This lease arrangement is also disclosed in NOTE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Ground Robot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leases ground robots used in delivery operations to transport goods between Arrive Point units. These leases have </w:t>
      </w:r>
      <w:bookmarkStart w:id="492" w:name="xdx_90E_eus-gaap--LesseeOperatingLeaseDe"/>
      <w:bookmarkEnd w:id="492"/>
      <w:r>
        <w:rPr>
          <w:rFonts w:ascii="Times New Roman;Times;Serif" w:hAnsi="Times New Roman;Times;Serif"/>
          <w:b w:val="false"/>
          <w:i w:val="false"/>
          <w:caps w:val="false"/>
          <w:smallCaps w:val="false"/>
          <w:sz w:val="20"/>
        </w:rPr>
        <w:t>initial terms of two years commencing on July 31, 2025. Lease payments are approximately $</w:t>
      </w:r>
      <w:bookmarkStart w:id="493" w:name="xdx_901_eus-gaap--OperatingLeasePayments"/>
      <w:bookmarkEnd w:id="493"/>
      <w:r>
        <w:rPr>
          <w:rFonts w:ascii="Times New Roman;Times;Serif" w:hAnsi="Times New Roman;Times;Serif"/>
          <w:b w:val="false"/>
          <w:i w:val="false"/>
          <w:caps w:val="false"/>
          <w:smallCaps w:val="false"/>
          <w:sz w:val="20"/>
        </w:rPr>
        <w:t>4,200 per month. Total lease costs recognized under this arrangement during the year ended December 31, 2025 were approximately $</w:t>
      </w:r>
      <w:bookmarkStart w:id="494" w:name="xdx_902_eus-gaap--OperatingLeaseCost_c20"/>
      <w:bookmarkEnd w:id="494"/>
      <w:r>
        <w:rPr>
          <w:rFonts w:ascii="Times New Roman;Times;Serif" w:hAnsi="Times New Roman;Times;Serif"/>
          <w:b w:val="false"/>
          <w:i w:val="false"/>
          <w:caps w:val="false"/>
          <w:smallCaps w:val="false"/>
          <w:sz w:val="20"/>
        </w:rPr>
        <w:t>25,200. The lease includes renewal options; however, renewal periods were not included in the measurement of the right-of-use assets or lease liabilities because the Company has determined that exercise of the renewal options is not reasonably certain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ground robot leases and the office space lease have been aggregated in the disclosures below as they share similar remaining terms, discount rates, and lease structures. Management has evaluated the leases and concluded that separate presentation is not necessary to provide a meaningful understanding of the Company’s lease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Right-of-Use Assets and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5" w:name="xdx_890_ecustom--ScheduleOfRightOfUseAss"/>
      <w:bookmarkEnd w:id="495"/>
      <w:r>
        <w:rPr>
          <w:rFonts w:ascii="Times New Roman;Times;Serif" w:hAnsi="Times New Roman;Times;Serif"/>
          <w:b w:val="false"/>
          <w:i w:val="false"/>
          <w:caps w:val="false"/>
          <w:smallCaps w:val="false"/>
          <w:sz w:val="20"/>
        </w:rPr>
        <w:t>The following summarizes the right-of-use assets and lease liabilities recorded on the Company’s balance sheet as of December 31,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6" w:name="xdx_8BC_zitMvJUkPdyl"/>
      <w:bookmarkEnd w:id="496"/>
      <w:r>
        <w:rPr>
          <w:rFonts w:ascii="Times New Roman;Times;Serif" w:hAnsi="Times New Roman;Times;Serif"/>
          <w:b w:val="false"/>
          <w:i w:val="false"/>
          <w:caps w:val="false"/>
          <w:smallCaps w:val="false"/>
          <w:sz w:val="20"/>
        </w:rPr>
        <w:t>SCHEDULE OF RIGHT-OF-USE ASSETS AND LEASE LIABILITIES </w:t>
      </w:r>
    </w:p>
    <w:p>
      <w:pPr>
        <w:pStyle w:val="Normal"/>
        <w:bidi w:val="0"/>
        <w:spacing w:before="0" w:after="0"/>
        <w:jc w:val="left"/>
        <w:rPr>
          <w:sz w:val="4"/>
          <w:szCs w:val="4"/>
        </w:rPr>
      </w:pPr>
      <w:r>
        <w:rPr>
          <w:sz w:val="4"/>
          <w:szCs w:val="4"/>
        </w:rPr>
      </w:r>
      <w:bookmarkStart w:id="497" w:name="xdx_232_zyS31Hom9cqf"/>
      <w:bookmarkStart w:id="498" w:name="xdx_232_zyS31Hom9cqf"/>
      <w:bookmarkEnd w:id="498"/>
    </w:p>
    <w:tbl>
      <w:tblPr>
        <w:tblW w:w="6170" w:type="dxa"/>
        <w:jc w:val="left"/>
        <w:tblInd w:w="0" w:type="dxa"/>
        <w:tblLayout w:type="fixed"/>
        <w:tblCellMar>
          <w:top w:w="0" w:type="dxa"/>
          <w:left w:w="0" w:type="dxa"/>
          <w:bottom w:w="0" w:type="dxa"/>
          <w:right w:w="0" w:type="dxa"/>
        </w:tblCellMar>
      </w:tblPr>
      <w:tblGrid>
        <w:gridCol w:w="4295"/>
        <w:gridCol w:w="60"/>
        <w:gridCol w:w="140"/>
        <w:gridCol w:w="980"/>
        <w:gridCol w:w="60"/>
        <w:gridCol w:w="60"/>
        <w:gridCol w:w="175"/>
        <w:gridCol w:w="325"/>
        <w:gridCol w:w="75"/>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9" w:name="xdx_49E_20251231_zJAHPXc2mgTi"/>
            <w:bookmarkEnd w:id="499"/>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0" w:name="xdx_494_20241231_zZmQomsJl5hf"/>
            <w:bookmarkEnd w:id="500"/>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01" w:name="xdx_405_eus-gaap--OperatingLeaseRightOfU"/>
            <w:bookmarkEnd w:id="501"/>
          </w:p>
        </w:tc>
      </w:tr>
      <w:tr>
        <w:trPr/>
        <w:tc>
          <w:tcPr>
            <w:tcW w:w="4295" w:type="dxa"/>
            <w:tcBorders/>
            <w:shd w:fill="CCEEFF" w:val="clear"/>
            <w:vAlign w:val="center"/>
          </w:tcPr>
          <w:p>
            <w:pPr>
              <w:pStyle w:val="TableContents"/>
              <w:bidi w:val="0"/>
              <w:spacing w:before="0" w:after="283"/>
              <w:jc w:val="both"/>
              <w:rPr/>
            </w:pPr>
            <w:r>
              <w:rPr/>
              <w:t>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2,117,284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32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02" w:name="xdx_402_eus-gaap--OperatingLeaseLiabilit"/>
            <w:bookmarkEnd w:id="502"/>
          </w:p>
        </w:tc>
      </w:tr>
      <w:tr>
        <w:trPr/>
        <w:tc>
          <w:tcPr>
            <w:tcW w:w="4295" w:type="dxa"/>
            <w:tcBorders/>
            <w:shd w:fill="FFFFFF" w:val="clear"/>
            <w:vAlign w:val="center"/>
          </w:tcPr>
          <w:p>
            <w:pPr>
              <w:pStyle w:val="TableContents"/>
              <w:bidi w:val="0"/>
              <w:spacing w:before="0" w:after="283"/>
              <w:jc w:val="both"/>
              <w:rPr/>
            </w:pPr>
            <w:r>
              <w:rPr/>
              <w:t>Operating lease liabilities –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shd w:fill="FFFFFF" w:val="clear"/>
            <w:vAlign w:val="center"/>
          </w:tcPr>
          <w:p>
            <w:pPr>
              <w:pStyle w:val="TableContents"/>
              <w:bidi w:val="0"/>
              <w:spacing w:before="0" w:after="283"/>
              <w:jc w:val="right"/>
              <w:rPr/>
            </w:pPr>
            <w:r>
              <w:rPr/>
              <w:t>392,950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sz w:val="4"/>
                <w:szCs w:val="4"/>
              </w:rPr>
            </w:pPr>
            <w:r>
              <w:rPr>
                <w:sz w:val="4"/>
                <w:szCs w:val="4"/>
              </w:rPr>
            </w:r>
          </w:p>
        </w:tc>
        <w:tc>
          <w:tcPr>
            <w:tcW w:w="32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03" w:name="xdx_40F_eus-gaap--OperatingLeaseLiabilit"/>
            <w:bookmarkEnd w:id="503"/>
          </w:p>
        </w:tc>
      </w:tr>
      <w:tr>
        <w:trPr/>
        <w:tc>
          <w:tcPr>
            <w:tcW w:w="4295" w:type="dxa"/>
            <w:tcBorders/>
            <w:shd w:fill="CCEEFF" w:val="clear"/>
            <w:vAlign w:val="center"/>
          </w:tcPr>
          <w:p>
            <w:pPr>
              <w:pStyle w:val="TableContents"/>
              <w:bidi w:val="0"/>
              <w:spacing w:before="0" w:after="283"/>
              <w:jc w:val="both"/>
              <w:rPr/>
            </w:pPr>
            <w:r>
              <w:rPr/>
              <w:t>Operating lease liabilities – long-term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right"/>
              <w:rPr/>
            </w:pPr>
            <w:r>
              <w:rPr/>
              <w:t>1,725,073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32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4" w:name="xdx_8A0_zFPRFsX1UiDg"/>
      <w:bookmarkEnd w:id="50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5" w:name="xdx_89B_eus-gaap--LeaseCostTableTextBloc"/>
      <w:bookmarkEnd w:id="505"/>
      <w:r>
        <w:rPr>
          <w:rFonts w:ascii="Times New Roman;Times;Serif" w:hAnsi="Times New Roman;Times;Serif"/>
          <w:b w:val="false"/>
          <w:i w:val="false"/>
          <w:caps w:val="false"/>
          <w:smallCaps w:val="false"/>
          <w:sz w:val="20"/>
        </w:rPr>
        <w:t>The following is a summary of the lease cost of operating leases recognized in the Company’s statement of operations: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6" w:name="xdx_8BB_zYRBfhfgB6li"/>
      <w:bookmarkEnd w:id="506"/>
      <w:r>
        <w:rPr>
          <w:rFonts w:ascii="Times New Roman;Times;Serif" w:hAnsi="Times New Roman;Times;Serif"/>
          <w:b w:val="false"/>
          <w:i w:val="false"/>
          <w:caps w:val="false"/>
          <w:smallCaps w:val="false"/>
          <w:sz w:val="20"/>
        </w:rPr>
        <w:t>SCHEDULE OF LEASE COST </w:t>
      </w:r>
    </w:p>
    <w:tbl>
      <w:tblPr>
        <w:tblW w:w="9353" w:type="dxa"/>
        <w:jc w:val="left"/>
        <w:tblInd w:w="0" w:type="dxa"/>
        <w:tblLayout w:type="fixed"/>
        <w:tblCellMar>
          <w:top w:w="0" w:type="dxa"/>
          <w:left w:w="0" w:type="dxa"/>
          <w:bottom w:w="0" w:type="dxa"/>
          <w:right w:w="0" w:type="dxa"/>
        </w:tblCellMar>
      </w:tblPr>
      <w:tblGrid>
        <w:gridCol w:w="6410"/>
        <w:gridCol w:w="60"/>
        <w:gridCol w:w="252"/>
        <w:gridCol w:w="1441"/>
        <w:gridCol w:w="108"/>
        <w:gridCol w:w="108"/>
        <w:gridCol w:w="534"/>
        <w:gridCol w:w="365"/>
        <w:gridCol w:w="75"/>
      </w:tblGrid>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7" w:name="xdx_49D_20250101__20251231__custom--Stat"/>
            <w:bookmarkEnd w:id="507"/>
          </w:p>
        </w:tc>
        <w:tc>
          <w:tcPr>
            <w:tcW w:w="1693"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bookmarkStart w:id="508" w:name="xdx_499_20240101__20241231__custom--Stat"/>
            <w:bookmarkEnd w:id="508"/>
          </w:p>
        </w:tc>
        <w:tc>
          <w:tcPr>
            <w:tcW w:w="899"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5"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75"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509" w:name="xdx_406_eus-gaap--LeaseCost_iT_zudz7SeBd"/>
            <w:bookmarkEnd w:id="509"/>
          </w:p>
        </w:tc>
      </w:tr>
      <w:tr>
        <w:trPr/>
        <w:tc>
          <w:tcPr>
            <w:tcW w:w="6410" w:type="dxa"/>
            <w:tcBorders/>
            <w:shd w:fill="CCEEFF" w:val="clear"/>
            <w:vAlign w:val="center"/>
          </w:tcPr>
          <w:p>
            <w:pPr>
              <w:pStyle w:val="TableContents"/>
              <w:bidi w:val="0"/>
              <w:spacing w:before="0" w:after="283"/>
              <w:jc w:val="left"/>
              <w:rPr/>
            </w:pPr>
            <w:r>
              <w:rPr/>
              <w:t>Operating lease cost included in general and administrative expense</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p>
        </w:tc>
        <w:tc>
          <w:tcPr>
            <w:tcW w:w="1441" w:type="dxa"/>
            <w:tcBorders/>
            <w:shd w:fill="CCEEFF" w:val="clear"/>
            <w:vAlign w:val="center"/>
          </w:tcPr>
          <w:p>
            <w:pPr>
              <w:pStyle w:val="TableContents"/>
              <w:bidi w:val="0"/>
              <w:spacing w:before="0" w:after="283"/>
              <w:jc w:val="right"/>
              <w:rPr/>
            </w:pPr>
            <w:r>
              <w:rPr/>
              <w:t>159,382</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10" w:name="xdx_8A4_z8FhliJwWJOg"/>
      <w:bookmarkEnd w:id="51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Supplemental Cash Flow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1" w:name="xdx_89E_eus-gaap--ScheduleOfCashFlowSupp"/>
      <w:bookmarkEnd w:id="511"/>
      <w:r>
        <w:rPr>
          <w:rFonts w:ascii="Times New Roman;Times;Serif" w:hAnsi="Times New Roman;Times;Serif"/>
          <w:b w:val="false"/>
          <w:i w:val="false"/>
          <w:caps w:val="false"/>
          <w:smallCaps w:val="false"/>
          <w:sz w:val="20"/>
        </w:rPr>
        <w:t>The following is a summary of the supplemental information related to the Company’s operating leases included in the statements of cash flows: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2" w:name="xdx_8B1_zIiIRvQiG6I1"/>
      <w:bookmarkEnd w:id="512"/>
      <w:r>
        <w:rPr>
          <w:rFonts w:ascii="Times New Roman;Times;Serif" w:hAnsi="Times New Roman;Times;Serif"/>
          <w:b w:val="false"/>
          <w:i w:val="false"/>
          <w:caps w:val="false"/>
          <w:smallCaps w:val="false"/>
          <w:sz w:val="20"/>
        </w:rPr>
        <w:t>SCHEDULE OF SUPPLEMENTAL CASH FLOW INFORMATION </w:t>
      </w:r>
    </w:p>
    <w:tbl>
      <w:tblPr>
        <w:tblW w:w="10205" w:type="dxa"/>
        <w:jc w:val="left"/>
        <w:tblInd w:w="0" w:type="dxa"/>
        <w:tblLayout w:type="fixed"/>
        <w:tblCellMar>
          <w:top w:w="0" w:type="dxa"/>
          <w:left w:w="0" w:type="dxa"/>
          <w:bottom w:w="0" w:type="dxa"/>
          <w:right w:w="0" w:type="dxa"/>
        </w:tblCellMar>
      </w:tblPr>
      <w:tblGrid>
        <w:gridCol w:w="7305"/>
        <w:gridCol w:w="60"/>
        <w:gridCol w:w="222"/>
        <w:gridCol w:w="1558"/>
        <w:gridCol w:w="94"/>
        <w:gridCol w:w="94"/>
        <w:gridCol w:w="471"/>
        <w:gridCol w:w="322"/>
        <w:gridCol w:w="79"/>
      </w:tblGrid>
      <w:tr>
        <w:trPr/>
        <w:tc>
          <w:tcPr>
            <w:tcW w:w="7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13" w:name="xdx_49A_20250101__20251231_zH3BnDATk5u9"/>
            <w:bookmarkEnd w:id="513"/>
          </w:p>
        </w:tc>
        <w:tc>
          <w:tcPr>
            <w:tcW w:w="178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bookmarkStart w:id="514" w:name="xdx_490_20240101__20241231_zvapYKyp2JN8"/>
            <w:bookmarkEnd w:id="514"/>
          </w:p>
        </w:tc>
        <w:tc>
          <w:tcPr>
            <w:tcW w:w="793"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79" w:type="dxa"/>
            <w:tcBorders/>
            <w:vAlign w:val="center"/>
          </w:tcPr>
          <w:p>
            <w:pPr>
              <w:pStyle w:val="TableContents"/>
              <w:bidi w:val="0"/>
              <w:spacing w:before="0" w:after="283"/>
              <w:jc w:val="left"/>
              <w:rPr/>
            </w:pPr>
            <w:r>
              <w:rPr/>
              <w:t> </w:t>
            </w:r>
          </w:p>
        </w:tc>
      </w:tr>
      <w:tr>
        <w:trPr/>
        <w:tc>
          <w:tcPr>
            <w:tcW w:w="7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6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79" w:type="dxa"/>
            <w:tcBorders/>
            <w:vAlign w:val="center"/>
          </w:tcPr>
          <w:p>
            <w:pPr>
              <w:pStyle w:val="TableContents"/>
              <w:bidi w:val="0"/>
              <w:spacing w:before="0" w:after="283"/>
              <w:jc w:val="left"/>
              <w:rPr/>
            </w:pPr>
            <w:r>
              <w:rPr/>
              <w:t> </w:t>
            </w:r>
          </w:p>
        </w:tc>
      </w:tr>
      <w:tr>
        <w:trPr/>
        <w:tc>
          <w:tcPr>
            <w:tcW w:w="73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9" w:type="dxa"/>
            <w:tcBorders/>
            <w:vAlign w:val="center"/>
          </w:tcPr>
          <w:p>
            <w:pPr>
              <w:pStyle w:val="TableContents"/>
              <w:bidi w:val="0"/>
              <w:spacing w:before="0" w:after="283"/>
              <w:jc w:val="left"/>
              <w:rPr/>
            </w:pPr>
            <w:r>
              <w:rPr/>
              <w:t> </w:t>
            </w:r>
            <w:bookmarkStart w:id="515" w:name="xdx_40A_eus-gaap--OperatingLeasePayments"/>
            <w:bookmarkEnd w:id="515"/>
          </w:p>
        </w:tc>
      </w:tr>
      <w:tr>
        <w:trPr/>
        <w:tc>
          <w:tcPr>
            <w:tcW w:w="7305" w:type="dxa"/>
            <w:tcBorders/>
            <w:shd w:fill="CCEEFF" w:val="clear"/>
            <w:vAlign w:val="center"/>
          </w:tcPr>
          <w:p>
            <w:pPr>
              <w:pStyle w:val="TableContents"/>
              <w:bidi w:val="0"/>
              <w:spacing w:before="0" w:after="283"/>
              <w:jc w:val="left"/>
              <w:rPr/>
            </w:pPr>
            <w:r>
              <w:rPr/>
              <w:t>Cash paid for amounts included in the measurement of operating lease liabilities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558" w:type="dxa"/>
            <w:tcBorders/>
            <w:shd w:fill="CCEEFF" w:val="clear"/>
            <w:vAlign w:val="center"/>
          </w:tcPr>
          <w:p>
            <w:pPr>
              <w:pStyle w:val="TableContents"/>
              <w:bidi w:val="0"/>
              <w:spacing w:before="0" w:after="283"/>
              <w:jc w:val="right"/>
              <w:rPr/>
            </w:pPr>
            <w:r>
              <w:rPr/>
              <w:t>158,643</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471" w:type="dxa"/>
            <w:tcBorders/>
            <w:shd w:fill="CCEEFF" w:val="clear"/>
            <w:vAlign w:val="center"/>
          </w:tcPr>
          <w:p>
            <w:pPr>
              <w:pStyle w:val="TableContents"/>
              <w:bidi w:val="0"/>
              <w:spacing w:before="0" w:after="283"/>
              <w:jc w:val="left"/>
              <w:rPr/>
            </w:pPr>
            <w:r>
              <w:rPr/>
              <w:t>$</w:t>
            </w:r>
          </w:p>
        </w:tc>
        <w:tc>
          <w:tcPr>
            <w:tcW w:w="322"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bookmarkStart w:id="516" w:name="xdx_405_ecustom--RightofuseAssetsObtaine"/>
            <w:bookmarkEnd w:id="516"/>
          </w:p>
        </w:tc>
      </w:tr>
      <w:tr>
        <w:trPr/>
        <w:tc>
          <w:tcPr>
            <w:tcW w:w="7305" w:type="dxa"/>
            <w:tcBorders/>
            <w:shd w:fill="FFFFFF" w:val="clear"/>
            <w:vAlign w:val="center"/>
          </w:tcPr>
          <w:p>
            <w:pPr>
              <w:pStyle w:val="TableContents"/>
              <w:bidi w:val="0"/>
              <w:spacing w:before="0" w:after="283"/>
              <w:jc w:val="left"/>
              <w:rPr/>
            </w:pPr>
            <w:r>
              <w:rPr/>
              <w:t>Right-of-use assets obtained in exchange for lease obligations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58" w:type="dxa"/>
            <w:tcBorders/>
            <w:shd w:fill="FFFFFF" w:val="clear"/>
            <w:vAlign w:val="center"/>
          </w:tcPr>
          <w:p>
            <w:pPr>
              <w:pStyle w:val="TableContents"/>
              <w:bidi w:val="0"/>
              <w:spacing w:before="0" w:after="283"/>
              <w:jc w:val="right"/>
              <w:rPr/>
            </w:pPr>
            <w:r>
              <w:rPr/>
              <w:t>2,216,753</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17" w:name="xdx_8A7_zfYm4WRMyYjb"/>
      <w:bookmarkEnd w:id="51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Discount Rate and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Company’s office lease does not provide an implicit interest rate, the Company used its incremental borrowing rate (“IBR”) to discount future lease payments. Because the Company has no directly observable secured borrowing rate, the IBR was estimated using a build-up approach consisting of the applicable U.S. Treasury rate for a borrowing term consistent with the expected lease term as of the lease commencement date, plus a credit risk premium based on prevailing speculative-grade corporate bond spreads, and adjusted to reflect the collateralized nature of the borrowing as contemplated by ASC 842.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weighted-average remaining lease term and weighted-average discount rate for operating leases at December 31, 2025 were </w:t>
      </w:r>
      <w:bookmarkStart w:id="518" w:name="xdx_90D_eus-gaap--OperatingLeaseWeighted"/>
      <w:bookmarkEnd w:id="518"/>
      <w:r>
        <w:rPr>
          <w:rFonts w:ascii="Times New Roman;Times;Serif" w:hAnsi="Times New Roman;Times;Serif"/>
          <w:b w:val="false"/>
          <w:i w:val="false"/>
          <w:caps w:val="false"/>
          <w:smallCaps w:val="false"/>
          <w:sz w:val="20"/>
        </w:rPr>
        <w:t xml:space="preserve">4.65 years and </w:t>
      </w:r>
      <w:bookmarkStart w:id="519" w:name="xdx_90C_eus-gaap--OperatingLeaseWeighted"/>
      <w:bookmarkEnd w:id="519"/>
      <w:r>
        <w:rPr>
          <w:rFonts w:ascii="Times New Roman;Times;Serif" w:hAnsi="Times New Roman;Times;Serif"/>
          <w:b w:val="false"/>
          <w:i w:val="false"/>
          <w:caps w:val="false"/>
          <w:smallCaps w:val="false"/>
          <w:sz w:val="20"/>
        </w:rPr>
        <w:t>10.42%,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Future Minimum Lease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0" w:name="xdx_89B_eus-gaap--LesseeOperatingLeaseLi"/>
      <w:bookmarkEnd w:id="520"/>
      <w:r>
        <w:rPr>
          <w:rFonts w:ascii="Times New Roman;Times;Serif" w:hAnsi="Times New Roman;Times;Serif"/>
          <w:b w:val="false"/>
          <w:i w:val="false"/>
          <w:caps w:val="false"/>
          <w:smallCaps w:val="false"/>
          <w:sz w:val="20"/>
        </w:rPr>
        <w:t>The future lease payments required under the Company’s leases for the years ending December 31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1" w:name="xdx_8BF_zhzjIxas2Gac"/>
      <w:bookmarkEnd w:id="521"/>
      <w:r>
        <w:rPr>
          <w:rFonts w:ascii="Times New Roman;Times;Serif" w:hAnsi="Times New Roman;Times;Serif"/>
          <w:b w:val="false"/>
          <w:i w:val="false"/>
          <w:caps w:val="false"/>
          <w:smallCaps w:val="false"/>
          <w:sz w:val="20"/>
        </w:rPr>
        <w:t>SCHEDULE OF FUTURE MINIMUM LEASE PAYMENTS </w:t>
      </w:r>
    </w:p>
    <w:tbl>
      <w:tblPr>
        <w:tblW w:w="4610" w:type="dxa"/>
        <w:jc w:val="left"/>
        <w:tblInd w:w="0" w:type="dxa"/>
        <w:tblLayout w:type="fixed"/>
        <w:tblCellMar>
          <w:top w:w="0" w:type="dxa"/>
          <w:left w:w="0" w:type="dxa"/>
          <w:bottom w:w="0" w:type="dxa"/>
          <w:right w:w="0" w:type="dxa"/>
        </w:tblCellMar>
      </w:tblPr>
      <w:tblGrid>
        <w:gridCol w:w="3320"/>
        <w:gridCol w:w="60"/>
        <w:gridCol w:w="140"/>
        <w:gridCol w:w="980"/>
        <w:gridCol w:w="110"/>
      </w:tblGrid>
      <w:tr>
        <w:trPr/>
        <w:tc>
          <w:tcPr>
            <w:tcW w:w="3320" w:type="dxa"/>
            <w:tcBorders/>
            <w:shd w:fill="CCEEFF" w:val="clear"/>
            <w:vAlign w:val="center"/>
          </w:tcPr>
          <w:p>
            <w:pPr>
              <w:pStyle w:val="TableContents"/>
              <w:bidi w:val="0"/>
              <w:spacing w:before="0" w:after="283"/>
              <w:jc w:val="both"/>
              <w:rPr/>
            </w:pPr>
            <w:r>
              <w:rPr/>
              <w:t>Future minimum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22" w:name="xdx_498_20251231_zHeZ4mQgHpO1"/>
            <w:bookmarkEnd w:id="522"/>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23" w:name="xdx_409_eus-gaap--LesseeOperatingLeaseLi"/>
            <w:bookmarkEnd w:id="523"/>
          </w:p>
        </w:tc>
      </w:tr>
      <w:tr>
        <w:trPr/>
        <w:tc>
          <w:tcPr>
            <w:tcW w:w="3320" w:type="dxa"/>
            <w:tcBorders/>
            <w:shd w:fill="FFFFFF" w:val="clear"/>
            <w:vAlign w:val="center"/>
          </w:tcPr>
          <w:p>
            <w:pPr>
              <w:pStyle w:val="TableContents"/>
              <w:bidi w:val="0"/>
              <w:spacing w:before="0" w:after="283"/>
              <w:jc w:val="both"/>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588,174</w:t>
            </w:r>
          </w:p>
        </w:tc>
        <w:tc>
          <w:tcPr>
            <w:tcW w:w="110" w:type="dxa"/>
            <w:tcBorders/>
            <w:shd w:fill="FFFFFF" w:val="clear"/>
            <w:vAlign w:val="center"/>
          </w:tcPr>
          <w:p>
            <w:pPr>
              <w:pStyle w:val="TableContents"/>
              <w:bidi w:val="0"/>
              <w:spacing w:before="0" w:after="283"/>
              <w:jc w:val="left"/>
              <w:rPr/>
            </w:pPr>
            <w:r>
              <w:rPr/>
              <w:t> </w:t>
            </w:r>
            <w:bookmarkStart w:id="524" w:name="xdx_409_eus-gaap--LesseeOperatingLeaseLi"/>
            <w:bookmarkEnd w:id="524"/>
          </w:p>
        </w:tc>
      </w:tr>
      <w:tr>
        <w:trPr/>
        <w:tc>
          <w:tcPr>
            <w:tcW w:w="3320" w:type="dxa"/>
            <w:tcBorders/>
            <w:shd w:fill="CCEEFF" w:val="clear"/>
            <w:vAlign w:val="center"/>
          </w:tcPr>
          <w:p>
            <w:pPr>
              <w:pStyle w:val="TableContents"/>
              <w:bidi w:val="0"/>
              <w:spacing w:before="0" w:after="283"/>
              <w:jc w:val="both"/>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579,102</w:t>
            </w:r>
          </w:p>
        </w:tc>
        <w:tc>
          <w:tcPr>
            <w:tcW w:w="110" w:type="dxa"/>
            <w:tcBorders/>
            <w:shd w:fill="CCEEFF" w:val="clear"/>
            <w:vAlign w:val="center"/>
          </w:tcPr>
          <w:p>
            <w:pPr>
              <w:pStyle w:val="TableContents"/>
              <w:bidi w:val="0"/>
              <w:spacing w:before="0" w:after="283"/>
              <w:jc w:val="left"/>
              <w:rPr/>
            </w:pPr>
            <w:r>
              <w:rPr/>
              <w:t> </w:t>
            </w:r>
            <w:bookmarkStart w:id="525" w:name="xdx_408_eus-gaap--LesseeOperatingLeaseLi"/>
            <w:bookmarkEnd w:id="525"/>
          </w:p>
        </w:tc>
      </w:tr>
      <w:tr>
        <w:trPr/>
        <w:tc>
          <w:tcPr>
            <w:tcW w:w="3320" w:type="dxa"/>
            <w:tcBorders/>
            <w:shd w:fill="FFFFFF" w:val="clear"/>
            <w:vAlign w:val="center"/>
          </w:tcPr>
          <w:p>
            <w:pPr>
              <w:pStyle w:val="TableContents"/>
              <w:bidi w:val="0"/>
              <w:spacing w:before="0" w:after="283"/>
              <w:jc w:val="both"/>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570,516</w:t>
            </w:r>
          </w:p>
        </w:tc>
        <w:tc>
          <w:tcPr>
            <w:tcW w:w="110" w:type="dxa"/>
            <w:tcBorders/>
            <w:shd w:fill="FFFFFF" w:val="clear"/>
            <w:vAlign w:val="center"/>
          </w:tcPr>
          <w:p>
            <w:pPr>
              <w:pStyle w:val="TableContents"/>
              <w:bidi w:val="0"/>
              <w:spacing w:before="0" w:after="283"/>
              <w:jc w:val="left"/>
              <w:rPr/>
            </w:pPr>
            <w:r>
              <w:rPr/>
              <w:t> </w:t>
            </w:r>
            <w:bookmarkStart w:id="526" w:name="xdx_402_eus-gaap--LesseeOperatingLeaseLi"/>
            <w:bookmarkEnd w:id="526"/>
          </w:p>
        </w:tc>
      </w:tr>
      <w:tr>
        <w:trPr/>
        <w:tc>
          <w:tcPr>
            <w:tcW w:w="3320" w:type="dxa"/>
            <w:tcBorders/>
            <w:shd w:fill="CCEEFF" w:val="clear"/>
            <w:vAlign w:val="center"/>
          </w:tcPr>
          <w:p>
            <w:pPr>
              <w:pStyle w:val="TableContents"/>
              <w:bidi w:val="0"/>
              <w:spacing w:before="0" w:after="283"/>
              <w:jc w:val="both"/>
              <w:rPr/>
            </w:pPr>
            <w:r>
              <w:rPr/>
              <w:t>2029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587,634</w:t>
            </w:r>
          </w:p>
        </w:tc>
        <w:tc>
          <w:tcPr>
            <w:tcW w:w="110" w:type="dxa"/>
            <w:tcBorders/>
            <w:shd w:fill="CCEEFF" w:val="clear"/>
            <w:vAlign w:val="center"/>
          </w:tcPr>
          <w:p>
            <w:pPr>
              <w:pStyle w:val="TableContents"/>
              <w:bidi w:val="0"/>
              <w:spacing w:before="0" w:after="283"/>
              <w:jc w:val="left"/>
              <w:rPr/>
            </w:pPr>
            <w:r>
              <w:rPr/>
              <w:t> </w:t>
            </w:r>
            <w:bookmarkStart w:id="527" w:name="xdx_403_eus-gaap--LesseeOperatingLeaseLi"/>
            <w:bookmarkEnd w:id="527"/>
          </w:p>
        </w:tc>
      </w:tr>
      <w:tr>
        <w:trPr/>
        <w:tc>
          <w:tcPr>
            <w:tcW w:w="3320" w:type="dxa"/>
            <w:tcBorders/>
            <w:shd w:fill="FFFFFF" w:val="clear"/>
            <w:vAlign w:val="center"/>
          </w:tcPr>
          <w:p>
            <w:pPr>
              <w:pStyle w:val="TableContents"/>
              <w:bidi w:val="0"/>
              <w:spacing w:before="0" w:after="283"/>
              <w:jc w:val="both"/>
              <w:rPr/>
            </w:pPr>
            <w:r>
              <w:rPr/>
              <w:t>2030</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300,378</w:t>
            </w:r>
          </w:p>
        </w:tc>
        <w:tc>
          <w:tcPr>
            <w:tcW w:w="110" w:type="dxa"/>
            <w:tcBorders/>
            <w:shd w:fill="FFFFFF" w:val="clear"/>
            <w:vAlign w:val="center"/>
          </w:tcPr>
          <w:p>
            <w:pPr>
              <w:pStyle w:val="TableContents"/>
              <w:bidi w:val="0"/>
              <w:spacing w:before="0" w:after="283"/>
              <w:jc w:val="left"/>
              <w:rPr/>
            </w:pPr>
            <w:r>
              <w:rPr/>
              <w:t> </w:t>
            </w:r>
            <w:bookmarkStart w:id="528" w:name="xdx_40F_eus-gaap--LesseeOperatingLeaseLi"/>
            <w:bookmarkEnd w:id="528"/>
          </w:p>
        </w:tc>
      </w:tr>
      <w:tr>
        <w:trPr/>
        <w:tc>
          <w:tcPr>
            <w:tcW w:w="3320" w:type="dxa"/>
            <w:tcBorders/>
            <w:shd w:fill="CCEEFF" w:val="clear"/>
            <w:vAlign w:val="center"/>
          </w:tcPr>
          <w:p>
            <w:pPr>
              <w:pStyle w:val="TableContents"/>
              <w:bidi w:val="0"/>
              <w:spacing w:before="0" w:after="283"/>
              <w:jc w:val="both"/>
              <w:rPr/>
            </w:pPr>
            <w:r>
              <w:rPr/>
              <w:t>Total future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2,625,804</w:t>
            </w:r>
          </w:p>
        </w:tc>
        <w:tc>
          <w:tcPr>
            <w:tcW w:w="110" w:type="dxa"/>
            <w:tcBorders/>
            <w:shd w:fill="CCEEFF" w:val="clear"/>
            <w:vAlign w:val="center"/>
          </w:tcPr>
          <w:p>
            <w:pPr>
              <w:pStyle w:val="TableContents"/>
              <w:bidi w:val="0"/>
              <w:spacing w:before="0" w:after="283"/>
              <w:jc w:val="left"/>
              <w:rPr/>
            </w:pPr>
            <w:r>
              <w:rPr/>
              <w:t> </w:t>
            </w:r>
            <w:bookmarkStart w:id="529" w:name="xdx_40D_eus-gaap--LesseeOperatingLeaseLi"/>
            <w:bookmarkEnd w:id="529"/>
          </w:p>
        </w:tc>
      </w:tr>
      <w:tr>
        <w:trPr/>
        <w:tc>
          <w:tcPr>
            <w:tcW w:w="3320" w:type="dxa"/>
            <w:tcBorders/>
            <w:shd w:fill="FFFFFF" w:val="clear"/>
            <w:vAlign w:val="center"/>
          </w:tcPr>
          <w:p>
            <w:pPr>
              <w:pStyle w:val="TableContents"/>
              <w:bidi w:val="0"/>
              <w:spacing w:before="0" w:after="283"/>
              <w:jc w:val="both"/>
              <w:rPr/>
            </w:pPr>
            <w:r>
              <w:rPr/>
              <w:t>Less: Amount representing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(507,781</w:t>
            </w:r>
          </w:p>
        </w:tc>
        <w:tc>
          <w:tcPr>
            <w:tcW w:w="110" w:type="dxa"/>
            <w:tcBorders/>
            <w:shd w:fill="FFFFFF" w:val="clear"/>
            <w:vAlign w:val="center"/>
          </w:tcPr>
          <w:p>
            <w:pPr>
              <w:pStyle w:val="TableContents"/>
              <w:bidi w:val="0"/>
              <w:spacing w:before="0" w:after="283"/>
              <w:jc w:val="left"/>
              <w:rPr/>
            </w:pPr>
            <w:r>
              <w:rPr/>
              <w:t>)</w:t>
            </w:r>
            <w:bookmarkStart w:id="530" w:name="xdx_40C_eus-gaap--OperatingLeaseLiabilit"/>
            <w:bookmarkEnd w:id="530"/>
          </w:p>
        </w:tc>
      </w:tr>
      <w:tr>
        <w:trPr/>
        <w:tc>
          <w:tcPr>
            <w:tcW w:w="3320" w:type="dxa"/>
            <w:tcBorders/>
            <w:shd w:fill="CCEEFF" w:val="clear"/>
            <w:vAlign w:val="center"/>
          </w:tcPr>
          <w:p>
            <w:pPr>
              <w:pStyle w:val="TableContents"/>
              <w:bidi w:val="0"/>
              <w:spacing w:before="0" w:after="283"/>
              <w:jc w:val="both"/>
              <w:rPr/>
            </w:pPr>
            <w:r>
              <w:rPr/>
              <w:t>Present value of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2,118,023</w:t>
            </w:r>
          </w:p>
        </w:tc>
        <w:tc>
          <w:tcPr>
            <w:tcW w:w="110" w:type="dxa"/>
            <w:tcBorders/>
            <w:shd w:fill="CCEEFF" w:val="clear"/>
            <w:vAlign w:val="center"/>
          </w:tcPr>
          <w:p>
            <w:pPr>
              <w:pStyle w:val="TableContents"/>
              <w:bidi w:val="0"/>
              <w:spacing w:before="0" w:after="283"/>
              <w:jc w:val="left"/>
              <w:rPr/>
            </w:pPr>
            <w:r>
              <w:rPr/>
              <w:t> </w:t>
            </w:r>
            <w:bookmarkStart w:id="531" w:name="xdx_405_eus-gaap--OperatingLeaseLiabilit"/>
            <w:bookmarkEnd w:id="531"/>
          </w:p>
        </w:tc>
      </w:tr>
      <w:tr>
        <w:trPr/>
        <w:tc>
          <w:tcPr>
            <w:tcW w:w="3320" w:type="dxa"/>
            <w:tcBorders/>
            <w:shd w:fill="FFFFFF" w:val="clear"/>
            <w:vAlign w:val="center"/>
          </w:tcPr>
          <w:p>
            <w:pPr>
              <w:pStyle w:val="TableContents"/>
              <w:bidi w:val="0"/>
              <w:spacing w:before="0" w:after="283"/>
              <w:jc w:val="both"/>
              <w:rPr/>
            </w:pPr>
            <w:r>
              <w:rPr/>
              <w:t>Less: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(392,950</w:t>
            </w:r>
          </w:p>
        </w:tc>
        <w:tc>
          <w:tcPr>
            <w:tcW w:w="110" w:type="dxa"/>
            <w:tcBorders/>
            <w:shd w:fill="FFFFFF" w:val="clear"/>
            <w:vAlign w:val="center"/>
          </w:tcPr>
          <w:p>
            <w:pPr>
              <w:pStyle w:val="TableContents"/>
              <w:bidi w:val="0"/>
              <w:spacing w:before="0" w:after="283"/>
              <w:jc w:val="left"/>
              <w:rPr/>
            </w:pPr>
            <w:r>
              <w:rPr/>
              <w:t>)</w:t>
            </w:r>
            <w:bookmarkStart w:id="532" w:name="xdx_408_eus-gaap--OperatingLeaseLiabilit"/>
            <w:bookmarkEnd w:id="532"/>
          </w:p>
        </w:tc>
      </w:tr>
      <w:tr>
        <w:trPr/>
        <w:tc>
          <w:tcPr>
            <w:tcW w:w="3320" w:type="dxa"/>
            <w:tcBorders/>
            <w:shd w:fill="CCEEFF" w:val="clear"/>
            <w:vAlign w:val="center"/>
          </w:tcPr>
          <w:p>
            <w:pPr>
              <w:pStyle w:val="TableContents"/>
              <w:bidi w:val="0"/>
              <w:spacing w:before="0" w:after="283"/>
              <w:jc w:val="both"/>
              <w:rPr/>
            </w:pPr>
            <w:r>
              <w:rPr/>
              <w:t>Long-term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1,725,073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33" w:name="xdx_8AF_zJhdHJFOuKbj"/>
      <w:bookmarkEnd w:id="53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Scheduled amounts represent contractual base rent only and exclude variable NNN costs. Variable lease costs associated with the ground robot leases, if any, were not material for the year ended December 31, 2025. Based on current estimates, NNN costs are approximately $</w:t>
      </w:r>
      <w:bookmarkStart w:id="534" w:name="xdx_904_eus-gaap--OperatingLeaseCost_c20"/>
      <w:bookmarkEnd w:id="534"/>
      <w:r>
        <w:rPr>
          <w:rFonts w:ascii="Times New Roman;Times;Serif" w:hAnsi="Times New Roman;Times;Serif"/>
          <w:b w:val="false"/>
          <w:i w:val="false"/>
          <w:caps w:val="false"/>
          <w:smallCaps w:val="false"/>
          <w:sz w:val="20"/>
        </w:rPr>
        <w:t>9,885 per month and are expensed as incurred.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5" w:name="xdx_80B_eus-gaap--IntangibleAssetsDisclo"/>
      <w:bookmarkEnd w:id="535"/>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8 - </w:t>
      </w:r>
      <w:bookmarkStart w:id="536" w:name="xdx_823_zgqAOuIQNHWh"/>
      <w:bookmarkEnd w:id="536"/>
      <w:r>
        <w:rPr>
          <w:rFonts w:ascii="Times New Roman;Times;Serif" w:hAnsi="Times New Roman;Times;Serif"/>
          <w:b/>
          <w:i w:val="false"/>
          <w:caps w:val="false"/>
          <w:smallCaps w:val="false"/>
          <w:sz w:val="20"/>
        </w:rPr>
        <w:t>PATENTS,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capitalizes external costs, such as filing fees, registration documentation, and attorney fees associated with the application and issuance of patents. Amortization commences when the patent is granted and placed in service and is calculated on a straight-line basis over the remaining legal life of the patent. Costs associated with pending applications are capitalized but not amortized until issuance. Maintenance patent fees are paid to a government patent authority to maintain a granted patent in force. Some countries require the payment of maintenance fees for pending patent applications; these are expensed as incurred. Maintenance fees paid after a patent is granted are expensed, as these are considered ongoing costs to “maintain a patent.”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7" w:name="xdx_898_eus-gaap--ScheduleOfFiniteLivedI"/>
      <w:bookmarkEnd w:id="537"/>
      <w:r>
        <w:rPr>
          <w:rFonts w:ascii="Times New Roman;Times;Serif" w:hAnsi="Times New Roman;Times;Serif"/>
          <w:b w:val="false"/>
          <w:i w:val="false"/>
          <w:caps w:val="false"/>
          <w:smallCaps w:val="false"/>
          <w:sz w:val="20"/>
        </w:rPr>
        <w:t>Patents consist of the following: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38" w:name="xdx_8B5_zlnoUfBZQz53"/>
      <w:bookmarkEnd w:id="538"/>
      <w:r>
        <w:rPr>
          <w:rFonts w:ascii="Times New Roman;Times;Serif" w:hAnsi="Times New Roman;Times;Serif"/>
          <w:b w:val="false"/>
          <w:i w:val="false"/>
          <w:caps w:val="false"/>
          <w:smallCaps w:val="false"/>
          <w:sz w:val="20"/>
        </w:rPr>
        <w:t>SCHEDULE OF PATENTS </w:t>
      </w:r>
    </w:p>
    <w:tbl>
      <w:tblPr>
        <w:tblW w:w="5210" w:type="dxa"/>
        <w:jc w:val="left"/>
        <w:tblInd w:w="0" w:type="dxa"/>
        <w:tblLayout w:type="fixed"/>
        <w:tblCellMar>
          <w:top w:w="0" w:type="dxa"/>
          <w:left w:w="0" w:type="dxa"/>
          <w:bottom w:w="0" w:type="dxa"/>
          <w:right w:w="0" w:type="dxa"/>
        </w:tblCellMar>
      </w:tblPr>
      <w:tblGrid>
        <w:gridCol w:w="3005"/>
        <w:gridCol w:w="60"/>
        <w:gridCol w:w="140"/>
        <w:gridCol w:w="800"/>
        <w:gridCol w:w="95"/>
        <w:gridCol w:w="60"/>
        <w:gridCol w:w="140"/>
        <w:gridCol w:w="800"/>
        <w:gridCol w:w="110"/>
      </w:tblGrid>
      <w:tr>
        <w:trPr/>
        <w:tc>
          <w:tcPr>
            <w:tcW w:w="30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539" w:name="xdx_494_20251231_zmNxFyEIAUX9"/>
            <w:bookmarkEnd w:id="539"/>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0" w:name="xdx_496_20241231_zhbpqsWBdRpf"/>
            <w:bookmarkEnd w:id="540"/>
          </w:p>
        </w:tc>
        <w:tc>
          <w:tcPr>
            <w:tcW w:w="94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541" w:name="xdx_405_eus-gaap--FiniteLivedPatentsGros"/>
            <w:bookmarkEnd w:id="541"/>
          </w:p>
        </w:tc>
      </w:tr>
      <w:tr>
        <w:trPr/>
        <w:tc>
          <w:tcPr>
            <w:tcW w:w="3005" w:type="dxa"/>
            <w:tcBorders/>
            <w:shd w:fill="CCEEFF" w:val="clear"/>
            <w:vAlign w:val="center"/>
          </w:tcPr>
          <w:p>
            <w:pPr>
              <w:pStyle w:val="TableContents"/>
              <w:bidi w:val="0"/>
              <w:spacing w:before="0" w:after="283"/>
              <w:jc w:val="both"/>
              <w:rPr/>
            </w:pPr>
            <w:r>
              <w:rPr/>
              <w:t>Patents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274,700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274,700</w:t>
            </w:r>
          </w:p>
        </w:tc>
        <w:tc>
          <w:tcPr>
            <w:tcW w:w="110" w:type="dxa"/>
            <w:tcBorders/>
            <w:shd w:fill="CCEEFF" w:val="clear"/>
            <w:vAlign w:val="center"/>
          </w:tcPr>
          <w:p>
            <w:pPr>
              <w:pStyle w:val="TableContents"/>
              <w:bidi w:val="0"/>
              <w:spacing w:before="0" w:after="283"/>
              <w:jc w:val="left"/>
              <w:rPr/>
            </w:pPr>
            <w:r>
              <w:rPr/>
              <w:t> </w:t>
            </w:r>
            <w:bookmarkStart w:id="542" w:name="xdx_40C_eus-gaap--FiniteLivedIntangibleA"/>
            <w:bookmarkEnd w:id="542"/>
          </w:p>
        </w:tc>
      </w:tr>
      <w:tr>
        <w:trPr/>
        <w:tc>
          <w:tcPr>
            <w:tcW w:w="3005" w:type="dxa"/>
            <w:tcBorders/>
            <w:shd w:fill="FFFFFF" w:val="clear"/>
            <w:vAlign w:val="center"/>
          </w:tcPr>
          <w:p>
            <w:pPr>
              <w:pStyle w:val="TableContents"/>
              <w:bidi w:val="0"/>
              <w:spacing w:before="0" w:after="283"/>
              <w:jc w:val="both"/>
              <w:rPr/>
            </w:pPr>
            <w:r>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(2,603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(1,099</w:t>
            </w:r>
          </w:p>
        </w:tc>
        <w:tc>
          <w:tcPr>
            <w:tcW w:w="110" w:type="dxa"/>
            <w:tcBorders/>
            <w:shd w:fill="FFFFFF" w:val="clear"/>
            <w:vAlign w:val="center"/>
          </w:tcPr>
          <w:p>
            <w:pPr>
              <w:pStyle w:val="TableContents"/>
              <w:bidi w:val="0"/>
              <w:spacing w:before="0" w:after="283"/>
              <w:jc w:val="left"/>
              <w:rPr/>
            </w:pPr>
            <w:r>
              <w:rPr/>
              <w:t>)</w:t>
            </w:r>
            <w:bookmarkStart w:id="543" w:name="xdx_40A_eus-gaap--FiniteLivedIntangibleA"/>
            <w:bookmarkEnd w:id="543"/>
          </w:p>
        </w:tc>
      </w:tr>
      <w:tr>
        <w:trPr/>
        <w:tc>
          <w:tcPr>
            <w:tcW w:w="3005" w:type="dxa"/>
            <w:tcBorders/>
            <w:shd w:fill="CCEEFF" w:val="clear"/>
            <w:vAlign w:val="center"/>
          </w:tcPr>
          <w:p>
            <w:pPr>
              <w:pStyle w:val="TableContents"/>
              <w:bidi w:val="0"/>
              <w:spacing w:before="0" w:after="283"/>
              <w:jc w:val="both"/>
              <w:rPr/>
            </w:pPr>
            <w:r>
              <w:rPr/>
              <w:t>TOTAL PATENTS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272,097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273,601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44" w:name="xdx_8A0_zPnVPo1WmKj4"/>
      <w:bookmarkEnd w:id="54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eight of the Company’s international patent applications were issued and began being amortized over thirteen</w:t>
      </w:r>
      <w:bookmarkStart w:id="545" w:name="xdx_90D_eus-gaap--FiniteLivedIntangibleA"/>
      <w:bookmarkEnd w:id="545"/>
      <w:r>
        <w:rPr>
          <w:rFonts w:ascii="Times New Roman;Times;Serif" w:hAnsi="Times New Roman;Times;Serif"/>
          <w:b w:val="false"/>
          <w:i w:val="false"/>
          <w:caps w:val="false"/>
          <w:smallCaps w:val="false"/>
          <w:sz w:val="20"/>
        </w:rPr>
        <w:t xml:space="preserve">13 to </w:t>
      </w:r>
      <w:bookmarkStart w:id="546" w:name="xdx_90B_eus-gaap--FiniteLivedIntangibleA"/>
      <w:bookmarkEnd w:id="546"/>
      <w:r>
        <w:rPr>
          <w:rFonts w:ascii="Times New Roman;Times;Serif" w:hAnsi="Times New Roman;Times;Serif"/>
          <w:b w:val="false"/>
          <w:i w:val="false"/>
          <w:caps w:val="false"/>
          <w:smallCaps w:val="false"/>
          <w:sz w:val="20"/>
        </w:rPr>
        <w:t>sixteen years. As of December 31, 2024, five international patent applications were issued. During the year ended December 31, 2024, the Company filed applications for thirteen patents for total filing fees of $</w:t>
      </w:r>
      <w:bookmarkStart w:id="547" w:name="xdx_905_ecustom--PatentsFilingFees_c2025"/>
      <w:bookmarkEnd w:id="547"/>
      <w:r>
        <w:rPr>
          <w:rFonts w:ascii="Times New Roman;Times;Serif" w:hAnsi="Times New Roman;Times;Serif"/>
          <w:b w:val="false"/>
          <w:i w:val="false"/>
          <w:caps w:val="false"/>
          <w:smallCaps w:val="false"/>
          <w:sz w:val="20"/>
        </w:rPr>
        <w:t>76,500. The Company did not file for any patents for the year ended December 31, 2025. Patent assets were evaluated for impairment under ASC 360 and no impairment was identified. Amortization expense was $</w:t>
      </w:r>
      <w:bookmarkStart w:id="548" w:name="xdx_900_eus-gaap--AmortizationOfIntangib"/>
      <w:bookmarkEnd w:id="548"/>
      <w:r>
        <w:rPr>
          <w:rFonts w:ascii="Times New Roman;Times;Serif" w:hAnsi="Times New Roman;Times;Serif"/>
          <w:b w:val="false"/>
          <w:i w:val="false"/>
          <w:caps w:val="false"/>
          <w:smallCaps w:val="false"/>
          <w:sz w:val="20"/>
        </w:rPr>
        <w:t>1,504 and $</w:t>
      </w:r>
      <w:bookmarkStart w:id="549" w:name="xdx_909_eus-gaap--AmortizationOfIntangib"/>
      <w:bookmarkEnd w:id="549"/>
      <w:r>
        <w:rPr>
          <w:rFonts w:ascii="Times New Roman;Times;Serif" w:hAnsi="Times New Roman;Times;Serif"/>
          <w:b w:val="false"/>
          <w:i w:val="false"/>
          <w:caps w:val="false"/>
          <w:smallCaps w:val="false"/>
          <w:sz w:val="20"/>
        </w:rPr>
        <w:t>812 for the years ended December 31, 2025 and 2024, respectively. Estimated amortization expense on the existing intangible patent assets for the next five years is $</w:t>
      </w:r>
      <w:bookmarkStart w:id="550" w:name="xdx_903_eus-gaap--AmortizationOfIntangib"/>
      <w:bookmarkEnd w:id="550"/>
      <w:r>
        <w:rPr>
          <w:rFonts w:ascii="Times New Roman;Times;Serif" w:hAnsi="Times New Roman;Times;Serif"/>
          <w:b w:val="false"/>
          <w:i w:val="false"/>
          <w:caps w:val="false"/>
          <w:smallCaps w:val="false"/>
          <w:sz w:val="20"/>
        </w:rPr>
        <w:t>2,066 for 2026, $</w:t>
      </w:r>
      <w:bookmarkStart w:id="551" w:name="xdx_900_eus-gaap--AmortizationOfIntangib"/>
      <w:bookmarkEnd w:id="551"/>
      <w:r>
        <w:rPr>
          <w:rFonts w:ascii="Times New Roman;Times;Serif" w:hAnsi="Times New Roman;Times;Serif"/>
          <w:b w:val="false"/>
          <w:i w:val="false"/>
          <w:caps w:val="false"/>
          <w:smallCaps w:val="false"/>
          <w:sz w:val="20"/>
        </w:rPr>
        <w:t>2,066 for 2027, $</w:t>
      </w:r>
      <w:bookmarkStart w:id="552" w:name="xdx_909_eus-gaap--AmortizationOfIntangib"/>
      <w:bookmarkEnd w:id="552"/>
      <w:r>
        <w:rPr>
          <w:rFonts w:ascii="Times New Roman;Times;Serif" w:hAnsi="Times New Roman;Times;Serif"/>
          <w:b w:val="false"/>
          <w:i w:val="false"/>
          <w:caps w:val="false"/>
          <w:smallCaps w:val="false"/>
          <w:sz w:val="20"/>
        </w:rPr>
        <w:t>2,066 for 2028, $</w:t>
      </w:r>
      <w:bookmarkStart w:id="553" w:name="xdx_906_eus-gaap--AmortizationOfIntangib"/>
      <w:bookmarkEnd w:id="553"/>
      <w:r>
        <w:rPr>
          <w:rFonts w:ascii="Times New Roman;Times;Serif" w:hAnsi="Times New Roman;Times;Serif"/>
          <w:b w:val="false"/>
          <w:i w:val="false"/>
          <w:caps w:val="false"/>
          <w:smallCaps w:val="false"/>
          <w:sz w:val="20"/>
        </w:rPr>
        <w:t>2,066 for 2029, and $</w:t>
      </w:r>
      <w:bookmarkStart w:id="554" w:name="xdx_907_eus-gaap--AmortizationOfIntangib"/>
      <w:bookmarkEnd w:id="554"/>
      <w:r>
        <w:rPr>
          <w:rFonts w:ascii="Times New Roman;Times;Serif" w:hAnsi="Times New Roman;Times;Serif"/>
          <w:b w:val="false"/>
          <w:i w:val="false"/>
          <w:caps w:val="false"/>
          <w:smallCaps w:val="false"/>
          <w:sz w:val="20"/>
        </w:rPr>
        <w:t>2,066 for 2030.</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5" w:name="xdx_80B_ecustom--DeferredOfferingCostsTe"/>
      <w:bookmarkEnd w:id="555"/>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9 - </w:t>
      </w:r>
      <w:bookmarkStart w:id="556" w:name="xdx_825_zx3hVe23BAWl"/>
      <w:bookmarkEnd w:id="556"/>
      <w:r>
        <w:rPr>
          <w:rFonts w:ascii="Times New Roman;Times;Serif" w:hAnsi="Times New Roman;Times;Serif"/>
          <w:b/>
          <w:i w:val="false"/>
          <w:caps w:val="false"/>
          <w:smallCaps w:val="false"/>
          <w:sz w:val="20"/>
        </w:rPr>
        <w:t>DEFERRED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offering costs in accordance with ASC 340-10-S99-1, </w:t>
      </w:r>
      <w:r>
        <w:rPr>
          <w:rFonts w:ascii="Times New Roman;Times;Serif" w:hAnsi="Times New Roman;Times;Serif"/>
          <w:b w:val="false"/>
          <w:i/>
          <w:caps w:val="false"/>
          <w:smallCaps w:val="false"/>
          <w:sz w:val="20"/>
        </w:rPr>
        <w:t>Other Assets and Deferred Costs</w:t>
      </w:r>
      <w:r>
        <w:rPr>
          <w:rFonts w:ascii="Times New Roman;Times;Serif" w:hAnsi="Times New Roman;Times;Serif"/>
          <w:b w:val="false"/>
          <w:i w:val="false"/>
          <w:caps w:val="false"/>
          <w:smallCaps w:val="false"/>
          <w:sz w:val="20"/>
        </w:rPr>
        <w:t xml:space="preserve"> and SAB Topic 5A, </w:t>
      </w:r>
      <w:r>
        <w:rPr>
          <w:rFonts w:ascii="Times New Roman;Times;Serif" w:hAnsi="Times New Roman;Times;Serif"/>
          <w:b w:val="false"/>
          <w:i/>
          <w:caps w:val="false"/>
          <w:smallCaps w:val="false"/>
          <w:sz w:val="20"/>
        </w:rPr>
        <w:t>Expenses of Offering</w:t>
      </w:r>
      <w:r>
        <w:rPr>
          <w:rFonts w:ascii="Times New Roman;Times;Serif" w:hAnsi="Times New Roman;Times;Serif"/>
          <w:b w:val="false"/>
          <w:i w:val="false"/>
          <w:caps w:val="false"/>
          <w:smallCaps w:val="false"/>
          <w:sz w:val="20"/>
        </w:rPr>
        <w:t>. Costs that are directly attributable to proposed or actual equity offerings are capitalized as deferred offering costs until the offering is completed. Deferred offering costs consist of underwriting, legal, accounting, and other expenses. Upon completion of an equity offering, including all pre-paid advances under the Securities Purchase Agreement discussed in NOTE 10, such costs are recorded as a reduction of the related proceeds and reflected as a reduction of additional paid-in capital. The deferred offering costs related to the SPA are recorded pro rata based on the pre-paid advance compared to the maximum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raised gross proceeds of $</w:t>
      </w:r>
      <w:bookmarkStart w:id="557" w:name="xdx_90A_eus-gaap--ProceedsFromIssuanceOf"/>
      <w:bookmarkEnd w:id="557"/>
      <w:r>
        <w:rPr>
          <w:rFonts w:ascii="Times New Roman;Times;Serif" w:hAnsi="Times New Roman;Times;Serif"/>
          <w:b w:val="false"/>
          <w:i w:val="false"/>
          <w:caps w:val="false"/>
          <w:smallCaps w:val="false"/>
          <w:sz w:val="20"/>
        </w:rPr>
        <w:t>12,277,007, consisting of $</w:t>
      </w:r>
      <w:bookmarkStart w:id="558" w:name="xdx_909_eus-gaap--DebtInstrumentFaceAmou"/>
      <w:bookmarkEnd w:id="558"/>
      <w:r>
        <w:rPr>
          <w:rFonts w:ascii="Times New Roman;Times;Serif" w:hAnsi="Times New Roman;Times;Serif"/>
          <w:b w:val="false"/>
          <w:i w:val="false"/>
          <w:caps w:val="false"/>
          <w:smallCaps w:val="false"/>
          <w:sz w:val="20"/>
        </w:rPr>
        <w:t>11,890,000 under pre-paid purchase agreements pursuant to the public offering and $</w:t>
      </w:r>
      <w:bookmarkStart w:id="559" w:name="xdx_909_eus-gaap--OtherDeferredCostsNet_"/>
      <w:bookmarkEnd w:id="559"/>
      <w:r>
        <w:rPr>
          <w:rFonts w:ascii="Times New Roman;Times;Serif" w:hAnsi="Times New Roman;Times;Serif"/>
          <w:b w:val="false"/>
          <w:i w:val="false"/>
          <w:caps w:val="false"/>
          <w:smallCaps w:val="false"/>
          <w:sz w:val="20"/>
        </w:rPr>
        <w:t>387,007 through a crowdfunding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0" w:name="xdx_893_ecustom--ScheduleOfDeferredOffer"/>
      <w:bookmarkEnd w:id="560"/>
      <w:r>
        <w:rPr>
          <w:rFonts w:ascii="Times New Roman;Times;Serif" w:hAnsi="Times New Roman;Times;Serif"/>
          <w:b w:val="false"/>
          <w:i w:val="false"/>
          <w:caps w:val="false"/>
          <w:smallCaps w:val="false"/>
          <w:sz w:val="20"/>
        </w:rPr>
        <w:t>The following summarizes the deferred offering balances as of December 31, 2025 and 2024 and changes during the years then ending: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1" w:name="xdx_8BE_zgg0YTyY9sU8"/>
      <w:bookmarkEnd w:id="561"/>
      <w:r>
        <w:rPr>
          <w:rFonts w:ascii="Times New Roman;Times;Serif" w:hAnsi="Times New Roman;Times;Serif"/>
          <w:b w:val="false"/>
          <w:i w:val="false"/>
          <w:caps w:val="false"/>
          <w:smallCaps w:val="false"/>
          <w:sz w:val="20"/>
        </w:rPr>
        <w:t>SCHEDULE OF DEFERRED OFFERING COSTS  </w:t>
      </w:r>
    </w:p>
    <w:tbl>
      <w:tblPr>
        <w:tblW w:w="6680" w:type="dxa"/>
        <w:jc w:val="left"/>
        <w:tblInd w:w="0" w:type="dxa"/>
        <w:tblLayout w:type="fixed"/>
        <w:tblCellMar>
          <w:top w:w="0" w:type="dxa"/>
          <w:left w:w="0" w:type="dxa"/>
          <w:bottom w:w="0" w:type="dxa"/>
          <w:right w:w="0" w:type="dxa"/>
        </w:tblCellMar>
      </w:tblPr>
      <w:tblGrid>
        <w:gridCol w:w="4145"/>
        <w:gridCol w:w="60"/>
        <w:gridCol w:w="140"/>
        <w:gridCol w:w="1055"/>
        <w:gridCol w:w="95"/>
        <w:gridCol w:w="60"/>
        <w:gridCol w:w="140"/>
        <w:gridCol w:w="875"/>
        <w:gridCol w:w="110"/>
      </w:tblGrid>
      <w:tr>
        <w:trPr/>
        <w:tc>
          <w:tcPr>
            <w:tcW w:w="41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62" w:name="xdx_989_ecustom--DeferredOfferingCostsCu"/>
            <w:bookmarkEnd w:id="562"/>
          </w:p>
        </w:tc>
        <w:tc>
          <w:tcPr>
            <w:tcW w:w="1055" w:type="dxa"/>
            <w:tcBorders/>
            <w:shd w:fill="CCEEFF" w:val="clear"/>
            <w:vAlign w:val="center"/>
          </w:tcPr>
          <w:p>
            <w:pPr>
              <w:pStyle w:val="TableContents"/>
              <w:bidi w:val="0"/>
              <w:spacing w:before="0" w:after="283"/>
              <w:jc w:val="right"/>
              <w:rPr/>
            </w:pPr>
            <w:r>
              <w:rPr/>
              <w:t>427,898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63" w:name="xdx_98E_ecustom--DeferredOfferingCostsCu"/>
            <w:bookmarkEnd w:id="563"/>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both"/>
              <w:rPr/>
            </w:pPr>
            <w:r>
              <w:rPr/>
              <w:t>Costs related to public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64" w:name="xdx_984_ecustom--DeferredOfferingCostsCo"/>
            <w:bookmarkEnd w:id="564"/>
          </w:p>
        </w:tc>
        <w:tc>
          <w:tcPr>
            <w:tcW w:w="1055" w:type="dxa"/>
            <w:tcBorders/>
            <w:shd w:fill="FFFFFF" w:val="clear"/>
            <w:vAlign w:val="center"/>
          </w:tcPr>
          <w:p>
            <w:pPr>
              <w:pStyle w:val="TableContents"/>
              <w:bidi w:val="0"/>
              <w:spacing w:before="0" w:after="283"/>
              <w:jc w:val="right"/>
              <w:rPr/>
            </w:pPr>
            <w:r>
              <w:rPr/>
              <w:t>7,616,439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65" w:name="xdx_98F_ecustom--DeferredOfferingCostsCo"/>
            <w:bookmarkEnd w:id="565"/>
          </w:p>
        </w:tc>
        <w:tc>
          <w:tcPr>
            <w:tcW w:w="875" w:type="dxa"/>
            <w:tcBorders/>
            <w:shd w:fill="FFFFFF" w:val="clear"/>
            <w:vAlign w:val="center"/>
          </w:tcPr>
          <w:p>
            <w:pPr>
              <w:pStyle w:val="TableContents"/>
              <w:bidi w:val="0"/>
              <w:spacing w:before="0" w:after="283"/>
              <w:jc w:val="right"/>
              <w:rPr/>
            </w:pPr>
            <w:r>
              <w:rPr/>
              <w:t>427,898</w:t>
            </w:r>
          </w:p>
        </w:tc>
        <w:tc>
          <w:tcPr>
            <w:tcW w:w="11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both"/>
              <w:rPr/>
            </w:pPr>
            <w:r>
              <w:rPr/>
              <w:t>Costs related to crowdfunding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66" w:name="xdx_986_ecustom--DeferredOfferingCostsCo"/>
            <w:bookmarkEnd w:id="566"/>
          </w:p>
        </w:tc>
        <w:tc>
          <w:tcPr>
            <w:tcW w:w="1055" w:type="dxa"/>
            <w:tcBorders/>
            <w:shd w:fill="CCEEFF" w:val="clear"/>
            <w:vAlign w:val="center"/>
          </w:tcPr>
          <w:p>
            <w:pPr>
              <w:pStyle w:val="TableContents"/>
              <w:bidi w:val="0"/>
              <w:spacing w:before="0" w:after="283"/>
              <w:jc w:val="right"/>
              <w:rPr/>
            </w:pPr>
            <w:r>
              <w:rPr/>
              <w:t>91,543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67" w:name="xdx_987_ecustom--DeferredOfferingCostsCo"/>
            <w:bookmarkEnd w:id="567"/>
          </w:p>
        </w:tc>
        <w:tc>
          <w:tcPr>
            <w:tcW w:w="875" w:type="dxa"/>
            <w:tcBorders/>
            <w:shd w:fill="CCEEFF" w:val="clear"/>
            <w:vAlign w:val="center"/>
          </w:tcPr>
          <w:p>
            <w:pPr>
              <w:pStyle w:val="TableContents"/>
              <w:bidi w:val="0"/>
              <w:spacing w:before="0" w:after="283"/>
              <w:jc w:val="right"/>
              <w:rPr/>
            </w:pPr>
            <w:r>
              <w:rPr/>
              <w:t>229,994</w:t>
            </w:r>
          </w:p>
        </w:tc>
        <w:tc>
          <w:tcPr>
            <w:tcW w:w="11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283"/>
              <w:jc w:val="both"/>
              <w:rPr/>
            </w:pPr>
            <w:r>
              <w:rPr/>
              <w:t>Reclassification to 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8" w:name="xdx_984_ecustom--DeferredOfferingCostsRe"/>
            <w:bookmarkEnd w:id="568"/>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(2,485,695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9" w:name="xdx_98F_ecustom--DeferredOfferingCostsRe"/>
            <w:bookmarkEnd w:id="569"/>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(229,994</w:t>
            </w:r>
          </w:p>
        </w:tc>
        <w:tc>
          <w:tcPr>
            <w:tcW w:w="110" w:type="dxa"/>
            <w:tcBorders/>
            <w:shd w:fill="FFFFFF" w:val="clear"/>
            <w:vAlign w:val="center"/>
          </w:tcPr>
          <w:p>
            <w:pPr>
              <w:pStyle w:val="TableContents"/>
              <w:bidi w:val="0"/>
              <w:spacing w:before="0" w:after="283"/>
              <w:jc w:val="left"/>
              <w:rPr/>
            </w:pPr>
            <w:r>
              <w:rPr/>
              <w:t>)</w:t>
            </w:r>
          </w:p>
        </w:tc>
      </w:tr>
      <w:tr>
        <w:trPr/>
        <w:tc>
          <w:tcPr>
            <w:tcW w:w="4145" w:type="dxa"/>
            <w:tcBorders/>
            <w:shd w:fill="CCEEFF" w:val="clear"/>
            <w:vAlign w:val="center"/>
          </w:tcPr>
          <w:p>
            <w:pPr>
              <w:pStyle w:val="TableContents"/>
              <w:bidi w:val="0"/>
              <w:spacing w:before="0" w:after="283"/>
              <w:jc w:val="both"/>
              <w:rPr/>
            </w:pPr>
            <w:r>
              <w:rPr/>
              <w:t>OUTSTANDING BALANCE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70" w:name="xdx_981_ecustom--DeferredOfferingCostsCu"/>
            <w:bookmarkEnd w:id="570"/>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5,650,185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71" w:name="xdx_98B_ecustom--DeferredOfferingCostsCu"/>
            <w:bookmarkEnd w:id="571"/>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427,898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2" w:name="xdx_8AF_zmtD1Fyviofg"/>
      <w:bookmarkEnd w:id="57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public offering registration statement was declared effective, and the stock began trading on May 15, 2025. At December 31, 2024, the Company had deferred offering costs of $</w:t>
      </w:r>
      <w:bookmarkStart w:id="573" w:name="xdx_908_eus-gaap--DeferredOfferingCosts_"/>
      <w:bookmarkEnd w:id="573"/>
      <w:r>
        <w:rPr>
          <w:rFonts w:ascii="Times New Roman;Times;Serif" w:hAnsi="Times New Roman;Times;Serif"/>
          <w:b w:val="false"/>
          <w:i w:val="false"/>
          <w:caps w:val="false"/>
          <w:smallCaps w:val="false"/>
          <w:sz w:val="20"/>
        </w:rPr>
        <w:t xml:space="preserve">427,898 consisting of filing and legal costs related to the transaction. On January 2, 2025, the Company issued </w:t>
      </w:r>
      <w:bookmarkStart w:id="574" w:name="xdx_902_eus-gaap--StockIssuedDuringPerio"/>
      <w:bookmarkEnd w:id="574"/>
      <w:r>
        <w:rPr>
          <w:rFonts w:ascii="Times New Roman;Times;Serif" w:hAnsi="Times New Roman;Times;Serif"/>
          <w:b w:val="false"/>
          <w:i w:val="false"/>
          <w:caps w:val="false"/>
          <w:smallCaps w:val="false"/>
          <w:sz w:val="20"/>
        </w:rPr>
        <w:t>532,913 shares of common stock in exchange for investment banking advisory services with a fair value of $</w:t>
      </w:r>
      <w:bookmarkStart w:id="575" w:name="xdx_907_eus-gaap--StockIssuedDuringPerio"/>
      <w:bookmarkEnd w:id="575"/>
      <w:r>
        <w:rPr>
          <w:rFonts w:ascii="Times New Roman;Times;Serif" w:hAnsi="Times New Roman;Times;Serif"/>
          <w:b w:val="false"/>
          <w:i w:val="false"/>
          <w:caps w:val="false"/>
          <w:smallCaps w:val="false"/>
          <w:sz w:val="20"/>
        </w:rPr>
        <w:t>6,927,869, which was recorded as deferred offering costs. In May 2025, the Company recorded an additional $</w:t>
      </w:r>
      <w:bookmarkStart w:id="576" w:name="xdx_909_eus-gaap--StockIssuedDuringPerio"/>
      <w:bookmarkEnd w:id="576"/>
      <w:r>
        <w:rPr>
          <w:rFonts w:ascii="Times New Roman;Times;Serif" w:hAnsi="Times New Roman;Times;Serif"/>
          <w:b w:val="false"/>
          <w:i w:val="false"/>
          <w:caps w:val="false"/>
          <w:smallCaps w:val="false"/>
          <w:sz w:val="20"/>
        </w:rPr>
        <w:t>688,570 for filing and legal fees related to the transaction. Of the deferred offering costs incurred, $</w:t>
      </w:r>
      <w:bookmarkStart w:id="577" w:name="xdx_900_eus-gaap--DeferredCostsCurrentAn"/>
      <w:bookmarkEnd w:id="577"/>
      <w:r>
        <w:rPr>
          <w:rFonts w:ascii="Times New Roman;Times;Serif" w:hAnsi="Times New Roman;Times;Serif"/>
          <w:b w:val="false"/>
          <w:i w:val="false"/>
          <w:caps w:val="false"/>
          <w:smallCaps w:val="false"/>
          <w:sz w:val="20"/>
        </w:rPr>
        <w:t>2,394,152 was recorded as a reduction of proceeds associated with the pre-paid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 associated with the crowdfunding offering of $</w:t>
      </w:r>
      <w:bookmarkStart w:id="578" w:name="xdx_90F_ecustom--DeferredOfferingCostsCo"/>
      <w:bookmarkEnd w:id="578"/>
      <w:r>
        <w:rPr>
          <w:rFonts w:ascii="Times New Roman;Times;Serif" w:hAnsi="Times New Roman;Times;Serif"/>
          <w:b w:val="false"/>
          <w:i w:val="false"/>
          <w:caps w:val="false"/>
          <w:smallCaps w:val="false"/>
          <w:sz w:val="20"/>
        </w:rPr>
        <w:t>91,543 and $</w:t>
      </w:r>
      <w:bookmarkStart w:id="579" w:name="xdx_903_ecustom--DeferredOfferingCostsCo"/>
      <w:bookmarkEnd w:id="579"/>
      <w:r>
        <w:rPr>
          <w:rFonts w:ascii="Times New Roman;Times;Serif" w:hAnsi="Times New Roman;Times;Serif"/>
          <w:b w:val="false"/>
          <w:i w:val="false"/>
          <w:caps w:val="false"/>
          <w:smallCaps w:val="false"/>
          <w:sz w:val="20"/>
        </w:rPr>
        <w:t>229,994 were capitalized and immediately reclassified to additional paid-in capital upon completion of the crowdfunding offerings during the year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deferred offering costs will be recorded as a reduction of additional paid-in capital upon completion of the related pre-paid advances under the Securities Purchase Agreement discussed in NOTE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0" w:name="xdx_803_ecustom--ConvertibleNotePayableT"/>
      <w:bookmarkEnd w:id="580"/>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10 - </w:t>
      </w:r>
      <w:bookmarkStart w:id="581" w:name="xdx_824_zBYKPaRcakfd"/>
      <w:bookmarkEnd w:id="581"/>
      <w:r>
        <w:rPr>
          <w:rFonts w:ascii="Times New Roman;Times;Serif" w:hAnsi="Times New Roman;Times;Serif"/>
          <w:b/>
          <w:i w:val="false"/>
          <w:caps w:val="false"/>
          <w:smallCaps w:val="false"/>
          <w:sz w:val="20"/>
        </w:rPr>
        <w:t>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Overview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2025, the Company entered into a Securities Purchase Agreement with Streeterville Capital, LLC (“Streeterville”). The SPA closed on May 15, 2025, upon satisfaction of all condition precedents. The SPA provides for a maximum facility of $</w:t>
      </w:r>
      <w:bookmarkStart w:id="582" w:name="xdx_904_eus-gaap--ConvertibleNotesPayabl"/>
      <w:bookmarkEnd w:id="582"/>
      <w:r>
        <w:rPr>
          <w:rFonts w:ascii="Times New Roman;Times;Serif" w:hAnsi="Times New Roman;Times;Serif"/>
          <w:b w:val="false"/>
          <w:i w:val="false"/>
          <w:caps w:val="false"/>
          <w:smallCaps w:val="false"/>
          <w:sz w:val="20"/>
        </w:rPr>
        <w:t>40,000,000, under which three draws were completed during 2025, resulting in aggregate cash proceeds of $</w:t>
      </w:r>
      <w:bookmarkStart w:id="583" w:name="xdx_90B_eus-gaap--ProceedsFromIssuanceOf"/>
      <w:bookmarkEnd w:id="583"/>
      <w:r>
        <w:rPr>
          <w:rFonts w:ascii="Times New Roman;Times;Serif" w:hAnsi="Times New Roman;Times;Serif"/>
          <w:b w:val="false"/>
          <w:i w:val="false"/>
          <w:caps w:val="false"/>
          <w:smallCaps w:val="false"/>
          <w:sz w:val="20"/>
        </w:rPr>
        <w:t>11,000,000 and the issuance of convertible notes with an aggregate face amount of $</w:t>
      </w:r>
      <w:bookmarkStart w:id="584" w:name="xdx_900_eus-gaap--DebtInstrumentFaceAmou"/>
      <w:bookmarkEnd w:id="584"/>
      <w:r>
        <w:rPr>
          <w:rFonts w:ascii="Times New Roman;Times;Serif" w:hAnsi="Times New Roman;Times;Serif"/>
          <w:b w:val="false"/>
          <w:i w:val="false"/>
          <w:caps w:val="false"/>
          <w:smallCaps w:val="false"/>
          <w:sz w:val="20"/>
        </w:rPr>
        <w:t>11,890,000. As of December 31, 2025, the remaining undrawn capacity under the facility is $</w:t>
      </w:r>
      <w:bookmarkStart w:id="585" w:name="xdx_908_ecustom--RemainingUndrawnCapacit"/>
      <w:bookmarkEnd w:id="585"/>
      <w:r>
        <w:rPr>
          <w:rFonts w:ascii="Times New Roman;Times;Serif" w:hAnsi="Times New Roman;Times;Serif"/>
          <w:b w:val="false"/>
          <w:i w:val="false"/>
          <w:caps w:val="false"/>
          <w:smallCaps w:val="false"/>
          <w:sz w:val="20"/>
        </w:rPr>
        <w:t>29,000,000; however, any future draws remain subject to the satisfaction of conditions precedent set forth in the SPA, and no assurance can be given that additional draws will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notes issued under the SPA bear interest at a rate of </w:t>
      </w:r>
      <w:bookmarkStart w:id="586" w:name="xdx_900_eus-gaap--DebtInstrumentInterest"/>
      <w:bookmarkEnd w:id="586"/>
      <w:r>
        <w:rPr>
          <w:rFonts w:ascii="Times New Roman;Times;Serif" w:hAnsi="Times New Roman;Times;Serif"/>
          <w:b w:val="false"/>
          <w:i w:val="false"/>
          <w:caps w:val="false"/>
          <w:smallCaps w:val="false"/>
          <w:sz w:val="20"/>
        </w:rPr>
        <w:t>8% per annum and have no stated maturity date. In the event of a default under the SPA, the Company will be required to make monthly cash payments until the default is cured or the notes are repaid in full.</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Pre-Delivery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SPA, Streeterville purchased </w:t>
      </w:r>
      <w:bookmarkStart w:id="587" w:name="xdx_90E_eus-gaap--StockIssuedDuringPerio"/>
      <w:bookmarkEnd w:id="587"/>
      <w:r>
        <w:rPr>
          <w:rFonts w:ascii="Times New Roman;Times;Serif" w:hAnsi="Times New Roman;Times;Serif"/>
          <w:b w:val="false"/>
          <w:i w:val="false"/>
          <w:caps w:val="false"/>
          <w:smallCaps w:val="false"/>
          <w:sz w:val="20"/>
        </w:rPr>
        <w:t>2,937,500 shares of common stock (the “Pre-Delivery Shares”) at par value ($</w:t>
      </w:r>
      <w:bookmarkStart w:id="588" w:name="xdx_900_eus-gaap--SharesIssuedPricePerSh"/>
      <w:bookmarkEnd w:id="588"/>
      <w:r>
        <w:rPr>
          <w:rFonts w:ascii="Times New Roman;Times;Serif" w:hAnsi="Times New Roman;Times;Serif"/>
          <w:b w:val="false"/>
          <w:i w:val="false"/>
          <w:caps w:val="false"/>
          <w:smallCaps w:val="false"/>
          <w:sz w:val="20"/>
        </w:rPr>
        <w:t>0.0002 per share) in exchange for aggregate consideration of $</w:t>
      </w:r>
      <w:bookmarkStart w:id="589" w:name="xdx_901_eus-gaap--StockIssuedDuringPerio"/>
      <w:bookmarkEnd w:id="589"/>
      <w:r>
        <w:rPr>
          <w:rFonts w:ascii="Times New Roman;Times;Serif" w:hAnsi="Times New Roman;Times;Serif"/>
          <w:b w:val="false"/>
          <w:i w:val="false"/>
          <w:caps w:val="false"/>
          <w:smallCaps w:val="false"/>
          <w:sz w:val="20"/>
        </w:rPr>
        <w:t>588. The Pre-Delivery Shares were issued as a condition of and concurrent with the closing of the SPA on May 15, 2025, and are contractually linked to the financing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the Pre-Delivery Shares under ASC 480-10-25 and ASC 505-10-45 and concluded that equity classification is appropriate on the following basis: (i) the shares represent issued and legally outstanding common stock with full voting rights; (ii) the Company holds a right, but not an obligation, to repurchase the Pre-Delivery Shares at par value, which is a unilateral call option and does not, by itself, require liability classification; and (iii) the shares are not mandatorily redeemable and do not embody an unconditional obligation requiring the Company to transfer assets. Accordingly, the Pre-Delivery Shares are presented within stockholders’ equity and are included as issued and outstanding shares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Pre-Delivery Shares are included in the weighted-average shares outstanding used in the computation of basic and diluted loss per share beginning on May 15, 2025, the date the SPA closed and the shares were issued, consistent with ASC 260-10-45. The Company considered whether the nominal issuance price and the Company’s repurchase right created any basis to exclude these shares from EPS and concluded that, because the shares are legally issued and outstanding with no outstanding contingency that would require their return, the Company’s inclusion is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Conversion Feature and Bifurcation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ASC 815-40-15 and ASC 815-15-25, a conversion feature that fails the indexed-to-own-stock test must be bifurcated from the host instrument and accounted for separately as a derivative liability, measured at fair value at each reporting date, with changes in fair value recognized in earnings. Accordingly, the Company has bifurcated the conversion feature as a derivative liability at the inception of each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Note Issuance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three convertible notes issued in 2025 were bifurcated as follows. The initial host carrying value for each note represents the cash proceeds received, reduced by (i) the original issue discount (“OID”) of approximately </w:t>
      </w:r>
      <w:bookmarkStart w:id="590" w:name="xdx_90E_ecustom--OriginalIssueDiscountRa"/>
      <w:bookmarkEnd w:id="590"/>
      <w:r>
        <w:rPr>
          <w:rFonts w:ascii="Times New Roman;Times;Serif" w:hAnsi="Times New Roman;Times;Serif"/>
          <w:b w:val="false"/>
          <w:i w:val="false"/>
          <w:caps w:val="false"/>
          <w:smallCaps w:val="false"/>
          <w:sz w:val="20"/>
        </w:rPr>
        <w:t xml:space="preserve">8% of the principal proceeds, (ii) the fair value of the bifurcated derivative liabilities at issuance, (iii) the portion of debt issuance costs of </w:t>
      </w:r>
      <w:bookmarkStart w:id="591" w:name="xdx_90C_ecustom--DebtIssuanceCostsRate_d"/>
      <w:bookmarkEnd w:id="591"/>
      <w:r>
        <w:rPr>
          <w:rFonts w:ascii="Times New Roman;Times;Serif" w:hAnsi="Times New Roman;Times;Serif"/>
          <w:b w:val="false"/>
          <w:i w:val="false"/>
          <w:caps w:val="false"/>
          <w:smallCaps w:val="false"/>
          <w:sz w:val="20"/>
        </w:rPr>
        <w:t xml:space="preserve">6% that are allocated to the host debt instrument, as described below, and (iv) the fair value of </w:t>
      </w:r>
      <w:bookmarkStart w:id="592" w:name="xdx_908_eus-gaap--DebtConversionConverte"/>
      <w:bookmarkEnd w:id="592"/>
      <w:r>
        <w:rPr>
          <w:rFonts w:ascii="Times New Roman;Times;Serif" w:hAnsi="Times New Roman;Times;Serif"/>
          <w:b w:val="false"/>
          <w:i w:val="false"/>
          <w:caps w:val="false"/>
          <w:smallCaps w:val="false"/>
          <w:sz w:val="20"/>
        </w:rPr>
        <w:t>62,500 shares of common stock issued by the company as a commitment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the notes, the Company incurred debt issuance costs equal to 6% of cash proceeds received, totaling $</w:t>
      </w:r>
      <w:bookmarkStart w:id="593" w:name="xdx_909_eus-gaap--ProceedsFromNotesPayab"/>
      <w:bookmarkEnd w:id="593"/>
      <w:r>
        <w:rPr>
          <w:rFonts w:ascii="Times New Roman;Times;Serif" w:hAnsi="Times New Roman;Times;Serif"/>
          <w:b w:val="false"/>
          <w:i w:val="false"/>
          <w:caps w:val="false"/>
          <w:smallCaps w:val="false"/>
          <w:sz w:val="20"/>
        </w:rPr>
        <w:t>660,000 ($</w:t>
      </w:r>
      <w:bookmarkStart w:id="594" w:name="xdx_90D_eus-gaap--ProceedsFromNotesPayab"/>
      <w:bookmarkEnd w:id="594"/>
      <w:r>
        <w:rPr>
          <w:rFonts w:ascii="Times New Roman;Times;Serif" w:hAnsi="Times New Roman;Times;Serif"/>
          <w:b w:val="false"/>
          <w:i w:val="false"/>
          <w:caps w:val="false"/>
          <w:smallCaps w:val="false"/>
          <w:sz w:val="20"/>
        </w:rPr>
        <w:t>240,000 for Convertible Note 1, $</w:t>
      </w:r>
      <w:bookmarkStart w:id="595" w:name="xdx_90E_eus-gaap--ProceedsFromNotesPayab"/>
      <w:bookmarkEnd w:id="595"/>
      <w:r>
        <w:rPr>
          <w:rFonts w:ascii="Times New Roman;Times;Serif" w:hAnsi="Times New Roman;Times;Serif"/>
          <w:b w:val="false"/>
          <w:i w:val="false"/>
          <w:caps w:val="false"/>
          <w:smallCaps w:val="false"/>
          <w:sz w:val="20"/>
        </w:rPr>
        <w:t>240,000 for Convertible Note 2, and $</w:t>
      </w:r>
      <w:bookmarkStart w:id="596" w:name="xdx_90A_eus-gaap--ProceedsFromNotesPayab"/>
      <w:bookmarkEnd w:id="596"/>
      <w:r>
        <w:rPr>
          <w:rFonts w:ascii="Times New Roman;Times;Serif" w:hAnsi="Times New Roman;Times;Serif"/>
          <w:b w:val="false"/>
          <w:i w:val="false"/>
          <w:caps w:val="false"/>
          <w:smallCaps w:val="false"/>
          <w:sz w:val="20"/>
        </w:rPr>
        <w:t>180,000 for Convertible Note 3). In accordance with ASC 835.30 and ASC 815, the Company allocates debt issuance costs between the host debt instrument and the bifurcated derivative liability based on their relative fair values at the date of issuance. Specifically, the fair value of the bifurcated derivative liability as a percentage of total proceeds was used to determine the portion of issuance costs attributable to the derivative component. Accordingly, $</w:t>
      </w:r>
      <w:bookmarkStart w:id="597" w:name="xdx_901_ecustom--DerivativeComponentsAnd"/>
      <w:bookmarkEnd w:id="597"/>
      <w:r>
        <w:rPr>
          <w:rFonts w:ascii="Times New Roman;Times;Serif" w:hAnsi="Times New Roman;Times;Serif"/>
          <w:b w:val="false"/>
          <w:i w:val="false"/>
          <w:caps w:val="false"/>
          <w:smallCaps w:val="false"/>
          <w:sz w:val="20"/>
        </w:rPr>
        <w:t>311,613 of the total $</w:t>
      </w:r>
      <w:bookmarkStart w:id="598" w:name="xdx_909_eus-gaap--ProceedsFromNotesPayab"/>
      <w:bookmarkEnd w:id="598"/>
      <w:r>
        <w:rPr>
          <w:rFonts w:ascii="Times New Roman;Times;Serif" w:hAnsi="Times New Roman;Times;Serif"/>
          <w:b w:val="false"/>
          <w:i w:val="false"/>
          <w:caps w:val="false"/>
          <w:smallCaps w:val="false"/>
          <w:sz w:val="20"/>
        </w:rPr>
        <w:t>660,000 in issuance costs was allocated to the derivative components and expensed immediately within the statement of operations, as such costs cannot be deferred against a liability measured at fair value through earnings under ASC 815-15. The remaining $</w:t>
      </w:r>
      <w:bookmarkStart w:id="599" w:name="xdx_905_ecustom--Contraliability_c202501"/>
      <w:bookmarkEnd w:id="599"/>
      <w:r>
        <w:rPr>
          <w:rFonts w:ascii="Times New Roman;Times;Serif" w:hAnsi="Times New Roman;Times;Serif"/>
          <w:b w:val="false"/>
          <w:i w:val="false"/>
          <w:caps w:val="false"/>
          <w:smallCaps w:val="false"/>
          <w:sz w:val="20"/>
        </w:rPr>
        <w:t xml:space="preserve">348,387 was recorded as a contra-liability (direct reduction of the carrying value of the host debt instrument) and is being amortized to interest expense using the effective interest method over the estimated expected term of three years, consistent with the accretion of the OID and derivative discounts described below. The resulting discount is accreted to par using the effective interest method over the estimated term of each note.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notes have no stated maturity date, the Company estimated an expected term of three years for purposes of both the EIM accretion schedule and the Monte Carlo valuation of the bifurcated derivative. This expected term was determined based on (i) the Company’s expected timing of draws under the SPA (ii) the economic terms and structure of the SPA, including the conversion mechanics and the absence of a mandatory redemption date, (iii) the Company’s assessment of the expected conversion behavior of the noteholder based on the Lookback Formula, and (iv) the provisions of the SPA governing the noteholder’s conversion rights. The use of an expected term rather than a contractual maturity is consistent with ASC 820-10-35-24C, which requires that fair value reflect market participant assumptions. Management applied the same three-year expected term in both the EIM accretion model and the Monte Carlo valuation model based on its estimate of the period over which the notes are expected to remain outstanding. The three-year assumption will be reassessed each reporting period in connection with the fair value remeasurement of the derivative liability.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0" w:name="xdx_8BF_zhZ7EGMPGhof"/>
      <w:bookmarkStart w:id="601" w:name="xdx_898_ecustom--ScheduleOfNoteIssuanceS"/>
      <w:bookmarkEnd w:id="600"/>
      <w:bookmarkEnd w:id="601"/>
      <w:r>
        <w:rPr>
          <w:rFonts w:ascii="Times New Roman;Times;Serif" w:hAnsi="Times New Roman;Times;Serif"/>
          <w:b w:val="false"/>
          <w:i w:val="false"/>
          <w:caps w:val="false"/>
          <w:smallCaps w:val="false"/>
          <w:sz w:val="20"/>
        </w:rPr>
        <w:t>SCHEDULE OF NOTE ISSUANCE SUMMARY </w:t>
      </w:r>
    </w:p>
    <w:tbl>
      <w:tblPr>
        <w:tblW w:w="10205" w:type="dxa"/>
        <w:jc w:val="left"/>
        <w:tblInd w:w="0" w:type="dxa"/>
        <w:tblLayout w:type="fixed"/>
        <w:tblCellMar>
          <w:top w:w="0" w:type="dxa"/>
          <w:left w:w="0" w:type="dxa"/>
          <w:bottom w:w="0" w:type="dxa"/>
          <w:right w:w="0" w:type="dxa"/>
        </w:tblCellMar>
      </w:tblPr>
      <w:tblGrid>
        <w:gridCol w:w="3622"/>
        <w:gridCol w:w="60"/>
        <w:gridCol w:w="173"/>
        <w:gridCol w:w="1396"/>
        <w:gridCol w:w="95"/>
        <w:gridCol w:w="60"/>
        <w:gridCol w:w="175"/>
        <w:gridCol w:w="1393"/>
        <w:gridCol w:w="95"/>
        <w:gridCol w:w="60"/>
        <w:gridCol w:w="195"/>
        <w:gridCol w:w="1373"/>
        <w:gridCol w:w="95"/>
        <w:gridCol w:w="60"/>
        <w:gridCol w:w="140"/>
        <w:gridCol w:w="1100"/>
        <w:gridCol w:w="113"/>
      </w:tblGrid>
      <w:tr>
        <w:trPr/>
        <w:tc>
          <w:tcPr>
            <w:tcW w:w="36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2" w:name="xdx_4B9_us-gaap--DebtInstrumentAxis_cust"/>
            <w:bookmarkEnd w:id="602"/>
          </w:p>
        </w:tc>
        <w:tc>
          <w:tcPr>
            <w:tcW w:w="15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3" w:name="xdx_4BE_us-gaap--DebtInstrumentAxis_cust"/>
            <w:bookmarkEnd w:id="603"/>
          </w:p>
        </w:tc>
        <w:tc>
          <w:tcPr>
            <w:tcW w:w="15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4" w:name="xdx_4B9_us-gaap--DebtInstrumentAxis_cust"/>
            <w:bookmarkEnd w:id="604"/>
          </w:p>
        </w:tc>
        <w:tc>
          <w:tcPr>
            <w:tcW w:w="15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 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5" w:name="xdx_4BA_zxbPZvcjJE62"/>
            <w:bookmarkEnd w:id="605"/>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3" w:type="dxa"/>
            <w:tcBorders/>
            <w:vAlign w:val="center"/>
          </w:tcPr>
          <w:p>
            <w:pPr>
              <w:pStyle w:val="TableContents"/>
              <w:bidi w:val="0"/>
              <w:spacing w:before="0" w:after="283"/>
              <w:jc w:val="left"/>
              <w:rPr/>
            </w:pPr>
            <w:r>
              <w:rPr/>
              <w:t> </w:t>
            </w:r>
          </w:p>
        </w:tc>
      </w:tr>
      <w:tr>
        <w:trPr/>
        <w:tc>
          <w:tcPr>
            <w:tcW w:w="3622" w:type="dxa"/>
            <w:tcBorders/>
            <w:shd w:fill="CCEEFF" w:val="clear"/>
            <w:vAlign w:val="center"/>
          </w:tcPr>
          <w:p>
            <w:pPr>
              <w:pStyle w:val="TableContents"/>
              <w:bidi w:val="0"/>
              <w:spacing w:before="0" w:after="283"/>
              <w:jc w:val="left"/>
              <w:rPr/>
            </w:pPr>
            <w:r>
              <w:rPr/>
              <w:t>Issuance date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rFonts w:ascii="Times New Roman;Times;Serif" w:hAnsi="Times New Roman;Times;Serif"/>
                <w:sz w:val="20"/>
              </w:rPr>
            </w:pPr>
            <w:bookmarkStart w:id="606" w:name="xdx_90D_eus-gaap--DebtInstrumentIssuance"/>
            <w:bookmarkEnd w:id="606"/>
            <w:r>
              <w:rPr>
                <w:rFonts w:ascii="Times New Roman;Times;Serif" w:hAnsi="Times New Roman;Times;Serif"/>
                <w:sz w:val="20"/>
              </w:rPr>
              <w:t>May 15, 2025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rFonts w:ascii="Times New Roman;Times;Serif" w:hAnsi="Times New Roman;Times;Serif"/>
                <w:sz w:val="20"/>
              </w:rPr>
            </w:pPr>
            <w:bookmarkStart w:id="607" w:name="xdx_904_eus-gaap--DebtInstrumentIssuance"/>
            <w:bookmarkEnd w:id="607"/>
            <w:r>
              <w:rPr>
                <w:rFonts w:ascii="Times New Roman;Times;Serif" w:hAnsi="Times New Roman;Times;Serif"/>
                <w:sz w:val="20"/>
              </w:rPr>
              <w:t>Aug 11, 2025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rFonts w:ascii="Times New Roman;Times;Serif" w:hAnsi="Times New Roman;Times;Serif"/>
                <w:sz w:val="20"/>
              </w:rPr>
            </w:pPr>
            <w:bookmarkStart w:id="608" w:name="xdx_90E_eus-gaap--DebtInstrumentIssuance"/>
            <w:bookmarkEnd w:id="608"/>
            <w:r>
              <w:rPr>
                <w:rFonts w:ascii="Times New Roman;Times;Serif" w:hAnsi="Times New Roman;Times;Serif"/>
                <w:sz w:val="20"/>
              </w:rPr>
              <w:t>Dec 3, 2025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09" w:name="xdx_433_c20251231_eus-gaap--DebtInstrume"/>
            <w:bookmarkEnd w:id="609"/>
          </w:p>
        </w:tc>
      </w:tr>
      <w:tr>
        <w:trPr/>
        <w:tc>
          <w:tcPr>
            <w:tcW w:w="3622" w:type="dxa"/>
            <w:tcBorders/>
            <w:shd w:fill="FFFFFF" w:val="clear"/>
            <w:vAlign w:val="center"/>
          </w:tcPr>
          <w:p>
            <w:pPr>
              <w:pStyle w:val="TableContents"/>
              <w:bidi w:val="0"/>
              <w:spacing w:before="0" w:after="283"/>
              <w:jc w:val="left"/>
              <w:rPr/>
            </w:pPr>
            <w:r>
              <w:rPr/>
              <w:t>Face amount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w:t>
            </w:r>
          </w:p>
        </w:tc>
        <w:tc>
          <w:tcPr>
            <w:tcW w:w="1396" w:type="dxa"/>
            <w:tcBorders/>
            <w:shd w:fill="FFFFFF" w:val="clear"/>
            <w:vAlign w:val="center"/>
          </w:tcPr>
          <w:p>
            <w:pPr>
              <w:pStyle w:val="TableContents"/>
              <w:bidi w:val="0"/>
              <w:spacing w:before="0" w:after="283"/>
              <w:jc w:val="right"/>
              <w:rPr/>
            </w:pPr>
            <w:r>
              <w:rPr/>
              <w:t>4,330,000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1393" w:type="dxa"/>
            <w:tcBorders/>
            <w:shd w:fill="FFFFFF" w:val="clear"/>
            <w:vAlign w:val="center"/>
          </w:tcPr>
          <w:p>
            <w:pPr>
              <w:pStyle w:val="TableContents"/>
              <w:bidi w:val="0"/>
              <w:spacing w:before="0" w:after="283"/>
              <w:jc w:val="right"/>
              <w:rPr/>
            </w:pPr>
            <w:r>
              <w:rPr/>
              <w:t>4,320,000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1373" w:type="dxa"/>
            <w:tcBorders/>
            <w:shd w:fill="FFFFFF" w:val="clear"/>
            <w:vAlign w:val="center"/>
          </w:tcPr>
          <w:p>
            <w:pPr>
              <w:pStyle w:val="TableContents"/>
              <w:bidi w:val="0"/>
              <w:spacing w:before="0" w:after="283"/>
              <w:jc w:val="right"/>
              <w:rPr/>
            </w:pPr>
            <w:r>
              <w:rPr/>
              <w:t>3,240,000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11,890,000</w:t>
            </w:r>
          </w:p>
        </w:tc>
        <w:tc>
          <w:tcPr>
            <w:tcW w:w="113" w:type="dxa"/>
            <w:tcBorders/>
            <w:shd w:fill="FFFFFF" w:val="clear"/>
            <w:vAlign w:val="center"/>
          </w:tcPr>
          <w:p>
            <w:pPr>
              <w:pStyle w:val="TableContents"/>
              <w:bidi w:val="0"/>
              <w:spacing w:before="0" w:after="283"/>
              <w:jc w:val="left"/>
              <w:rPr/>
            </w:pPr>
            <w:r>
              <w:rPr/>
              <w:t> </w:t>
            </w:r>
            <w:bookmarkStart w:id="610" w:name="xdx_43F_c20251231_ecustom--OriginalIssue"/>
            <w:bookmarkEnd w:id="610"/>
          </w:p>
        </w:tc>
      </w:tr>
      <w:tr>
        <w:trPr/>
        <w:tc>
          <w:tcPr>
            <w:tcW w:w="3622" w:type="dxa"/>
            <w:tcBorders/>
            <w:shd w:fill="CCEEFF" w:val="clear"/>
            <w:vAlign w:val="center"/>
          </w:tcPr>
          <w:p>
            <w:pPr>
              <w:pStyle w:val="TableContents"/>
              <w:bidi w:val="0"/>
              <w:spacing w:before="0" w:after="283"/>
              <w:jc w:val="left"/>
              <w:rPr/>
            </w:pPr>
            <w:r>
              <w:rPr/>
              <w:t>Original issue discount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6" w:type="dxa"/>
            <w:tcBorders>
              <w:bottom w:val="single" w:sz="8" w:space="0" w:color="000000"/>
            </w:tcBorders>
            <w:shd w:fill="CCEEFF" w:val="clear"/>
            <w:tcMar>
              <w:bottom w:w="28" w:type="dxa"/>
            </w:tcMar>
            <w:vAlign w:val="center"/>
          </w:tcPr>
          <w:p>
            <w:pPr>
              <w:pStyle w:val="TableContents"/>
              <w:bidi w:val="0"/>
              <w:spacing w:before="0" w:after="283"/>
              <w:jc w:val="right"/>
              <w:rPr/>
            </w:pPr>
            <w:r>
              <w:rPr/>
              <w:t>(330,000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3" w:type="dxa"/>
            <w:tcBorders>
              <w:bottom w:val="single" w:sz="8" w:space="0" w:color="000000"/>
            </w:tcBorders>
            <w:shd w:fill="CCEEFF" w:val="clear"/>
            <w:tcMar>
              <w:bottom w:w="28" w:type="dxa"/>
            </w:tcMar>
            <w:vAlign w:val="center"/>
          </w:tcPr>
          <w:p>
            <w:pPr>
              <w:pStyle w:val="TableContents"/>
              <w:bidi w:val="0"/>
              <w:spacing w:before="0" w:after="283"/>
              <w:jc w:val="right"/>
              <w:rPr/>
            </w:pPr>
            <w:r>
              <w:rPr/>
              <w:t>(320,000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(240,000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(890,000</w:t>
            </w:r>
          </w:p>
        </w:tc>
        <w:tc>
          <w:tcPr>
            <w:tcW w:w="113" w:type="dxa"/>
            <w:tcBorders/>
            <w:shd w:fill="CCEEFF" w:val="clear"/>
            <w:vAlign w:val="center"/>
          </w:tcPr>
          <w:p>
            <w:pPr>
              <w:pStyle w:val="TableContents"/>
              <w:bidi w:val="0"/>
              <w:spacing w:before="0" w:after="283"/>
              <w:jc w:val="left"/>
              <w:rPr/>
            </w:pPr>
            <w:r>
              <w:rPr/>
              <w:t>)</w:t>
            </w:r>
            <w:bookmarkStart w:id="611" w:name="xdx_432_c20250101__20251231_eus-gaap--Pr"/>
            <w:bookmarkEnd w:id="611"/>
          </w:p>
        </w:tc>
      </w:tr>
      <w:tr>
        <w:trPr/>
        <w:tc>
          <w:tcPr>
            <w:tcW w:w="3622" w:type="dxa"/>
            <w:tcBorders/>
            <w:shd w:fill="FFFFFF" w:val="clear"/>
            <w:vAlign w:val="center"/>
          </w:tcPr>
          <w:p>
            <w:pPr>
              <w:pStyle w:val="TableContents"/>
              <w:bidi w:val="0"/>
              <w:spacing w:before="0" w:after="283"/>
              <w:jc w:val="left"/>
              <w:rPr/>
            </w:pPr>
            <w:r>
              <w:rPr/>
              <w:t>Cash proceeds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4,000,000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93" w:type="dxa"/>
            <w:tcBorders/>
            <w:shd w:fill="FFFFFF" w:val="clear"/>
            <w:vAlign w:val="center"/>
          </w:tcPr>
          <w:p>
            <w:pPr>
              <w:pStyle w:val="TableContents"/>
              <w:bidi w:val="0"/>
              <w:spacing w:before="0" w:after="283"/>
              <w:jc w:val="right"/>
              <w:rPr/>
            </w:pPr>
            <w:r>
              <w:rPr/>
              <w:t>4,000,000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3,000,000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11,000,000</w:t>
            </w:r>
          </w:p>
        </w:tc>
        <w:tc>
          <w:tcPr>
            <w:tcW w:w="113" w:type="dxa"/>
            <w:tcBorders/>
            <w:shd w:fill="FFFFFF" w:val="clear"/>
            <w:vAlign w:val="center"/>
          </w:tcPr>
          <w:p>
            <w:pPr>
              <w:pStyle w:val="TableContents"/>
              <w:bidi w:val="0"/>
              <w:spacing w:before="0" w:after="283"/>
              <w:jc w:val="left"/>
              <w:rPr/>
            </w:pPr>
            <w:r>
              <w:rPr/>
              <w:t> </w:t>
            </w:r>
            <w:bookmarkStart w:id="612" w:name="xdx_430_c20250101__20251231_ecustom--Deb"/>
            <w:bookmarkEnd w:id="612"/>
          </w:p>
        </w:tc>
      </w:tr>
      <w:tr>
        <w:trPr/>
        <w:tc>
          <w:tcPr>
            <w:tcW w:w="3622" w:type="dxa"/>
            <w:tcBorders/>
            <w:shd w:fill="CCEEFF" w:val="clear"/>
            <w:vAlign w:val="center"/>
          </w:tcPr>
          <w:p>
            <w:pPr>
              <w:pStyle w:val="TableContents"/>
              <w:bidi w:val="0"/>
              <w:spacing w:before="0" w:after="283"/>
              <w:jc w:val="left"/>
              <w:rPr/>
            </w:pPr>
            <w:r>
              <w:rPr/>
              <w:t>Debt issuance costs (contra-liability)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(75,987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(137,400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(348,387</w:t>
            </w:r>
          </w:p>
        </w:tc>
        <w:tc>
          <w:tcPr>
            <w:tcW w:w="113" w:type="dxa"/>
            <w:tcBorders/>
            <w:shd w:fill="CCEEFF" w:val="clear"/>
            <w:vAlign w:val="center"/>
          </w:tcPr>
          <w:p>
            <w:pPr>
              <w:pStyle w:val="TableContents"/>
              <w:bidi w:val="0"/>
              <w:spacing w:before="0" w:after="283"/>
              <w:jc w:val="left"/>
              <w:rPr/>
            </w:pPr>
            <w:r>
              <w:rPr/>
              <w:t>)</w:t>
            </w:r>
            <w:bookmarkStart w:id="613" w:name="xdx_43A_c20250101__20251231_ecustom--Der"/>
            <w:bookmarkEnd w:id="613"/>
          </w:p>
        </w:tc>
      </w:tr>
      <w:tr>
        <w:trPr/>
        <w:tc>
          <w:tcPr>
            <w:tcW w:w="3622" w:type="dxa"/>
            <w:tcBorders/>
            <w:shd w:fill="FFFFFF" w:val="clear"/>
            <w:vAlign w:val="center"/>
          </w:tcPr>
          <w:p>
            <w:pPr>
              <w:pStyle w:val="TableContents"/>
              <w:bidi w:val="0"/>
              <w:spacing w:before="0" w:after="283"/>
              <w:jc w:val="left"/>
              <w:rPr/>
            </w:pPr>
            <w:r>
              <w:rPr/>
              <w:t>Derivative discount (initial fair value of bifurcated derivatives)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(4,710,000</w:t>
            </w:r>
          </w:p>
        </w:tc>
        <w:tc>
          <w:tcPr>
            <w:tcW w:w="113" w:type="dxa"/>
            <w:tcBorders/>
            <w:shd w:fill="FFFFFF" w:val="clear"/>
            <w:vAlign w:val="center"/>
          </w:tcPr>
          <w:p>
            <w:pPr>
              <w:pStyle w:val="TableContents"/>
              <w:bidi w:val="0"/>
              <w:spacing w:before="0" w:after="283"/>
              <w:jc w:val="left"/>
              <w:rPr/>
            </w:pPr>
            <w:r>
              <w:rPr/>
              <w:t>)</w:t>
            </w:r>
            <w:bookmarkStart w:id="614" w:name="xdx_431_c20250101__20251231_ecustom--Com"/>
            <w:bookmarkEnd w:id="614"/>
          </w:p>
        </w:tc>
      </w:tr>
      <w:tr>
        <w:trPr/>
        <w:tc>
          <w:tcPr>
            <w:tcW w:w="3622" w:type="dxa"/>
            <w:tcBorders/>
            <w:shd w:fill="CCEEFF" w:val="clear"/>
            <w:vAlign w:val="center"/>
          </w:tcPr>
          <w:p>
            <w:pPr>
              <w:pStyle w:val="TableContents"/>
              <w:bidi w:val="0"/>
              <w:spacing w:before="0" w:after="283"/>
              <w:jc w:val="left"/>
              <w:rPr/>
            </w:pPr>
            <w:r>
              <w:rPr/>
              <w:t>Commitment shares (discount)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6" w:type="dxa"/>
            <w:tcBorders>
              <w:bottom w:val="single" w:sz="8" w:space="0" w:color="000000"/>
            </w:tcBorders>
            <w:shd w:fill="CCEEFF" w:val="clear"/>
            <w:tcMar>
              <w:bottom w:w="28" w:type="dxa"/>
            </w:tcMar>
            <w:vAlign w:val="center"/>
          </w:tcPr>
          <w:p>
            <w:pPr>
              <w:pStyle w:val="TableContents"/>
              <w:bidi w:val="0"/>
              <w:spacing w:before="0" w:after="283"/>
              <w:jc w:val="right"/>
              <w:rPr/>
            </w:pPr>
            <w:r>
              <w:rPr/>
              <w:t>(828,125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(828,125</w:t>
            </w:r>
          </w:p>
        </w:tc>
        <w:tc>
          <w:tcPr>
            <w:tcW w:w="113" w:type="dxa"/>
            <w:tcBorders/>
            <w:shd w:fill="CCEEFF" w:val="clear"/>
            <w:vAlign w:val="center"/>
          </w:tcPr>
          <w:p>
            <w:pPr>
              <w:pStyle w:val="TableContents"/>
              <w:bidi w:val="0"/>
              <w:spacing w:before="0" w:after="283"/>
              <w:jc w:val="left"/>
              <w:rPr/>
            </w:pPr>
            <w:r>
              <w:rPr/>
              <w:t>)</w:t>
            </w:r>
            <w:bookmarkStart w:id="615" w:name="xdx_43F_c20250101__20251231_ecustom--Ini"/>
            <w:bookmarkEnd w:id="615"/>
          </w:p>
        </w:tc>
      </w:tr>
      <w:tr>
        <w:trPr/>
        <w:tc>
          <w:tcPr>
            <w:tcW w:w="3622" w:type="dxa"/>
            <w:tcBorders/>
            <w:shd w:fill="FFFFFF" w:val="clear"/>
            <w:vAlign w:val="center"/>
          </w:tcPr>
          <w:p>
            <w:pPr>
              <w:pStyle w:val="TableContents"/>
              <w:bidi w:val="0"/>
              <w:spacing w:before="0" w:after="283"/>
              <w:jc w:val="left"/>
              <w:rPr/>
            </w:pPr>
            <w:r>
              <w:rPr/>
              <w:t>INITIAL HOST CARRYING VALUE</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9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845,888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2,152,600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5,113,488</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16" w:name="xdx_8A7_ze4D2HU7BDF"/>
      <w:bookmarkEnd w:id="61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Host Convertible Note Roll-Forward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activity in the carrying value of the host portion of the convertible notes for the year ended December 31, 2025. Discount accretion is computed using the EIM applied to the initial carrying value of each note over its estimated three-year expected term. Upon conversion, the face amount converted and the pro-rata unamortized discount and issuance costs attributable to the converted portion are removed from the carrying value.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17" w:name="xdx_8B5_z3R5EEgzXJof"/>
      <w:bookmarkStart w:id="618" w:name="xdx_89E_eus-gaap--ConvertibleDebtTableTe"/>
      <w:bookmarkEnd w:id="617"/>
      <w:bookmarkEnd w:id="618"/>
      <w:r>
        <w:rPr>
          <w:rFonts w:ascii="Times New Roman;Times;Serif" w:hAnsi="Times New Roman;Times;Serif"/>
          <w:b w:val="false"/>
          <w:i w:val="false"/>
          <w:caps w:val="false"/>
          <w:smallCaps w:val="false"/>
          <w:sz w:val="20"/>
        </w:rPr>
        <w:t>SCHEDULE OF CONVERTIBLE NOTE PAYABLE </w:t>
      </w:r>
    </w:p>
    <w:tbl>
      <w:tblPr>
        <w:tblW w:w="10205" w:type="dxa"/>
        <w:jc w:val="left"/>
        <w:tblInd w:w="0" w:type="dxa"/>
        <w:tblLayout w:type="fixed"/>
        <w:tblCellMar>
          <w:top w:w="0" w:type="dxa"/>
          <w:left w:w="0" w:type="dxa"/>
          <w:bottom w:w="28" w:type="dxa"/>
          <w:right w:w="0" w:type="dxa"/>
        </w:tblCellMar>
      </w:tblPr>
      <w:tblGrid>
        <w:gridCol w:w="3676"/>
        <w:gridCol w:w="60"/>
        <w:gridCol w:w="199"/>
        <w:gridCol w:w="1400"/>
        <w:gridCol w:w="95"/>
        <w:gridCol w:w="60"/>
        <w:gridCol w:w="181"/>
        <w:gridCol w:w="1427"/>
        <w:gridCol w:w="95"/>
        <w:gridCol w:w="60"/>
        <w:gridCol w:w="199"/>
        <w:gridCol w:w="1400"/>
        <w:gridCol w:w="60"/>
        <w:gridCol w:w="60"/>
        <w:gridCol w:w="140"/>
        <w:gridCol w:w="980"/>
        <w:gridCol w:w="113"/>
      </w:tblGrid>
      <w:tr>
        <w:trPr/>
        <w:tc>
          <w:tcPr>
            <w:tcW w:w="3676"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bookmarkStart w:id="619" w:name="xdx_4B9_us-gaap--DebtInstrumentAxis_cust"/>
            <w:bookmarkEnd w:id="619"/>
          </w:p>
        </w:tc>
        <w:tc>
          <w:tcPr>
            <w:tcW w:w="1599" w:type="dxa"/>
            <w:gridSpan w:val="2"/>
            <w:tcBorders>
              <w:bottom w:val="single" w:sz="8" w:space="0" w:color="000000"/>
            </w:tcBorders>
            <w:vAlign w:val="center"/>
          </w:tcPr>
          <w:p>
            <w:pPr>
              <w:pStyle w:val="TableContents"/>
              <w:bidi w:val="0"/>
              <w:spacing w:before="0" w:after="283"/>
              <w:jc w:val="center"/>
              <w:rPr>
                <w:b/>
              </w:rPr>
            </w:pPr>
            <w:r>
              <w:rPr>
                <w:b/>
              </w:rPr>
              <w:t>Convertible Note 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620" w:name="xdx_4BF_us-gaap--DebtInstrumentAxis_cust"/>
            <w:bookmarkEnd w:id="620"/>
          </w:p>
        </w:tc>
        <w:tc>
          <w:tcPr>
            <w:tcW w:w="1608" w:type="dxa"/>
            <w:gridSpan w:val="2"/>
            <w:tcBorders>
              <w:bottom w:val="single" w:sz="8" w:space="0" w:color="000000"/>
            </w:tcBorders>
            <w:vAlign w:val="center"/>
          </w:tcPr>
          <w:p>
            <w:pPr>
              <w:pStyle w:val="TableContents"/>
              <w:bidi w:val="0"/>
              <w:spacing w:before="0" w:after="283"/>
              <w:jc w:val="center"/>
              <w:rPr>
                <w:b/>
              </w:rPr>
            </w:pPr>
            <w:r>
              <w:rPr>
                <w:b/>
              </w:rPr>
              <w:t>Convertible Note 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621" w:name="xdx_4B4_us-gaap--DebtInstrumentAxis_cust"/>
            <w:bookmarkEnd w:id="621"/>
          </w:p>
        </w:tc>
        <w:tc>
          <w:tcPr>
            <w:tcW w:w="1599" w:type="dxa"/>
            <w:gridSpan w:val="2"/>
            <w:tcBorders>
              <w:bottom w:val="single" w:sz="8" w:space="0" w:color="000000"/>
            </w:tcBorders>
            <w:vAlign w:val="center"/>
          </w:tcPr>
          <w:p>
            <w:pPr>
              <w:pStyle w:val="TableContents"/>
              <w:bidi w:val="0"/>
              <w:spacing w:before="0" w:after="283"/>
              <w:jc w:val="center"/>
              <w:rPr>
                <w:b/>
              </w:rPr>
            </w:pPr>
            <w:r>
              <w:rPr>
                <w:b/>
              </w:rPr>
              <w:t>Convertible Note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622" w:name="xdx_4B8_z8MvW7oIZco1"/>
            <w:bookmarkEnd w:id="622"/>
          </w:p>
        </w:tc>
        <w:tc>
          <w:tcPr>
            <w:tcW w:w="1120" w:type="dxa"/>
            <w:gridSpan w:val="2"/>
            <w:tcBorders>
              <w:bottom w:val="single" w:sz="8" w:space="0" w:color="000000"/>
            </w:tcBorders>
            <w:vAlign w:val="center"/>
          </w:tcPr>
          <w:p>
            <w:pPr>
              <w:pStyle w:val="TableContents"/>
              <w:bidi w:val="0"/>
              <w:spacing w:before="0" w:after="283"/>
              <w:jc w:val="center"/>
              <w:rPr>
                <w:b/>
              </w:rPr>
            </w:pPr>
            <w:r>
              <w:rPr>
                <w:b/>
              </w:rPr>
              <w:t>Total</w:t>
            </w:r>
          </w:p>
        </w:tc>
        <w:tc>
          <w:tcPr>
            <w:tcW w:w="113" w:type="dxa"/>
            <w:tcBorders/>
            <w:tcMar>
              <w:bottom w:w="0" w:type="dxa"/>
            </w:tcMar>
            <w:vAlign w:val="center"/>
          </w:tcPr>
          <w:p>
            <w:pPr>
              <w:pStyle w:val="TableContents"/>
              <w:bidi w:val="0"/>
              <w:spacing w:before="0" w:after="283"/>
              <w:jc w:val="left"/>
              <w:rPr/>
            </w:pPr>
            <w:r>
              <w:rPr/>
              <w:t> </w:t>
            </w:r>
            <w:bookmarkStart w:id="623" w:name="xdx_434_c20250101__20251231_eus-gaap--Co"/>
            <w:bookmarkEnd w:id="623"/>
          </w:p>
        </w:tc>
      </w:tr>
      <w:tr>
        <w:trPr/>
        <w:tc>
          <w:tcPr>
            <w:tcW w:w="3676" w:type="dxa"/>
            <w:tcBorders/>
            <w:shd w:fill="CCEEFF" w:val="clear"/>
            <w:tcMar>
              <w:bottom w:w="0" w:type="dxa"/>
            </w:tcMar>
            <w:vAlign w:val="center"/>
          </w:tcPr>
          <w:p>
            <w:pPr>
              <w:pStyle w:val="TableContents"/>
              <w:bidi w:val="0"/>
              <w:spacing w:before="0" w:after="283"/>
              <w:jc w:val="left"/>
              <w:rPr/>
            </w:pPr>
            <w:r>
              <w:rPr/>
              <w:t>Balance at January 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p>
        </w:tc>
        <w:tc>
          <w:tcPr>
            <w:tcW w:w="14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w:t>
            </w:r>
          </w:p>
        </w:tc>
        <w:tc>
          <w:tcPr>
            <w:tcW w:w="1427"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p>
        </w:tc>
        <w:tc>
          <w:tcPr>
            <w:tcW w:w="14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13" w:type="dxa"/>
            <w:tcBorders/>
            <w:shd w:fill="CCEEFF" w:val="clear"/>
            <w:tcMar>
              <w:bottom w:w="0" w:type="dxa"/>
            </w:tcMar>
            <w:vAlign w:val="center"/>
          </w:tcPr>
          <w:p>
            <w:pPr>
              <w:pStyle w:val="TableContents"/>
              <w:bidi w:val="0"/>
              <w:spacing w:before="0" w:after="283"/>
              <w:jc w:val="left"/>
              <w:rPr/>
            </w:pPr>
            <w:r>
              <w:rPr/>
              <w:t> </w:t>
            </w:r>
            <w:bookmarkStart w:id="624" w:name="xdx_40F_ecustom--InitialHostCarryingValu"/>
            <w:bookmarkEnd w:id="624"/>
          </w:p>
        </w:tc>
      </w:tr>
      <w:tr>
        <w:trPr/>
        <w:tc>
          <w:tcPr>
            <w:tcW w:w="3676" w:type="dxa"/>
            <w:tcBorders/>
            <w:shd w:fill="FFFFFF" w:val="clear"/>
            <w:tcMar>
              <w:bottom w:w="0" w:type="dxa"/>
            </w:tcMar>
            <w:vAlign w:val="center"/>
          </w:tcPr>
          <w:p>
            <w:pPr>
              <w:pStyle w:val="TableContents"/>
              <w:bidi w:val="0"/>
              <w:spacing w:before="0" w:after="283"/>
              <w:jc w:val="left"/>
              <w:rPr/>
            </w:pPr>
            <w:r>
              <w:rPr/>
              <w:t>Note issuance — initial host carrying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845,888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4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2,152,600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5,113,488</w:t>
            </w:r>
          </w:p>
        </w:tc>
        <w:tc>
          <w:tcPr>
            <w:tcW w:w="113" w:type="dxa"/>
            <w:tcBorders/>
            <w:shd w:fill="FFFFFF" w:val="clear"/>
            <w:tcMar>
              <w:bottom w:w="0" w:type="dxa"/>
            </w:tcMar>
            <w:vAlign w:val="center"/>
          </w:tcPr>
          <w:p>
            <w:pPr>
              <w:pStyle w:val="TableContents"/>
              <w:bidi w:val="0"/>
              <w:spacing w:before="0" w:after="283"/>
              <w:jc w:val="left"/>
              <w:rPr/>
            </w:pPr>
            <w:r>
              <w:rPr/>
              <w:t> </w:t>
            </w:r>
            <w:bookmarkStart w:id="625" w:name="xdx_404_ecustom--EimAccretionOfDebtDisco"/>
            <w:bookmarkEnd w:id="625"/>
          </w:p>
        </w:tc>
      </w:tr>
      <w:tr>
        <w:trPr/>
        <w:tc>
          <w:tcPr>
            <w:tcW w:w="3676" w:type="dxa"/>
            <w:tcBorders/>
            <w:shd w:fill="CCEEFF" w:val="clear"/>
            <w:tcMar>
              <w:bottom w:w="0" w:type="dxa"/>
            </w:tcMar>
            <w:vAlign w:val="center"/>
          </w:tcPr>
          <w:p>
            <w:pPr>
              <w:pStyle w:val="TableContents"/>
              <w:bidi w:val="0"/>
              <w:spacing w:before="0" w:after="283"/>
              <w:jc w:val="left"/>
              <w:rPr/>
            </w:pPr>
            <w:r>
              <w:rPr/>
              <w:t>EIM accretion of debt discount and issuance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137,437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4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109,733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270,078</w:t>
            </w:r>
          </w:p>
        </w:tc>
        <w:tc>
          <w:tcPr>
            <w:tcW w:w="113" w:type="dxa"/>
            <w:tcBorders/>
            <w:shd w:fill="CCEEFF" w:val="clear"/>
            <w:tcMar>
              <w:bottom w:w="0" w:type="dxa"/>
            </w:tcMar>
            <w:vAlign w:val="center"/>
          </w:tcPr>
          <w:p>
            <w:pPr>
              <w:pStyle w:val="TableContents"/>
              <w:bidi w:val="0"/>
              <w:spacing w:before="0" w:after="283"/>
              <w:jc w:val="left"/>
              <w:rPr/>
            </w:pPr>
            <w:r>
              <w:rPr/>
              <w:t> </w:t>
            </w:r>
            <w:bookmarkStart w:id="626" w:name="xdx_408_ecustom--ConversionsFaceAmount_i"/>
            <w:bookmarkEnd w:id="626"/>
          </w:p>
        </w:tc>
      </w:tr>
      <w:tr>
        <w:trPr/>
        <w:tc>
          <w:tcPr>
            <w:tcW w:w="3676" w:type="dxa"/>
            <w:tcBorders/>
            <w:shd w:fill="FFFFFF" w:val="clear"/>
            <w:tcMar>
              <w:bottom w:w="0" w:type="dxa"/>
            </w:tcMar>
            <w:vAlign w:val="center"/>
          </w:tcPr>
          <w:p>
            <w:pPr>
              <w:pStyle w:val="TableContents"/>
              <w:bidi w:val="0"/>
              <w:spacing w:before="0" w:after="283"/>
              <w:jc w:val="left"/>
              <w:rPr/>
            </w:pPr>
            <w:r>
              <w:rPr/>
              <w:t>Conversions — face amount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(2,875,000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4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(4,125,000</w:t>
            </w:r>
          </w:p>
        </w:tc>
        <w:tc>
          <w:tcPr>
            <w:tcW w:w="113" w:type="dxa"/>
            <w:tcBorders/>
            <w:shd w:fill="FFFFFF" w:val="clear"/>
            <w:tcMar>
              <w:bottom w:w="0" w:type="dxa"/>
            </w:tcMar>
            <w:vAlign w:val="center"/>
          </w:tcPr>
          <w:p>
            <w:pPr>
              <w:pStyle w:val="TableContents"/>
              <w:bidi w:val="0"/>
              <w:spacing w:before="0" w:after="283"/>
              <w:jc w:val="left"/>
              <w:rPr/>
            </w:pPr>
            <w:r>
              <w:rPr/>
              <w:t>)</w:t>
            </w:r>
            <w:bookmarkStart w:id="627" w:name="xdx_40B_ecustom--ConversionsIssuanceCost"/>
            <w:bookmarkEnd w:id="627"/>
          </w:p>
        </w:tc>
      </w:tr>
      <w:tr>
        <w:trPr/>
        <w:tc>
          <w:tcPr>
            <w:tcW w:w="3676" w:type="dxa"/>
            <w:tcBorders/>
            <w:shd w:fill="CCEEFF" w:val="clear"/>
            <w:tcMar>
              <w:bottom w:w="0" w:type="dxa"/>
            </w:tcMar>
            <w:vAlign w:val="center"/>
          </w:tcPr>
          <w:p>
            <w:pPr>
              <w:pStyle w:val="TableContents"/>
              <w:bidi w:val="0"/>
              <w:spacing w:before="0" w:after="283"/>
              <w:jc w:val="left"/>
              <w:rPr/>
            </w:pPr>
            <w:r>
              <w:rPr/>
              <w:t xml:space="preserve">Conversions — issuance costs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2,211,763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427" w:type="dxa"/>
            <w:tcBorders/>
            <w:shd w:fill="CCEEFF" w:val="clear"/>
            <w:tcMar>
              <w:bottom w:w="0" w:type="dxa"/>
            </w:tcMar>
            <w:vAlign w:val="center"/>
          </w:tcPr>
          <w:p>
            <w:pPr>
              <w:pStyle w:val="TableContents"/>
              <w:bidi w:val="0"/>
              <w:spacing w:before="0" w:after="283"/>
              <w:jc w:val="right"/>
              <w:rPr/>
            </w:pPr>
            <w:r>
              <w:rPr/>
              <w:t>587,384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980" w:type="dxa"/>
            <w:tcBorders/>
            <w:shd w:fill="CCEEFF" w:val="clear"/>
            <w:tcMar>
              <w:bottom w:w="0" w:type="dxa"/>
            </w:tcMar>
            <w:vAlign w:val="center"/>
          </w:tcPr>
          <w:p>
            <w:pPr>
              <w:pStyle w:val="TableContents"/>
              <w:bidi w:val="0"/>
              <w:spacing w:before="0" w:after="283"/>
              <w:jc w:val="right"/>
              <w:rPr/>
            </w:pPr>
            <w:r>
              <w:rPr/>
              <w:t>2,799,147</w:t>
            </w:r>
          </w:p>
        </w:tc>
        <w:tc>
          <w:tcPr>
            <w:tcW w:w="113" w:type="dxa"/>
            <w:tcBorders/>
            <w:shd w:fill="CCEEFF" w:val="clear"/>
            <w:tcMar>
              <w:bottom w:w="0" w:type="dxa"/>
            </w:tcMar>
            <w:vAlign w:val="center"/>
          </w:tcPr>
          <w:p>
            <w:pPr>
              <w:pStyle w:val="TableContents"/>
              <w:bidi w:val="0"/>
              <w:spacing w:before="0" w:after="283"/>
              <w:jc w:val="left"/>
              <w:rPr/>
            </w:pPr>
            <w:r>
              <w:rPr/>
              <w:t> </w:t>
            </w:r>
            <w:bookmarkStart w:id="628" w:name="xdx_40A_ecustom--ConversionsUnamortizedD"/>
            <w:bookmarkEnd w:id="628"/>
          </w:p>
        </w:tc>
      </w:tr>
      <w:tr>
        <w:trPr/>
        <w:tc>
          <w:tcPr>
            <w:tcW w:w="3676" w:type="dxa"/>
            <w:tcBorders/>
            <w:shd w:fill="FFFFFF" w:val="clear"/>
            <w:tcMar>
              <w:bottom w:w="0" w:type="dxa"/>
            </w:tcMar>
            <w:vAlign w:val="center"/>
          </w:tcPr>
          <w:p>
            <w:pPr>
              <w:pStyle w:val="TableContents"/>
              <w:bidi w:val="0"/>
              <w:spacing w:before="0" w:after="283"/>
              <w:jc w:val="left"/>
              <w:rPr/>
            </w:pPr>
            <w:r>
              <w:rPr/>
              <w:t>Conversions — unamortized discount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bottom w:val="single" w:sz="8" w:space="0" w:color="000000"/>
            </w:tcBorders>
            <w:shd w:fill="FFFFFF" w:val="clear"/>
            <w:vAlign w:val="center"/>
          </w:tcPr>
          <w:p>
            <w:pPr>
              <w:pStyle w:val="TableContents"/>
              <w:bidi w:val="0"/>
              <w:spacing w:before="0" w:after="283"/>
              <w:jc w:val="left"/>
              <w:rPr/>
            </w:pPr>
            <w:r>
              <w:rPr/>
              <w:t> </w:t>
            </w:r>
          </w:p>
        </w:tc>
        <w:tc>
          <w:tcPr>
            <w:tcW w:w="14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47,187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FFFFFF" w:val="clear"/>
            <w:vAlign w:val="center"/>
          </w:tcPr>
          <w:p>
            <w:pPr>
              <w:pStyle w:val="TableContents"/>
              <w:bidi w:val="0"/>
              <w:spacing w:before="0" w:after="283"/>
              <w:jc w:val="left"/>
              <w:rPr/>
            </w:pPr>
            <w:r>
              <w:rPr/>
              <w:t> </w:t>
            </w:r>
          </w:p>
        </w:tc>
        <w:tc>
          <w:tcPr>
            <w:tcW w:w="142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9" w:type="dxa"/>
            <w:tcBorders>
              <w:bottom w:val="single" w:sz="8" w:space="0" w:color="000000"/>
            </w:tcBorders>
            <w:shd w:fill="FFFFFF" w:val="clear"/>
            <w:vAlign w:val="center"/>
          </w:tcPr>
          <w:p>
            <w:pPr>
              <w:pStyle w:val="TableContents"/>
              <w:bidi w:val="0"/>
              <w:spacing w:before="0" w:after="283"/>
              <w:jc w:val="left"/>
              <w:rPr/>
            </w:pPr>
            <w:r>
              <w:rPr/>
              <w:t> </w:t>
            </w:r>
          </w:p>
        </w:tc>
        <w:tc>
          <w:tcPr>
            <w:tcW w:w="140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sz w:val="4"/>
                <w:szCs w:val="4"/>
              </w:rPr>
            </w:pPr>
            <w:r>
              <w:rPr>
                <w:sz w:val="4"/>
                <w:szCs w:val="4"/>
              </w:rPr>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86,944</w:t>
            </w:r>
          </w:p>
        </w:tc>
        <w:tc>
          <w:tcPr>
            <w:tcW w:w="113" w:type="dxa"/>
            <w:tcBorders/>
            <w:shd w:fill="FFFFFF" w:val="clear"/>
            <w:tcMar>
              <w:bottom w:w="0" w:type="dxa"/>
            </w:tcMar>
            <w:vAlign w:val="center"/>
          </w:tcPr>
          <w:p>
            <w:pPr>
              <w:pStyle w:val="TableContents"/>
              <w:bidi w:val="0"/>
              <w:spacing w:before="0" w:after="283"/>
              <w:jc w:val="left"/>
              <w:rPr/>
            </w:pPr>
            <w:r>
              <w:rPr/>
              <w:t> </w:t>
            </w:r>
            <w:bookmarkStart w:id="629" w:name="xdx_437_c20250101__20251231_eus-gaap--Co"/>
            <w:bookmarkEnd w:id="629"/>
          </w:p>
        </w:tc>
      </w:tr>
      <w:tr>
        <w:trPr/>
        <w:tc>
          <w:tcPr>
            <w:tcW w:w="3676" w:type="dxa"/>
            <w:tcBorders/>
            <w:shd w:fill="CCEEFF" w:val="clear"/>
            <w:tcMar>
              <w:bottom w:w="0" w:type="dxa"/>
            </w:tcMar>
            <w:vAlign w:val="center"/>
          </w:tcPr>
          <w:p>
            <w:pPr>
              <w:pStyle w:val="TableContents"/>
              <w:bidi w:val="0"/>
              <w:spacing w:before="0" w:after="283"/>
              <w:jc w:val="left"/>
              <w:rPr/>
            </w:pPr>
            <w:r>
              <w:rPr/>
              <w:t>HOST CARRYING VALUE AT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bottom w:val="double" w:sz="6" w:space="0" w:color="000000"/>
            </w:tcBorders>
            <w:shd w:fill="CCEEFF" w:val="clear"/>
            <w:vAlign w:val="center"/>
          </w:tcPr>
          <w:p>
            <w:pPr>
              <w:pStyle w:val="TableContents"/>
              <w:bidi w:val="0"/>
              <w:spacing w:before="0" w:after="283"/>
              <w:jc w:val="left"/>
              <w:rPr/>
            </w:pPr>
            <w:r>
              <w:rPr/>
              <w:t>$</w:t>
            </w:r>
          </w:p>
        </w:tc>
        <w:tc>
          <w:tcPr>
            <w:tcW w:w="14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367,275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vAlign w:val="center"/>
          </w:tcPr>
          <w:p>
            <w:pPr>
              <w:pStyle w:val="TableContents"/>
              <w:bidi w:val="0"/>
              <w:spacing w:before="0" w:after="283"/>
              <w:jc w:val="left"/>
              <w:rPr/>
            </w:pPr>
            <w:r>
              <w:rPr/>
              <w:t>$</w:t>
            </w:r>
          </w:p>
        </w:tc>
        <w:tc>
          <w:tcPr>
            <w:tcW w:w="142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1,639,474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9" w:type="dxa"/>
            <w:tcBorders>
              <w:bottom w:val="double" w:sz="6" w:space="0" w:color="000000"/>
            </w:tcBorders>
            <w:shd w:fill="CCEEFF" w:val="clear"/>
            <w:vAlign w:val="center"/>
          </w:tcPr>
          <w:p>
            <w:pPr>
              <w:pStyle w:val="TableContents"/>
              <w:bidi w:val="0"/>
              <w:spacing w:before="0" w:after="283"/>
              <w:jc w:val="left"/>
              <w:rPr/>
            </w:pPr>
            <w:r>
              <w:rPr/>
              <w:t>$</w:t>
            </w:r>
          </w:p>
        </w:tc>
        <w:tc>
          <w:tcPr>
            <w:tcW w:w="14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2,137,908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4,144,657</w:t>
            </w:r>
          </w:p>
        </w:tc>
        <w:tc>
          <w:tcPr>
            <w:tcW w:w="11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30" w:name="xdx_8A5_zp0ZVf9pOtdl"/>
      <w:bookmarkEnd w:id="63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Conversion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Convertible Notes Payable and Derivative Liabilities for details on accounting for the conversion of convertible notes payable.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summary of derivative liability activity during 2025, including amounts derecognized upon conversion, refer to NOTE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income and expenses related to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1" w:name="xdx_89B_ecustom--ScheduleOfInterestExpen"/>
      <w:bookmarkEnd w:id="631"/>
      <w:r>
        <w:rPr>
          <w:rFonts w:ascii="Times New Roman;Times;Serif" w:hAnsi="Times New Roman;Times;Serif"/>
          <w:b w:val="false"/>
          <w:i w:val="false"/>
          <w:caps w:val="false"/>
          <w:smallCaps w:val="false"/>
          <w:sz w:val="20"/>
        </w:rPr>
        <w:t>Other income and expenses related to the convertible notes recognized during the year ended December 31, 2025 consisted of the following, presented in the income statement line items indicated: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2" w:name="xdx_8B8_z4CXbYHSYBqi"/>
      <w:bookmarkEnd w:id="632"/>
      <w:r>
        <w:rPr>
          <w:rFonts w:ascii="Times New Roman;Times;Serif" w:hAnsi="Times New Roman;Times;Serif"/>
          <w:b w:val="false"/>
          <w:i w:val="false"/>
          <w:caps w:val="false"/>
          <w:smallCaps w:val="false"/>
          <w:sz w:val="20"/>
        </w:rPr>
        <w:t>SCHEDULE OF INTEREST EXPENSE </w:t>
      </w:r>
    </w:p>
    <w:tbl>
      <w:tblPr>
        <w:tblW w:w="8818" w:type="dxa"/>
        <w:jc w:val="left"/>
        <w:tblInd w:w="0" w:type="dxa"/>
        <w:tblLayout w:type="fixed"/>
        <w:tblCellMar>
          <w:top w:w="0" w:type="dxa"/>
          <w:left w:w="0" w:type="dxa"/>
          <w:bottom w:w="0" w:type="dxa"/>
          <w:right w:w="0" w:type="dxa"/>
        </w:tblCellMar>
      </w:tblPr>
      <w:tblGrid>
        <w:gridCol w:w="4655"/>
        <w:gridCol w:w="60"/>
        <w:gridCol w:w="244"/>
        <w:gridCol w:w="1710"/>
        <w:gridCol w:w="60"/>
        <w:gridCol w:w="60"/>
        <w:gridCol w:w="683"/>
        <w:gridCol w:w="1271"/>
        <w:gridCol w:w="7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3" w:name="xdx_490_20250101__20251231_zq7XhLbKqtSh"/>
            <w:bookmarkEnd w:id="633"/>
          </w:p>
        </w:tc>
        <w:tc>
          <w:tcPr>
            <w:tcW w:w="1954" w:type="dxa"/>
            <w:gridSpan w:val="2"/>
            <w:tcBorders>
              <w:bottom w:val="single" w:sz="8" w:space="0" w:color="000000"/>
            </w:tcBorders>
            <w:tcMar>
              <w:bottom w:w="28" w:type="dxa"/>
            </w:tcMar>
            <w:vAlign w:val="center"/>
          </w:tcPr>
          <w:p>
            <w:pPr>
              <w:pStyle w:val="TableContents"/>
              <w:bidi w:val="0"/>
              <w:jc w:val="center"/>
              <w:rPr>
                <w:b/>
              </w:rPr>
            </w:pPr>
            <w:r>
              <w:rPr>
                <w:b/>
              </w:rPr>
              <w:t>Year Ended</w:t>
            </w:r>
          </w:p>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4" w:name="xdx_492_20240101__20241231_zeDDJRCWXG51"/>
            <w:bookmarkEnd w:id="634"/>
          </w:p>
        </w:tc>
        <w:tc>
          <w:tcPr>
            <w:tcW w:w="1954" w:type="dxa"/>
            <w:gridSpan w:val="2"/>
            <w:tcBorders>
              <w:bottom w:val="single" w:sz="8" w:space="0" w:color="000000"/>
            </w:tcBorders>
            <w:tcMar>
              <w:bottom w:w="28" w:type="dxa"/>
            </w:tcMar>
            <w:vAlign w:val="center"/>
          </w:tcPr>
          <w:p>
            <w:pPr>
              <w:pStyle w:val="TableContents"/>
              <w:bidi w:val="0"/>
              <w:jc w:val="center"/>
              <w:rPr>
                <w:b/>
              </w:rPr>
            </w:pPr>
            <w:r>
              <w:rPr>
                <w:b/>
              </w:rPr>
              <w:t>Year Ended</w:t>
            </w:r>
          </w:p>
          <w:p>
            <w:pPr>
              <w:pStyle w:val="TableContents"/>
              <w:bidi w:val="0"/>
              <w:spacing w:before="0" w:after="283"/>
              <w:jc w:val="center"/>
              <w:rPr>
                <w:b/>
              </w:rPr>
            </w:pPr>
            <w:r>
              <w:rPr>
                <w:b/>
              </w:rPr>
              <w:t>December 31, 2024</w:t>
            </w:r>
          </w:p>
        </w:tc>
        <w:tc>
          <w:tcPr>
            <w:tcW w:w="75" w:type="dxa"/>
            <w:tcBorders/>
            <w:vAlign w:val="center"/>
          </w:tcPr>
          <w:p>
            <w:pPr>
              <w:pStyle w:val="TableContents"/>
              <w:bidi w:val="0"/>
              <w:spacing w:before="0" w:after="283"/>
              <w:jc w:val="left"/>
              <w:rPr/>
            </w:pPr>
            <w:r>
              <w:rPr/>
              <w:t> </w:t>
            </w:r>
            <w:bookmarkStart w:id="635" w:name="xdx_409_eus-gaap--DebtInstrumentIncrease"/>
            <w:bookmarkEnd w:id="635"/>
          </w:p>
        </w:tc>
      </w:tr>
      <w:tr>
        <w:trPr/>
        <w:tc>
          <w:tcPr>
            <w:tcW w:w="4655" w:type="dxa"/>
            <w:tcBorders/>
            <w:shd w:fill="CCEEFF" w:val="clear"/>
            <w:vAlign w:val="center"/>
          </w:tcPr>
          <w:p>
            <w:pPr>
              <w:pStyle w:val="TableContents"/>
              <w:bidi w:val="0"/>
              <w:spacing w:before="0" w:after="283"/>
              <w:jc w:val="both"/>
              <w:rPr/>
            </w:pPr>
            <w:r>
              <w:rPr/>
              <w:t xml:space="preserve">Stated interest at 8% per annum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710" w:type="dxa"/>
            <w:tcBorders/>
            <w:shd w:fill="CCEEFF" w:val="clear"/>
            <w:vAlign w:val="center"/>
          </w:tcPr>
          <w:p>
            <w:pPr>
              <w:pStyle w:val="TableContents"/>
              <w:bidi w:val="0"/>
              <w:spacing w:before="0" w:after="283"/>
              <w:jc w:val="right"/>
              <w:rPr/>
            </w:pPr>
            <w:r>
              <w:rPr/>
              <w:t>282,930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36" w:name="xdx_405_ecustom--AccretionOfDebtDiscount"/>
            <w:bookmarkEnd w:id="636"/>
          </w:p>
        </w:tc>
      </w:tr>
      <w:tr>
        <w:trPr/>
        <w:tc>
          <w:tcPr>
            <w:tcW w:w="4655" w:type="dxa"/>
            <w:tcBorders/>
            <w:shd w:fill="FFFFFF" w:val="clear"/>
            <w:vAlign w:val="center"/>
          </w:tcPr>
          <w:p>
            <w:pPr>
              <w:pStyle w:val="TableContents"/>
              <w:bidi w:val="0"/>
              <w:spacing w:before="0" w:after="283"/>
              <w:jc w:val="both"/>
              <w:rPr/>
            </w:pPr>
            <w:r>
              <w:rPr/>
              <w:t xml:space="preserve">Accretion of debt discount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249,530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637" w:name="xdx_403_ecustom--AccretionOfDebtIssuance"/>
            <w:bookmarkEnd w:id="637"/>
          </w:p>
        </w:tc>
      </w:tr>
      <w:tr>
        <w:trPr/>
        <w:tc>
          <w:tcPr>
            <w:tcW w:w="4655" w:type="dxa"/>
            <w:tcBorders/>
            <w:shd w:fill="CCEEFF" w:val="clear"/>
            <w:vAlign w:val="center"/>
          </w:tcPr>
          <w:p>
            <w:pPr>
              <w:pStyle w:val="TableContents"/>
              <w:bidi w:val="0"/>
              <w:spacing w:before="0" w:after="283"/>
              <w:jc w:val="both"/>
              <w:rPr/>
            </w:pPr>
            <w:r>
              <w:rPr/>
              <w:t xml:space="preserve">Accretion of debt issuance costs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20,548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38" w:name="xdx_405_ecustom--LossOnConversionOfConve"/>
            <w:bookmarkEnd w:id="638"/>
          </w:p>
        </w:tc>
      </w:tr>
      <w:tr>
        <w:trPr/>
        <w:tc>
          <w:tcPr>
            <w:tcW w:w="4655" w:type="dxa"/>
            <w:tcBorders/>
            <w:shd w:fill="FFFFFF" w:val="clear"/>
            <w:vAlign w:val="center"/>
          </w:tcPr>
          <w:p>
            <w:pPr>
              <w:pStyle w:val="TableContents"/>
              <w:bidi w:val="0"/>
              <w:spacing w:before="0" w:after="283"/>
              <w:jc w:val="both"/>
              <w:rPr/>
            </w:pPr>
            <w:r>
              <w:rPr/>
              <w:t xml:space="preserve">Loss on conversion of convertible notes payable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1,561,338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39" w:name="xdx_8AA_z8DvFiWMQRHi"/>
      <w:bookmarkEnd w:id="63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bifurcated derivative liability associated with the convertible notes is classified as a Level 3 instrument and remeasured at fair value at each reporting date using a Monte Carlo simulation model. For a full description of the valuation methodology, significant unobservable inputs (including the expected term, volatility, and risk-free rate assumptions), a roll-forward of the derivative liability balance, and the amounts of unrealized gains or losses recognized in earnings during 2025, refer to NOTE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40" w:name="xdx_80A_eus-gaap--DebtDisclosureTextBloc"/>
      <w:bookmarkEnd w:id="640"/>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11 - </w:t>
      </w:r>
      <w:bookmarkStart w:id="641" w:name="xdx_82E_z0mijT1mGllg"/>
      <w:bookmarkEnd w:id="641"/>
      <w:r>
        <w:rPr>
          <w:rFonts w:ascii="Times New Roman;Times;Serif" w:hAnsi="Times New Roman;Times;Serif"/>
          <w:b/>
          <w:i w:val="false"/>
          <w:caps w:val="false"/>
          <w:smallCaps w:val="false"/>
          <w:sz w:val="20"/>
        </w:rPr>
        <w:t>NOTE PAYABLE</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rPr>
      </w:pPr>
      <w:bookmarkStart w:id="642" w:name="xdx_896_eus-gaap--ScheduleOfDebtTableTex"/>
      <w:bookmarkEnd w:id="642"/>
      <w:r>
        <w:rPr>
          <w:rFonts w:ascii="Times New Roman;Times;Serif" w:hAnsi="Times New Roman;Times;Serif"/>
          <w:b w:val="false"/>
          <w:i w:val="false"/>
          <w:caps w:val="false"/>
          <w:smallCaps w:val="false"/>
          <w:sz w:val="20"/>
        </w:rPr>
        <w:t>Note payable consists of the following:</w:t>
      </w:r>
    </w:p>
    <w:p>
      <w:pPr>
        <w:pStyle w:val="TextBody"/>
        <w:bidi w:val="0"/>
        <w:spacing w:before="0" w:after="0"/>
        <w:ind w:left="576" w:right="0" w:hanging="576"/>
        <w:jc w:val="both"/>
        <w:rPr>
          <w:rFonts w:ascii="Times New Roman;Times;Serif" w:hAnsi="Times New Roman;Times;Serif"/>
          <w:b w:val="false"/>
          <w:i w:val="false"/>
          <w:caps w:val="false"/>
          <w:smallCaps w:val="false"/>
          <w:sz w:val="20"/>
        </w:rPr>
      </w:pPr>
      <w:bookmarkStart w:id="643" w:name="xdx_8BE_zbj3d6lYKw5a"/>
      <w:bookmarkEnd w:id="643"/>
      <w:r>
        <w:rPr>
          <w:rFonts w:ascii="Times New Roman;Times;Serif" w:hAnsi="Times New Roman;Times;Serif"/>
          <w:b w:val="false"/>
          <w:i w:val="false"/>
          <w:caps w:val="false"/>
          <w:smallCaps w:val="false"/>
          <w:sz w:val="20"/>
        </w:rPr>
        <w:t>SCHEDULE OF NOTES PAYABLE </w:t>
      </w:r>
    </w:p>
    <w:tbl>
      <w:tblPr>
        <w:tblW w:w="10205" w:type="dxa"/>
        <w:jc w:val="left"/>
        <w:tblInd w:w="0" w:type="dxa"/>
        <w:tblLayout w:type="fixed"/>
        <w:tblCellMar>
          <w:top w:w="0" w:type="dxa"/>
          <w:left w:w="0" w:type="dxa"/>
          <w:bottom w:w="0" w:type="dxa"/>
          <w:right w:w="0" w:type="dxa"/>
        </w:tblCellMar>
      </w:tblPr>
      <w:tblGrid>
        <w:gridCol w:w="8240"/>
        <w:gridCol w:w="60"/>
        <w:gridCol w:w="140"/>
        <w:gridCol w:w="680"/>
        <w:gridCol w:w="95"/>
        <w:gridCol w:w="60"/>
        <w:gridCol w:w="140"/>
        <w:gridCol w:w="680"/>
        <w:gridCol w:w="110"/>
      </w:tblGrid>
      <w:tr>
        <w:trPr/>
        <w:tc>
          <w:tcPr>
            <w:tcW w:w="8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44" w:name="xdx_490_20251231_zY1uXx3JHHaf"/>
            <w:bookmarkEnd w:id="644"/>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45" w:name="xdx_49B_20241231_zOy4I6ydoNf9"/>
            <w:bookmarkEnd w:id="645"/>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p>
        </w:tc>
      </w:tr>
      <w:tr>
        <w:trPr/>
        <w:tc>
          <w:tcPr>
            <w:tcW w:w="8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8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646" w:name="xdx_403_eus-gaap--NotesPayable_iI_maNPz2"/>
            <w:bookmarkEnd w:id="646"/>
          </w:p>
        </w:tc>
      </w:tr>
      <w:tr>
        <w:trPr/>
        <w:tc>
          <w:tcPr>
            <w:tcW w:w="8240" w:type="dxa"/>
            <w:tcBorders/>
            <w:shd w:fill="CCEEFF" w:val="clear"/>
            <w:vAlign w:val="center"/>
          </w:tcPr>
          <w:p>
            <w:pPr>
              <w:pStyle w:val="TableContents"/>
              <w:bidi w:val="0"/>
              <w:spacing w:before="0" w:after="283"/>
              <w:jc w:val="left"/>
              <w:rPr/>
            </w:pPr>
            <w:r>
              <w:rPr/>
              <w:t>Vehicle note payable for $</w:t>
            </w:r>
            <w:bookmarkStart w:id="647" w:name="xdx_904_ecustom--VehicleNotePayable_iI_c"/>
            <w:bookmarkEnd w:id="647"/>
            <w:r>
              <w:rPr/>
              <w:t>40,248 with monthly installment payments of $</w:t>
            </w:r>
            <w:bookmarkStart w:id="648" w:name="xdx_905_eus-gaap--DebtInstrumentPeriodic"/>
            <w:bookmarkEnd w:id="648"/>
            <w:r>
              <w:rPr/>
              <w:t xml:space="preserve">799, including interest at </w:t>
            </w:r>
            <w:bookmarkStart w:id="649" w:name="xdx_90B_eus-gaap--DebtInstrumentInterest"/>
            <w:bookmarkEnd w:id="649"/>
            <w:r>
              <w:rPr/>
              <w:t>6.99% per annum. The loan is collateralized by the respective vehicle and is due in February 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19,082</w:t>
            </w:r>
          </w:p>
        </w:tc>
        <w:tc>
          <w:tcPr>
            <w:tcW w:w="110" w:type="dxa"/>
            <w:tcBorders/>
            <w:shd w:fill="CCEEFF" w:val="clear"/>
            <w:vAlign w:val="center"/>
          </w:tcPr>
          <w:p>
            <w:pPr>
              <w:pStyle w:val="TableContents"/>
              <w:bidi w:val="0"/>
              <w:spacing w:before="0" w:after="283"/>
              <w:jc w:val="left"/>
              <w:rPr/>
            </w:pPr>
            <w:r>
              <w:rPr/>
              <w:t> </w:t>
            </w:r>
            <w:bookmarkStart w:id="650" w:name="xdx_405_eus-gaap--NotesPayableCurrent_iN"/>
            <w:bookmarkEnd w:id="650"/>
          </w:p>
        </w:tc>
      </w:tr>
      <w:tr>
        <w:trPr/>
        <w:tc>
          <w:tcPr>
            <w:tcW w:w="8240" w:type="dxa"/>
            <w:tcBorders/>
            <w:shd w:fill="FFFFFF" w:val="clear"/>
            <w:vAlign w:val="center"/>
          </w:tcPr>
          <w:p>
            <w:pPr>
              <w:pStyle w:val="TableContents"/>
              <w:bidi w:val="0"/>
              <w:spacing w:before="0" w:after="283"/>
              <w:jc w:val="left"/>
              <w:rPr/>
            </w:pPr>
            <w:r>
              <w:rPr/>
              <w:t>Less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(9,140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(8,524</w:t>
            </w:r>
          </w:p>
        </w:tc>
        <w:tc>
          <w:tcPr>
            <w:tcW w:w="110" w:type="dxa"/>
            <w:tcBorders/>
            <w:shd w:fill="FFFFFF" w:val="clear"/>
            <w:vAlign w:val="center"/>
          </w:tcPr>
          <w:p>
            <w:pPr>
              <w:pStyle w:val="TableContents"/>
              <w:bidi w:val="0"/>
              <w:spacing w:before="0" w:after="283"/>
              <w:jc w:val="left"/>
              <w:rPr/>
            </w:pPr>
            <w:r>
              <w:rPr/>
              <w:t>)</w:t>
            </w:r>
            <w:bookmarkStart w:id="651" w:name="xdx_408_eus-gaap--LongTermNotesPayable_i"/>
            <w:bookmarkEnd w:id="651"/>
          </w:p>
        </w:tc>
      </w:tr>
      <w:tr>
        <w:trPr/>
        <w:tc>
          <w:tcPr>
            <w:tcW w:w="8240" w:type="dxa"/>
            <w:tcBorders/>
            <w:shd w:fill="CCEEFF" w:val="clear"/>
            <w:vAlign w:val="center"/>
          </w:tcPr>
          <w:p>
            <w:pPr>
              <w:pStyle w:val="TableContents"/>
              <w:bidi w:val="0"/>
              <w:spacing w:before="0" w:after="283"/>
              <w:jc w:val="left"/>
              <w:rPr/>
            </w:pPr>
            <w:r>
              <w:rPr/>
              <w:t>LONG-TERM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1,418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10,558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576" w:right="0" w:hanging="576"/>
        <w:jc w:val="both"/>
        <w:rPr>
          <w:caps w:val="false"/>
          <w:smallCaps w:val="false"/>
        </w:rPr>
      </w:pPr>
      <w:bookmarkStart w:id="652" w:name="xdx_8A2_zas5o3AKQpD"/>
      <w:bookmarkEnd w:id="65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576" w:right="0" w:hanging="576"/>
        <w:jc w:val="both"/>
        <w:rPr>
          <w:rFonts w:ascii="Times New Roman;Times;Serif" w:hAnsi="Times New Roman;Times;Serif"/>
          <w:b w:val="false"/>
          <w:i w:val="false"/>
          <w:caps w:val="false"/>
          <w:smallCaps w:val="false"/>
          <w:sz w:val="20"/>
        </w:rPr>
      </w:pPr>
      <w:bookmarkStart w:id="653" w:name="xdx_89E_eus-gaap--ScheduleOfMaturitiesOf"/>
      <w:bookmarkEnd w:id="653"/>
      <w:r>
        <w:rPr>
          <w:rFonts w:ascii="Times New Roman;Times;Serif" w:hAnsi="Times New Roman;Times;Serif"/>
          <w:b w:val="false"/>
          <w:i w:val="false"/>
          <w:caps w:val="false"/>
          <w:smallCaps w:val="false"/>
          <w:sz w:val="20"/>
        </w:rPr>
        <w:t>At December 31, 2025 aggregate future principal payments on the note payable are as follows:</w:t>
      </w:r>
    </w:p>
    <w:p>
      <w:pPr>
        <w:pStyle w:val="TextBody"/>
        <w:bidi w:val="0"/>
        <w:spacing w:before="0" w:after="0"/>
        <w:ind w:left="576" w:right="0" w:hanging="576"/>
        <w:jc w:val="both"/>
        <w:rPr>
          <w:rFonts w:ascii="Times New Roman;Times;Serif" w:hAnsi="Times New Roman;Times;Serif"/>
          <w:b w:val="false"/>
          <w:i w:val="false"/>
          <w:caps w:val="false"/>
          <w:smallCaps w:val="false"/>
          <w:sz w:val="20"/>
        </w:rPr>
      </w:pPr>
      <w:bookmarkStart w:id="654" w:name="xdx_8B3_zvvKaOPGcLD1"/>
      <w:bookmarkEnd w:id="654"/>
      <w:r>
        <w:rPr>
          <w:rFonts w:ascii="Times New Roman;Times;Serif" w:hAnsi="Times New Roman;Times;Serif"/>
          <w:b w:val="false"/>
          <w:i w:val="false"/>
          <w:caps w:val="false"/>
          <w:smallCaps w:val="false"/>
          <w:sz w:val="20"/>
        </w:rPr>
        <w:t>SCHEDULE OF MATURITIES OF LONG-TERM DEBT </w:t>
      </w:r>
    </w:p>
    <w:tbl>
      <w:tblPr>
        <w:tblW w:w="1800" w:type="dxa"/>
        <w:jc w:val="left"/>
        <w:tblInd w:w="0" w:type="dxa"/>
        <w:tblLayout w:type="fixed"/>
        <w:tblCellMar>
          <w:top w:w="0" w:type="dxa"/>
          <w:left w:w="0" w:type="dxa"/>
          <w:bottom w:w="0" w:type="dxa"/>
          <w:right w:w="0" w:type="dxa"/>
        </w:tblCellMar>
      </w:tblPr>
      <w:tblGrid>
        <w:gridCol w:w="845"/>
        <w:gridCol w:w="60"/>
        <w:gridCol w:w="140"/>
        <w:gridCol w:w="680"/>
        <w:gridCol w:w="75"/>
      </w:tblGrid>
      <w:tr>
        <w:trPr/>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55" w:name="xdx_492_20251231_zC8gzYikvaPf"/>
            <w:bookmarkEnd w:id="655"/>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56" w:name="xdx_40E_eus-gaap--LongTermDebtMaturities"/>
            <w:bookmarkEnd w:id="656"/>
          </w:p>
        </w:tc>
      </w:tr>
      <w:tr>
        <w:trPr/>
        <w:tc>
          <w:tcPr>
            <w:tcW w:w="84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9,140</w:t>
            </w:r>
          </w:p>
        </w:tc>
        <w:tc>
          <w:tcPr>
            <w:tcW w:w="75" w:type="dxa"/>
            <w:tcBorders/>
            <w:shd w:fill="CCEEFF" w:val="clear"/>
            <w:vAlign w:val="center"/>
          </w:tcPr>
          <w:p>
            <w:pPr>
              <w:pStyle w:val="TableContents"/>
              <w:bidi w:val="0"/>
              <w:spacing w:before="0" w:after="283"/>
              <w:jc w:val="left"/>
              <w:rPr/>
            </w:pPr>
            <w:r>
              <w:rPr/>
              <w:t> </w:t>
            </w:r>
            <w:bookmarkStart w:id="657" w:name="xdx_40D_eus-gaap--LongTermDebtMaturities"/>
            <w:bookmarkEnd w:id="657"/>
          </w:p>
        </w:tc>
      </w:tr>
      <w:tr>
        <w:trPr/>
        <w:tc>
          <w:tcPr>
            <w:tcW w:w="84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1,418</w:t>
            </w:r>
          </w:p>
        </w:tc>
        <w:tc>
          <w:tcPr>
            <w:tcW w:w="75" w:type="dxa"/>
            <w:tcBorders/>
            <w:shd w:fill="FFFFFF" w:val="clear"/>
            <w:vAlign w:val="center"/>
          </w:tcPr>
          <w:p>
            <w:pPr>
              <w:pStyle w:val="TableContents"/>
              <w:bidi w:val="0"/>
              <w:spacing w:before="0" w:after="283"/>
              <w:jc w:val="left"/>
              <w:rPr/>
            </w:pPr>
            <w:r>
              <w:rPr/>
              <w:t> </w:t>
            </w:r>
            <w:bookmarkStart w:id="658" w:name="xdx_408_eus-gaap--NotesPayable_iTI_zWhtx"/>
            <w:bookmarkEnd w:id="658"/>
          </w:p>
        </w:tc>
      </w:tr>
      <w:tr>
        <w:trPr/>
        <w:tc>
          <w:tcPr>
            <w:tcW w:w="84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10,558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59" w:name="xdx_8A8_zrkOo3Abh5Ue"/>
      <w:bookmarkEnd w:id="65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this note payable for the years ended December 31, 2025 and 2024, was $</w:t>
      </w:r>
      <w:bookmarkStart w:id="660" w:name="xdx_902_eus-gaap--InterestExpenseLongTer"/>
      <w:bookmarkEnd w:id="660"/>
      <w:r>
        <w:rPr>
          <w:rFonts w:ascii="Times New Roman;Times;Serif" w:hAnsi="Times New Roman;Times;Serif"/>
          <w:b w:val="false"/>
          <w:i w:val="false"/>
          <w:caps w:val="false"/>
          <w:smallCaps w:val="false"/>
          <w:sz w:val="20"/>
        </w:rPr>
        <w:t>1,064 and $</w:t>
      </w:r>
      <w:bookmarkStart w:id="661" w:name="xdx_904_eus-gaap--InterestExpenseLongTer"/>
      <w:bookmarkEnd w:id="661"/>
      <w:r>
        <w:rPr>
          <w:rFonts w:ascii="Times New Roman;Times;Serif" w:hAnsi="Times New Roman;Times;Serif"/>
          <w:b w:val="false"/>
          <w:i w:val="false"/>
          <w:caps w:val="false"/>
          <w:smallCaps w:val="false"/>
          <w:sz w:val="20"/>
        </w:rPr>
        <w:t>1,635,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2" w:name="xdx_803_eus-gaap--IncomeTaxDisclosureTex"/>
      <w:bookmarkEnd w:id="662"/>
      <w:r>
        <w:rPr>
          <w:rFonts w:ascii="Times New Roman;Times;Serif" w:hAnsi="Times New Roman;Times;Serif"/>
          <w:b/>
          <w:i w:val="false"/>
          <w:caps w:val="false"/>
          <w:smallCaps w:val="false"/>
          <w:sz w:val="20"/>
        </w:rPr>
        <w:t xml:space="preserve">NOTE 12 - </w:t>
      </w:r>
      <w:bookmarkStart w:id="663" w:name="xdx_82C_zKN0xI0PxMPb"/>
      <w:bookmarkEnd w:id="663"/>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no current or deferred income tax benefit for the years ended December 31, 2025 and 2024, primarily due to losses and a full valuation allowance on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4" w:name="xdx_899_eus-gaap--ScheduleOfComponentsOf"/>
      <w:bookmarkEnd w:id="664"/>
      <w:r>
        <w:rPr>
          <w:rFonts w:ascii="Times New Roman;Times;Serif" w:hAnsi="Times New Roman;Times;Serif"/>
          <w:b w:val="false"/>
          <w:i w:val="false"/>
          <w:caps w:val="false"/>
          <w:smallCaps w:val="false"/>
          <w:sz w:val="20"/>
        </w:rPr>
        <w:t>The income tax benefit consists of the following:</w:t>
      </w:r>
    </w:p>
    <w:p>
      <w:pPr>
        <w:pStyle w:val="TextBody"/>
        <w:bidi w:val="0"/>
        <w:spacing w:before="0" w:after="0"/>
        <w:ind w:left="0" w:right="0" w:hanging="0"/>
        <w:jc w:val="both"/>
        <w:rPr>
          <w:caps w:val="false"/>
          <w:smallCaps w:val="false"/>
        </w:rPr>
      </w:pPr>
      <w:r>
        <w:rPr>
          <w:caps w:val="false"/>
          <w:smallCaps w:val="false"/>
        </w:rPr>
        <w:t> </w:t>
      </w:r>
      <w:bookmarkStart w:id="665" w:name="xdx_8B8_ztXAqv78aunk"/>
      <w:bookmarkEnd w:id="665"/>
      <w:r>
        <w:rPr>
          <w:rFonts w:ascii="Times New Roman;Times;Serif" w:hAnsi="Times New Roman;Times;Serif"/>
          <w:b w:val="false"/>
          <w:i w:val="false"/>
          <w:caps w:val="false"/>
          <w:smallCaps w:val="false"/>
          <w:sz w:val="20"/>
        </w:rPr>
        <w:t>SCHEDULE OF INCOME TAX BENEFIT</w:t>
      </w:r>
    </w:p>
    <w:tbl>
      <w:tblPr>
        <w:tblW w:w="6206" w:type="dxa"/>
        <w:jc w:val="left"/>
        <w:tblInd w:w="0" w:type="dxa"/>
        <w:tblLayout w:type="fixed"/>
        <w:tblCellMar>
          <w:top w:w="0" w:type="dxa"/>
          <w:left w:w="0" w:type="dxa"/>
          <w:bottom w:w="0" w:type="dxa"/>
          <w:right w:w="0" w:type="dxa"/>
        </w:tblCellMar>
      </w:tblPr>
      <w:tblGrid>
        <w:gridCol w:w="3230"/>
        <w:gridCol w:w="60"/>
        <w:gridCol w:w="154"/>
        <w:gridCol w:w="1164"/>
        <w:gridCol w:w="104"/>
        <w:gridCol w:w="66"/>
        <w:gridCol w:w="154"/>
        <w:gridCol w:w="1164"/>
        <w:gridCol w:w="110"/>
      </w:tblGrid>
      <w:tr>
        <w:trPr/>
        <w:tc>
          <w:tcPr>
            <w:tcW w:w="32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666" w:name="xdx_49E_20250101__20251231_zrWZCmetX8hk"/>
            <w:bookmarkEnd w:id="666"/>
          </w:p>
        </w:tc>
        <w:tc>
          <w:tcPr>
            <w:tcW w:w="1318"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04"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bookmarkStart w:id="667" w:name="xdx_499_20240101__20241231_z1AyeMcKGjO9"/>
            <w:bookmarkEnd w:id="667"/>
          </w:p>
        </w:tc>
        <w:tc>
          <w:tcPr>
            <w:tcW w:w="1318"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11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4"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668" w:name="xdx_402_eus-gaap--CurrentIncomeTaxExpens"/>
            <w:bookmarkEnd w:id="668"/>
          </w:p>
        </w:tc>
      </w:tr>
      <w:tr>
        <w:trPr/>
        <w:tc>
          <w:tcPr>
            <w:tcW w:w="3230" w:type="dxa"/>
            <w:tcBorders/>
            <w:shd w:fill="CCEEFF" w:val="clear"/>
            <w:vAlign w:val="center"/>
          </w:tcPr>
          <w:p>
            <w:pPr>
              <w:pStyle w:val="TableContents"/>
              <w:bidi w:val="0"/>
              <w:spacing w:before="0" w:after="283"/>
              <w:jc w:val="both"/>
              <w:rPr/>
            </w:pPr>
            <w:r>
              <w:rPr/>
              <w:t>Current Provision</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both"/>
              <w:rPr/>
            </w:pPr>
            <w:r>
              <w:rPr/>
              <w:t>Deferred:</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69" w:name="xdx_401_eus-gaap--DeferredFederalIncomeT"/>
            <w:bookmarkEnd w:id="669"/>
          </w:p>
        </w:tc>
      </w:tr>
      <w:tr>
        <w:trPr/>
        <w:tc>
          <w:tcPr>
            <w:tcW w:w="3230" w:type="dxa"/>
            <w:tcBorders/>
            <w:shd w:fill="CCEEFF" w:val="clear"/>
            <w:vAlign w:val="center"/>
          </w:tcPr>
          <w:p>
            <w:pPr>
              <w:pStyle w:val="TableContents"/>
              <w:bidi w:val="0"/>
              <w:spacing w:before="0" w:after="283"/>
              <w:jc w:val="both"/>
              <w:rPr/>
            </w:pPr>
            <w:r>
              <w:rPr/>
              <w:t>Federal</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2,430,664</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1,071,110</w:t>
            </w:r>
          </w:p>
        </w:tc>
        <w:tc>
          <w:tcPr>
            <w:tcW w:w="110" w:type="dxa"/>
            <w:tcBorders/>
            <w:shd w:fill="CCEEFF" w:val="clear"/>
            <w:vAlign w:val="center"/>
          </w:tcPr>
          <w:p>
            <w:pPr>
              <w:pStyle w:val="TableContents"/>
              <w:bidi w:val="0"/>
              <w:spacing w:before="0" w:after="283"/>
              <w:jc w:val="left"/>
              <w:rPr/>
            </w:pPr>
            <w:r>
              <w:rPr/>
              <w:t> </w:t>
            </w:r>
            <w:bookmarkStart w:id="670" w:name="xdx_40B_eus-gaap--DeferredStateAndLocalI"/>
            <w:bookmarkEnd w:id="670"/>
          </w:p>
        </w:tc>
      </w:tr>
      <w:tr>
        <w:trPr/>
        <w:tc>
          <w:tcPr>
            <w:tcW w:w="3230" w:type="dxa"/>
            <w:tcBorders/>
            <w:shd w:fill="FFFFFF" w:val="clear"/>
            <w:vAlign w:val="center"/>
          </w:tcPr>
          <w:p>
            <w:pPr>
              <w:pStyle w:val="TableContents"/>
              <w:bidi w:val="0"/>
              <w:spacing w:before="0" w:after="283"/>
              <w:jc w:val="both"/>
              <w:rPr/>
            </w:pPr>
            <w:r>
              <w:rPr/>
              <w:t>State</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shd w:fill="FFFFFF" w:val="clear"/>
            <w:tcMar>
              <w:bottom w:w="28" w:type="dxa"/>
            </w:tcMar>
            <w:vAlign w:val="center"/>
          </w:tcPr>
          <w:p>
            <w:pPr>
              <w:pStyle w:val="TableContents"/>
              <w:bidi w:val="0"/>
              <w:spacing w:before="0" w:after="283"/>
              <w:jc w:val="right"/>
              <w:rPr/>
            </w:pPr>
            <w:r>
              <w:rPr/>
              <w:t>306,523</w:t>
            </w:r>
          </w:p>
        </w:tc>
        <w:tc>
          <w:tcPr>
            <w:tcW w:w="1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shd w:fill="FFFFFF" w:val="clear"/>
            <w:tcMar>
              <w:bottom w:w="28" w:type="dxa"/>
            </w:tcMar>
            <w:vAlign w:val="center"/>
          </w:tcPr>
          <w:p>
            <w:pPr>
              <w:pStyle w:val="TableContents"/>
              <w:bidi w:val="0"/>
              <w:spacing w:before="0" w:after="283"/>
              <w:jc w:val="right"/>
              <w:rPr/>
            </w:pPr>
            <w:r>
              <w:rPr/>
              <w:t>162,039</w:t>
            </w:r>
          </w:p>
        </w:tc>
        <w:tc>
          <w:tcPr>
            <w:tcW w:w="110" w:type="dxa"/>
            <w:tcBorders/>
            <w:shd w:fill="FFFFFF" w:val="clear"/>
            <w:vAlign w:val="center"/>
          </w:tcPr>
          <w:p>
            <w:pPr>
              <w:pStyle w:val="TableContents"/>
              <w:bidi w:val="0"/>
              <w:spacing w:before="0" w:after="283"/>
              <w:jc w:val="left"/>
              <w:rPr/>
            </w:pPr>
            <w:r>
              <w:rPr/>
              <w:t> </w:t>
            </w:r>
            <w:bookmarkStart w:id="671" w:name="xdx_405_eus-gaap--DeferredIncomeTaxExpen"/>
            <w:bookmarkEnd w:id="671"/>
          </w:p>
        </w:tc>
      </w:tr>
      <w:tr>
        <w:trPr/>
        <w:tc>
          <w:tcPr>
            <w:tcW w:w="3230" w:type="dxa"/>
            <w:tcBorders/>
            <w:shd w:fill="CCEEFF" w:val="clear"/>
            <w:vAlign w:val="center"/>
          </w:tcPr>
          <w:p>
            <w:pPr>
              <w:pStyle w:val="TableContents"/>
              <w:bidi w:val="0"/>
              <w:spacing w:before="0" w:after="283"/>
              <w:jc w:val="both"/>
              <w:rPr/>
            </w:pPr>
            <w:r>
              <w:rPr/>
              <w:t>Total deferred provision</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2,737,187</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1,233,149</w:t>
            </w:r>
          </w:p>
        </w:tc>
        <w:tc>
          <w:tcPr>
            <w:tcW w:w="110" w:type="dxa"/>
            <w:tcBorders/>
            <w:shd w:fill="CCEEFF" w:val="clear"/>
            <w:vAlign w:val="center"/>
          </w:tcPr>
          <w:p>
            <w:pPr>
              <w:pStyle w:val="TableContents"/>
              <w:bidi w:val="0"/>
              <w:spacing w:before="0" w:after="283"/>
              <w:jc w:val="left"/>
              <w:rPr/>
            </w:pPr>
            <w:r>
              <w:rPr/>
              <w:t> </w:t>
            </w:r>
            <w:bookmarkStart w:id="672" w:name="xdx_40C_eus-gaap--ValuationAllowanceDefe"/>
            <w:bookmarkEnd w:id="672"/>
          </w:p>
        </w:tc>
      </w:tr>
      <w:tr>
        <w:trPr/>
        <w:tc>
          <w:tcPr>
            <w:tcW w:w="3230" w:type="dxa"/>
            <w:tcBorders/>
            <w:shd w:fill="FFFFFF" w:val="clear"/>
            <w:vAlign w:val="center"/>
          </w:tcPr>
          <w:p>
            <w:pPr>
              <w:pStyle w:val="TableContents"/>
              <w:bidi w:val="0"/>
              <w:spacing w:before="0" w:after="283"/>
              <w:jc w:val="both"/>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(2,737,187</w:t>
            </w:r>
          </w:p>
        </w:tc>
        <w:tc>
          <w:tcPr>
            <w:tcW w:w="104"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(1,233,149</w:t>
            </w:r>
          </w:p>
        </w:tc>
        <w:tc>
          <w:tcPr>
            <w:tcW w:w="110" w:type="dxa"/>
            <w:tcBorders/>
            <w:shd w:fill="FFFFFF" w:val="clear"/>
            <w:vAlign w:val="center"/>
          </w:tcPr>
          <w:p>
            <w:pPr>
              <w:pStyle w:val="TableContents"/>
              <w:bidi w:val="0"/>
              <w:spacing w:before="0" w:after="283"/>
              <w:jc w:val="left"/>
              <w:rPr/>
            </w:pPr>
            <w:r>
              <w:rPr/>
              <w:t>)</w:t>
            </w:r>
            <w:bookmarkStart w:id="673" w:name="xdx_40C_eus-gaap--IncomeTaxExpenseBenefi"/>
            <w:bookmarkEnd w:id="673"/>
          </w:p>
        </w:tc>
      </w:tr>
      <w:tr>
        <w:trPr/>
        <w:tc>
          <w:tcPr>
            <w:tcW w:w="3230" w:type="dxa"/>
            <w:tcBorders/>
            <w:shd w:fill="CCEEFF" w:val="clear"/>
            <w:vAlign w:val="center"/>
          </w:tcPr>
          <w:p>
            <w:pPr>
              <w:pStyle w:val="TableContents"/>
              <w:bidi w:val="0"/>
              <w:spacing w:before="0" w:after="283"/>
              <w:jc w:val="both"/>
              <w:rPr/>
            </w:pPr>
            <w:r>
              <w:rPr/>
              <w:t>INCOME TAX BENEFIT, NET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74" w:name="xdx_8A5_zJurrNdCP9X"/>
      <w:bookmarkEnd w:id="67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presented above, </w:t>
      </w:r>
      <w:bookmarkStart w:id="675" w:name="xdx_90C_eus-gaap--IncomeTaxExpenseBenefi"/>
      <w:bookmarkStart w:id="676" w:name="xdx_90F_eus-gaap--IncomeTaxExpenseBenefi"/>
      <w:bookmarkEnd w:id="675"/>
      <w:bookmarkEnd w:id="676"/>
      <w:r>
        <w:rPr>
          <w:rFonts w:ascii="Times New Roman;Times;Serif" w:hAnsi="Times New Roman;Times;Serif"/>
          <w:b w:val="false"/>
          <w:i w:val="false"/>
          <w:caps w:val="false"/>
          <w:smallCaps w:val="false"/>
          <w:sz w:val="20"/>
        </w:rPr>
        <w:t>no benefit (provision) for income taxes has been recognized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Enhanced Disclosures (ASU 2023-09 – 2025)</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ASU 2023-09 on January 1, 2025, on a prospective basis. Accordingly, the enhanced income tax disclosures required under the ASU are presented only for the year ended December 31, 2025. Prior period amounts have not been recast and are therefore not comparable.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federal statutory rate to the Company’s effective tax rate is as follows. In accordance with ASU 2023-09, reconciling items greater than 5% of the statutory tax rate are presented separately. Amounts below this threshold are aggregated within “Other.” The 2025 reconciliation below is not presented on a comparable basis with prior periods due to the adoption of ASU 2023-09.</w:t>
      </w:r>
    </w:p>
    <w:p>
      <w:pPr>
        <w:pStyle w:val="TextBody"/>
        <w:bidi w:val="0"/>
        <w:spacing w:before="0" w:after="0"/>
        <w:ind w:left="0" w:right="0" w:hanging="0"/>
        <w:jc w:val="both"/>
        <w:rPr>
          <w:caps w:val="false"/>
          <w:smallCaps w:val="false"/>
        </w:rPr>
      </w:pPr>
      <w:bookmarkStart w:id="677" w:name="xdx_892_eus-gaap--ScheduleOfEffectiveInc"/>
      <w:bookmarkEnd w:id="677"/>
      <w:r>
        <w:rPr>
          <w:caps w:val="false"/>
          <w:smallCaps w:val="false"/>
        </w:rPr>
        <w:t> </w:t>
      </w:r>
      <w:bookmarkStart w:id="678" w:name="xdx_8B6_z0Hkyo4erjGk"/>
      <w:bookmarkEnd w:id="678"/>
      <w:r>
        <w:rPr>
          <w:rFonts w:ascii="Times New Roman;Times;Serif" w:hAnsi="Times New Roman;Times;Serif"/>
          <w:b w:val="false"/>
          <w:i w:val="false"/>
          <w:caps w:val="false"/>
          <w:smallCaps w:val="false"/>
          <w:sz w:val="20"/>
        </w:rPr>
        <w:t>SCHEDULE OF RECONCILIATION OF THE STATUTORY TAX RATE</w:t>
      </w:r>
    </w:p>
    <w:tbl>
      <w:tblPr>
        <w:tblW w:w="7148" w:type="dxa"/>
        <w:jc w:val="left"/>
        <w:tblInd w:w="0" w:type="dxa"/>
        <w:tblLayout w:type="fixed"/>
        <w:tblCellMar>
          <w:top w:w="0" w:type="dxa"/>
          <w:left w:w="0" w:type="dxa"/>
          <w:bottom w:w="0" w:type="dxa"/>
          <w:right w:w="0" w:type="dxa"/>
        </w:tblCellMar>
      </w:tblPr>
      <w:tblGrid>
        <w:gridCol w:w="4085"/>
        <w:gridCol w:w="60"/>
        <w:gridCol w:w="193"/>
        <w:gridCol w:w="1461"/>
        <w:gridCol w:w="95"/>
        <w:gridCol w:w="60"/>
        <w:gridCol w:w="92"/>
        <w:gridCol w:w="797"/>
        <w:gridCol w:w="305"/>
      </w:tblGrid>
      <w:tr>
        <w:trPr/>
        <w:tc>
          <w:tcPr>
            <w:tcW w:w="40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 (in dollars)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79" w:name="xdx_491_20250101__20251231_zyfXRf9BonVe"/>
            <w:bookmarkEnd w:id="679"/>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305" w:type="dxa"/>
            <w:tcBorders/>
            <w:vAlign w:val="center"/>
          </w:tcPr>
          <w:p>
            <w:pPr>
              <w:pStyle w:val="TableContents"/>
              <w:bidi w:val="0"/>
              <w:spacing w:before="0" w:after="283"/>
              <w:jc w:val="left"/>
              <w:rPr/>
            </w:pPr>
            <w:r>
              <w:rPr/>
              <w:t> </w:t>
            </w:r>
            <w:bookmarkStart w:id="680" w:name="xdx_40C_eus-gaap--EffectiveIncomeTaxRate"/>
            <w:bookmarkEnd w:id="680"/>
          </w:p>
        </w:tc>
      </w:tr>
      <w:tr>
        <w:trPr/>
        <w:tc>
          <w:tcPr>
            <w:tcW w:w="4085" w:type="dxa"/>
            <w:tcBorders/>
            <w:shd w:fill="CCEEFF" w:val="clear"/>
            <w:vAlign w:val="center"/>
          </w:tcPr>
          <w:p>
            <w:pPr>
              <w:pStyle w:val="TableContents"/>
              <w:bidi w:val="0"/>
              <w:spacing w:before="0" w:after="283"/>
              <w:jc w:val="both"/>
              <w:rPr/>
            </w:pPr>
            <w:r>
              <w:rPr/>
              <w:t>Statutory federal income tax rate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bookmarkStart w:id="681" w:name="xdx_98B_eus-gaap--IncomeTaxReconciliatio"/>
            <w:bookmarkEnd w:id="681"/>
          </w:p>
        </w:tc>
        <w:tc>
          <w:tcPr>
            <w:tcW w:w="1461" w:type="dxa"/>
            <w:tcBorders/>
            <w:shd w:fill="CCEEFF" w:val="clear"/>
            <w:vAlign w:val="center"/>
          </w:tcPr>
          <w:p>
            <w:pPr>
              <w:pStyle w:val="TableContents"/>
              <w:bidi w:val="0"/>
              <w:spacing w:before="0" w:after="283"/>
              <w:jc w:val="right"/>
              <w:rPr/>
            </w:pPr>
            <w:r>
              <w:rPr/>
              <w:t>(2,693,540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21.0</w:t>
            </w:r>
          </w:p>
        </w:tc>
        <w:tc>
          <w:tcPr>
            <w:tcW w:w="305" w:type="dxa"/>
            <w:tcBorders/>
            <w:shd w:fill="CCEEFF" w:val="clear"/>
            <w:vAlign w:val="center"/>
          </w:tcPr>
          <w:p>
            <w:pPr>
              <w:pStyle w:val="TableContents"/>
              <w:bidi w:val="0"/>
              <w:spacing w:before="0" w:after="283"/>
              <w:jc w:val="left"/>
              <w:rPr/>
            </w:pPr>
            <w:r>
              <w:rPr/>
              <w:t>%</w:t>
            </w:r>
            <w:bookmarkStart w:id="682" w:name="xdx_40E_eus-gaap--EffectiveIncomeTaxRate"/>
            <w:bookmarkEnd w:id="682"/>
          </w:p>
        </w:tc>
      </w:tr>
      <w:tr>
        <w:trPr/>
        <w:tc>
          <w:tcPr>
            <w:tcW w:w="4085" w:type="dxa"/>
            <w:tcBorders/>
            <w:shd w:fill="FFFFFF" w:val="clear"/>
            <w:vAlign w:val="center"/>
          </w:tcPr>
          <w:p>
            <w:pPr>
              <w:pStyle w:val="TableContents"/>
              <w:bidi w:val="0"/>
              <w:spacing w:before="0" w:after="283"/>
              <w:jc w:val="both"/>
              <w:rPr/>
            </w:pPr>
            <w:r>
              <w:rPr/>
              <w:t>State taxes, net of federal income tax effect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bookmarkStart w:id="683" w:name="xdx_980_eus-gaap--IncomeTaxReconciliatio"/>
            <w:bookmarkEnd w:id="683"/>
          </w:p>
        </w:tc>
        <w:tc>
          <w:tcPr>
            <w:tcW w:w="1461" w:type="dxa"/>
            <w:tcBorders/>
            <w:shd w:fill="FFFFFF" w:val="clear"/>
            <w:vAlign w:val="center"/>
          </w:tcPr>
          <w:p>
            <w:pPr>
              <w:pStyle w:val="TableContents"/>
              <w:bidi w:val="0"/>
              <w:spacing w:before="0" w:after="283"/>
              <w:jc w:val="right"/>
              <w:rPr/>
            </w:pPr>
            <w:r>
              <w:rPr/>
              <w:t>(428,716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3.3</w:t>
            </w:r>
          </w:p>
        </w:tc>
        <w:tc>
          <w:tcPr>
            <w:tcW w:w="305" w:type="dxa"/>
            <w:tcBorders/>
            <w:shd w:fill="FFFFFF" w:val="clear"/>
            <w:vAlign w:val="center"/>
          </w:tcPr>
          <w:p>
            <w:pPr>
              <w:pStyle w:val="TableContents"/>
              <w:bidi w:val="0"/>
              <w:spacing w:before="0" w:after="283"/>
              <w:jc w:val="left"/>
              <w:rPr/>
            </w:pPr>
            <w:r>
              <w:rPr/>
              <w:t>%</w:t>
            </w:r>
            <w:bookmarkStart w:id="684" w:name="xdx_406_eus-gaap--EffectiveIncomeTaxRate"/>
            <w:bookmarkEnd w:id="684"/>
          </w:p>
        </w:tc>
      </w:tr>
      <w:tr>
        <w:trPr/>
        <w:tc>
          <w:tcPr>
            <w:tcW w:w="4085" w:type="dxa"/>
            <w:tcBorders/>
            <w:shd w:fill="CCEEFF" w:val="clear"/>
            <w:vAlign w:val="center"/>
          </w:tcPr>
          <w:p>
            <w:pPr>
              <w:pStyle w:val="TableContents"/>
              <w:bidi w:val="0"/>
              <w:spacing w:before="0" w:after="283"/>
              <w:jc w:val="both"/>
              <w:rPr/>
            </w:pPr>
            <w:r>
              <w:rPr/>
              <w:t>Other</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bookmarkStart w:id="685" w:name="xdx_98F_eus-gaap--IncomeTaxReconciliatio"/>
            <w:bookmarkEnd w:id="685"/>
          </w:p>
        </w:tc>
        <w:tc>
          <w:tcPr>
            <w:tcW w:w="1461" w:type="dxa"/>
            <w:tcBorders/>
            <w:shd w:fill="CCEEFF" w:val="clear"/>
            <w:vAlign w:val="center"/>
          </w:tcPr>
          <w:p>
            <w:pPr>
              <w:pStyle w:val="TableContents"/>
              <w:bidi w:val="0"/>
              <w:spacing w:before="0" w:after="283"/>
              <w:jc w:val="right"/>
              <w:rPr/>
            </w:pPr>
            <w:r>
              <w:rPr/>
              <w:t>11,521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(0.1</w:t>
            </w:r>
          </w:p>
        </w:tc>
        <w:tc>
          <w:tcPr>
            <w:tcW w:w="305" w:type="dxa"/>
            <w:tcBorders/>
            <w:shd w:fill="CCEEFF" w:val="clear"/>
            <w:vAlign w:val="center"/>
          </w:tcPr>
          <w:p>
            <w:pPr>
              <w:pStyle w:val="TableContents"/>
              <w:bidi w:val="0"/>
              <w:spacing w:before="0" w:after="283"/>
              <w:jc w:val="left"/>
              <w:rPr/>
            </w:pPr>
            <w:r>
              <w:rPr/>
              <w:t>)%</w:t>
            </w:r>
            <w:bookmarkStart w:id="686" w:name="xdx_40E_eus-gaap--EffectiveIncomeTaxRate"/>
            <w:bookmarkEnd w:id="686"/>
          </w:p>
        </w:tc>
      </w:tr>
      <w:tr>
        <w:trPr/>
        <w:tc>
          <w:tcPr>
            <w:tcW w:w="4085" w:type="dxa"/>
            <w:tcBorders/>
            <w:shd w:fill="FFFFFF" w:val="clear"/>
            <w:vAlign w:val="center"/>
          </w:tcPr>
          <w:p>
            <w:pPr>
              <w:pStyle w:val="TableContents"/>
              <w:bidi w:val="0"/>
              <w:spacing w:before="0" w:after="283"/>
              <w:jc w:val="both"/>
              <w:rPr/>
            </w:pPr>
            <w:r>
              <w:rPr/>
              <w:t>Equity-settled debt loss (non-deductible)</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bookmarkStart w:id="687" w:name="xdx_982_eus-gaap--IncomeTaxReconciliatio"/>
            <w:bookmarkEnd w:id="687"/>
          </w:p>
        </w:tc>
        <w:tc>
          <w:tcPr>
            <w:tcW w:w="1461" w:type="dxa"/>
            <w:tcBorders/>
            <w:shd w:fill="FFFFFF" w:val="clear"/>
            <w:vAlign w:val="center"/>
          </w:tcPr>
          <w:p>
            <w:pPr>
              <w:pStyle w:val="TableContents"/>
              <w:bidi w:val="0"/>
              <w:spacing w:before="0" w:after="283"/>
              <w:jc w:val="right"/>
              <w:rPr/>
            </w:pPr>
            <w:r>
              <w:rPr/>
              <w:t>373,549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(2.9</w:t>
            </w:r>
          </w:p>
        </w:tc>
        <w:tc>
          <w:tcPr>
            <w:tcW w:w="305" w:type="dxa"/>
            <w:tcBorders/>
            <w:shd w:fill="FFFFFF" w:val="clear"/>
            <w:vAlign w:val="center"/>
          </w:tcPr>
          <w:p>
            <w:pPr>
              <w:pStyle w:val="TableContents"/>
              <w:bidi w:val="0"/>
              <w:spacing w:before="0" w:after="283"/>
              <w:jc w:val="left"/>
              <w:rPr/>
            </w:pPr>
            <w:r>
              <w:rPr/>
              <w:t>)%</w:t>
            </w:r>
            <w:bookmarkStart w:id="688" w:name="xdx_407_eus-gaap--EffectiveIncomeTaxRate"/>
            <w:bookmarkEnd w:id="688"/>
          </w:p>
        </w:tc>
      </w:tr>
      <w:tr>
        <w:trPr/>
        <w:tc>
          <w:tcPr>
            <w:tcW w:w="4085" w:type="dxa"/>
            <w:tcBorders/>
            <w:shd w:fill="CCEEFF" w:val="clear"/>
            <w:vAlign w:val="center"/>
          </w:tcPr>
          <w:p>
            <w:pPr>
              <w:pStyle w:val="TableContents"/>
              <w:bidi w:val="0"/>
              <w:spacing w:before="0" w:after="283"/>
              <w:jc w:val="both"/>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89" w:name="xdx_983_eus-gaap--IncomeTaxReconciliatio"/>
            <w:bookmarkEnd w:id="689"/>
          </w:p>
        </w:tc>
        <w:tc>
          <w:tcPr>
            <w:tcW w:w="1461" w:type="dxa"/>
            <w:tcBorders>
              <w:bottom w:val="single" w:sz="8" w:space="0" w:color="000000"/>
            </w:tcBorders>
            <w:shd w:fill="CCEEFF" w:val="clear"/>
            <w:tcMar>
              <w:bottom w:w="28" w:type="dxa"/>
            </w:tcMar>
            <w:vAlign w:val="center"/>
          </w:tcPr>
          <w:p>
            <w:pPr>
              <w:pStyle w:val="TableContents"/>
              <w:bidi w:val="0"/>
              <w:spacing w:before="0" w:after="283"/>
              <w:jc w:val="right"/>
              <w:rPr/>
            </w:pPr>
            <w:r>
              <w:rPr/>
              <w:t>2,737,186</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7" w:type="dxa"/>
            <w:tcBorders>
              <w:bottom w:val="single" w:sz="8" w:space="0" w:color="000000"/>
            </w:tcBorders>
            <w:shd w:fill="CCEEFF" w:val="clear"/>
            <w:tcMar>
              <w:bottom w:w="28" w:type="dxa"/>
            </w:tcMar>
            <w:vAlign w:val="center"/>
          </w:tcPr>
          <w:p>
            <w:pPr>
              <w:pStyle w:val="TableContents"/>
              <w:bidi w:val="0"/>
              <w:spacing w:before="0" w:after="283"/>
              <w:jc w:val="right"/>
              <w:rPr/>
            </w:pPr>
            <w:r>
              <w:rPr/>
              <w:t>(21.3</w:t>
            </w:r>
          </w:p>
        </w:tc>
        <w:tc>
          <w:tcPr>
            <w:tcW w:w="305" w:type="dxa"/>
            <w:tcBorders/>
            <w:shd w:fill="CCEEFF" w:val="clear"/>
            <w:vAlign w:val="center"/>
          </w:tcPr>
          <w:p>
            <w:pPr>
              <w:pStyle w:val="TableContents"/>
              <w:bidi w:val="0"/>
              <w:spacing w:before="0" w:after="283"/>
              <w:jc w:val="left"/>
              <w:rPr/>
            </w:pPr>
            <w:r>
              <w:rPr/>
              <w:t>)%</w:t>
            </w:r>
            <w:bookmarkStart w:id="690" w:name="xdx_40B_eus-gaap--EffectiveIncomeTaxRate"/>
            <w:bookmarkEnd w:id="690"/>
          </w:p>
        </w:tc>
      </w:tr>
      <w:tr>
        <w:trPr/>
        <w:tc>
          <w:tcPr>
            <w:tcW w:w="4085" w:type="dxa"/>
            <w:tcBorders/>
            <w:shd w:fill="FFFFFF" w:val="clear"/>
            <w:vAlign w:val="center"/>
          </w:tcPr>
          <w:p>
            <w:pPr>
              <w:pStyle w:val="TableContents"/>
              <w:bidi w:val="0"/>
              <w:spacing w:before="0" w:after="283"/>
              <w:jc w:val="both"/>
              <w:rPr/>
            </w:pPr>
            <w:r>
              <w:rPr/>
              <w:t>INCOME TAX BENEFIT, NET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691" w:name="xdx_983_eus-gaap--IncomeTaxExpenseBenefi"/>
            <w:bookmarkEnd w:id="691"/>
          </w:p>
        </w:tc>
        <w:tc>
          <w:tcPr>
            <w:tcW w:w="146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7" w:type="dxa"/>
            <w:tcBorders>
              <w:bottom w:val="double" w:sz="6" w:space="0" w:color="000000"/>
            </w:tcBorders>
            <w:shd w:fill="FFFFFF" w:val="clear"/>
            <w:tcMar>
              <w:bottom w:w="28" w:type="dxa"/>
            </w:tcMar>
            <w:vAlign w:val="center"/>
          </w:tcPr>
          <w:p>
            <w:pPr>
              <w:pStyle w:val="TableContents"/>
              <w:bidi w:val="0"/>
              <w:spacing w:before="0" w:after="283"/>
              <w:jc w:val="right"/>
              <w:rPr/>
            </w:pPr>
            <w:r>
              <w:rPr/>
              <w:t>0.0</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federal, state, or foreign income taxes paid in the year ended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Legacy Disclosures (ASC 740 – 2024)</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the statutory federal income tax rate applied to pre-tax net loss compared to the income tax benefit in the statement of operations as of December 31, 2024.</w:t>
      </w:r>
    </w:p>
    <w:p>
      <w:pPr>
        <w:pStyle w:val="TextBody"/>
        <w:bidi w:val="0"/>
        <w:jc w:val="both"/>
        <w:rPr>
          <w:caps w:val="false"/>
          <w:smallCaps w:val="false"/>
        </w:rPr>
      </w:pPr>
      <w:r>
        <w:rPr>
          <w:caps w:val="false"/>
          <w:smallCaps w:val="false"/>
        </w:rPr>
        <w:t> </w:t>
      </w:r>
    </w:p>
    <w:tbl>
      <w:tblPr>
        <w:tblW w:w="7148" w:type="dxa"/>
        <w:jc w:val="left"/>
        <w:tblInd w:w="0" w:type="dxa"/>
        <w:tblLayout w:type="fixed"/>
        <w:tblCellMar>
          <w:top w:w="0" w:type="dxa"/>
          <w:left w:w="0" w:type="dxa"/>
          <w:bottom w:w="0" w:type="dxa"/>
          <w:right w:w="0" w:type="dxa"/>
        </w:tblCellMar>
      </w:tblPr>
      <w:tblGrid>
        <w:gridCol w:w="4085"/>
        <w:gridCol w:w="60"/>
        <w:gridCol w:w="206"/>
        <w:gridCol w:w="1448"/>
        <w:gridCol w:w="95"/>
        <w:gridCol w:w="60"/>
        <w:gridCol w:w="92"/>
        <w:gridCol w:w="797"/>
        <w:gridCol w:w="305"/>
      </w:tblGrid>
      <w:tr>
        <w:trPr/>
        <w:tc>
          <w:tcPr>
            <w:tcW w:w="40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 (in dollars)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2" w:name="xdx_499_20240101__20241231_zBgauImMzCrh"/>
            <w:bookmarkEnd w:id="692"/>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305" w:type="dxa"/>
            <w:tcBorders/>
            <w:vAlign w:val="center"/>
          </w:tcPr>
          <w:p>
            <w:pPr>
              <w:pStyle w:val="TableContents"/>
              <w:bidi w:val="0"/>
              <w:spacing w:before="0" w:after="283"/>
              <w:jc w:val="left"/>
              <w:rPr/>
            </w:pPr>
            <w:r>
              <w:rPr/>
              <w:t> </w:t>
            </w:r>
            <w:bookmarkStart w:id="693" w:name="xdx_40C_eus-gaap--EffectiveIncomeTaxRate"/>
            <w:bookmarkEnd w:id="693"/>
          </w:p>
        </w:tc>
      </w:tr>
      <w:tr>
        <w:trPr/>
        <w:tc>
          <w:tcPr>
            <w:tcW w:w="4085" w:type="dxa"/>
            <w:tcBorders/>
            <w:shd w:fill="CCEEFF" w:val="clear"/>
            <w:vAlign w:val="center"/>
          </w:tcPr>
          <w:p>
            <w:pPr>
              <w:pStyle w:val="TableContents"/>
              <w:bidi w:val="0"/>
              <w:spacing w:before="0" w:after="283"/>
              <w:jc w:val="both"/>
              <w:rPr/>
            </w:pPr>
            <w:r>
              <w:rPr/>
              <w:t>Statutory federal income tax rate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bookmarkStart w:id="694" w:name="xdx_98A_eus-gaap--IncomeTaxReconciliatio"/>
            <w:bookmarkEnd w:id="694"/>
          </w:p>
        </w:tc>
        <w:tc>
          <w:tcPr>
            <w:tcW w:w="1448" w:type="dxa"/>
            <w:tcBorders/>
            <w:shd w:fill="CCEEFF" w:val="clear"/>
            <w:vAlign w:val="center"/>
          </w:tcPr>
          <w:p>
            <w:pPr>
              <w:pStyle w:val="TableContents"/>
              <w:bidi w:val="0"/>
              <w:spacing w:before="0" w:after="283"/>
              <w:jc w:val="right"/>
              <w:rPr/>
            </w:pPr>
            <w:r>
              <w:rPr/>
              <w:t>(952,951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21.0</w:t>
            </w:r>
          </w:p>
        </w:tc>
        <w:tc>
          <w:tcPr>
            <w:tcW w:w="305" w:type="dxa"/>
            <w:tcBorders/>
            <w:shd w:fill="CCEEFF" w:val="clear"/>
            <w:vAlign w:val="center"/>
          </w:tcPr>
          <w:p>
            <w:pPr>
              <w:pStyle w:val="TableContents"/>
              <w:bidi w:val="0"/>
              <w:spacing w:before="0" w:after="283"/>
              <w:jc w:val="left"/>
              <w:rPr/>
            </w:pPr>
            <w:r>
              <w:rPr/>
              <w:t>%</w:t>
            </w:r>
            <w:bookmarkStart w:id="695" w:name="xdx_403_eus-gaap--EffectiveIncomeTaxRate"/>
            <w:bookmarkEnd w:id="695"/>
          </w:p>
        </w:tc>
      </w:tr>
      <w:tr>
        <w:trPr/>
        <w:tc>
          <w:tcPr>
            <w:tcW w:w="4085" w:type="dxa"/>
            <w:tcBorders/>
            <w:shd w:fill="FFFFFF" w:val="clear"/>
            <w:vAlign w:val="center"/>
          </w:tcPr>
          <w:p>
            <w:pPr>
              <w:pStyle w:val="TableContents"/>
              <w:bidi w:val="0"/>
              <w:spacing w:before="0" w:after="283"/>
              <w:jc w:val="both"/>
              <w:rPr/>
            </w:pPr>
            <w:r>
              <w:rPr/>
              <w:t>State taxes, net of federal income tax effect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bookmarkStart w:id="696" w:name="xdx_989_eus-gaap--IncomeTaxReconciliatio"/>
            <w:bookmarkEnd w:id="696"/>
          </w:p>
        </w:tc>
        <w:tc>
          <w:tcPr>
            <w:tcW w:w="1448" w:type="dxa"/>
            <w:tcBorders/>
            <w:shd w:fill="FFFFFF" w:val="clear"/>
            <w:vAlign w:val="center"/>
          </w:tcPr>
          <w:p>
            <w:pPr>
              <w:pStyle w:val="TableContents"/>
              <w:bidi w:val="0"/>
              <w:spacing w:before="0" w:after="283"/>
              <w:jc w:val="right"/>
              <w:rPr/>
            </w:pPr>
            <w:r>
              <w:rPr/>
              <w:t>(179,960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3.9</w:t>
            </w:r>
          </w:p>
        </w:tc>
        <w:tc>
          <w:tcPr>
            <w:tcW w:w="305" w:type="dxa"/>
            <w:tcBorders/>
            <w:shd w:fill="FFFFFF" w:val="clear"/>
            <w:vAlign w:val="center"/>
          </w:tcPr>
          <w:p>
            <w:pPr>
              <w:pStyle w:val="TableContents"/>
              <w:bidi w:val="0"/>
              <w:spacing w:before="0" w:after="283"/>
              <w:jc w:val="left"/>
              <w:rPr/>
            </w:pPr>
            <w:r>
              <w:rPr/>
              <w:t>%</w:t>
            </w:r>
            <w:bookmarkStart w:id="697" w:name="xdx_406_eus-gaap--EffectiveIncomeTaxRate"/>
            <w:bookmarkEnd w:id="697"/>
          </w:p>
        </w:tc>
      </w:tr>
      <w:tr>
        <w:trPr/>
        <w:tc>
          <w:tcPr>
            <w:tcW w:w="4085" w:type="dxa"/>
            <w:tcBorders/>
            <w:shd w:fill="CCEEFF" w:val="clear"/>
            <w:vAlign w:val="center"/>
          </w:tcPr>
          <w:p>
            <w:pPr>
              <w:pStyle w:val="TableContents"/>
              <w:bidi w:val="0"/>
              <w:spacing w:before="0" w:after="283"/>
              <w:jc w:val="both"/>
              <w:rPr/>
            </w:pPr>
            <w:r>
              <w:rPr/>
              <w:t>Other</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bookmarkStart w:id="698" w:name="xdx_980_eus-gaap--IncomeTaxReconciliatio"/>
            <w:bookmarkEnd w:id="698"/>
          </w:p>
        </w:tc>
        <w:tc>
          <w:tcPr>
            <w:tcW w:w="14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w:t>
            </w:r>
            <w:bookmarkStart w:id="699" w:name="xdx_40F_eus-gaap--EffectiveIncomeTaxRate"/>
            <w:bookmarkEnd w:id="699"/>
          </w:p>
        </w:tc>
      </w:tr>
      <w:tr>
        <w:trPr/>
        <w:tc>
          <w:tcPr>
            <w:tcW w:w="4085" w:type="dxa"/>
            <w:tcBorders/>
            <w:shd w:fill="FFFFFF" w:val="clear"/>
            <w:vAlign w:val="center"/>
          </w:tcPr>
          <w:p>
            <w:pPr>
              <w:pStyle w:val="TableContents"/>
              <w:bidi w:val="0"/>
              <w:spacing w:before="0" w:after="283"/>
              <w:jc w:val="both"/>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00" w:name="xdx_987_eus-gaap--IncomeTaxReconciliatio"/>
            <w:bookmarkEnd w:id="700"/>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pPr>
            <w:r>
              <w:rPr/>
              <w:t>1,132,912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7" w:type="dxa"/>
            <w:tcBorders>
              <w:bottom w:val="single" w:sz="8" w:space="0" w:color="000000"/>
            </w:tcBorders>
            <w:shd w:fill="FFFFFF" w:val="clear"/>
            <w:tcMar>
              <w:bottom w:w="28" w:type="dxa"/>
            </w:tcMar>
            <w:vAlign w:val="center"/>
          </w:tcPr>
          <w:p>
            <w:pPr>
              <w:pStyle w:val="TableContents"/>
              <w:bidi w:val="0"/>
              <w:spacing w:before="0" w:after="283"/>
              <w:jc w:val="right"/>
              <w:rPr/>
            </w:pPr>
            <w:r>
              <w:rPr/>
              <w:t>(24.9</w:t>
            </w:r>
          </w:p>
        </w:tc>
        <w:tc>
          <w:tcPr>
            <w:tcW w:w="305" w:type="dxa"/>
            <w:tcBorders/>
            <w:shd w:fill="FFFFFF" w:val="clear"/>
            <w:vAlign w:val="center"/>
          </w:tcPr>
          <w:p>
            <w:pPr>
              <w:pStyle w:val="TableContents"/>
              <w:bidi w:val="0"/>
              <w:spacing w:before="0" w:after="283"/>
              <w:jc w:val="left"/>
              <w:rPr/>
            </w:pPr>
            <w:r>
              <w:rPr/>
              <w:t>)%</w:t>
            </w:r>
            <w:bookmarkStart w:id="701" w:name="xdx_400_eus-gaap--EffectiveIncomeTaxRate"/>
            <w:bookmarkEnd w:id="701"/>
          </w:p>
        </w:tc>
      </w:tr>
      <w:tr>
        <w:trPr/>
        <w:tc>
          <w:tcPr>
            <w:tcW w:w="4085" w:type="dxa"/>
            <w:tcBorders/>
            <w:shd w:fill="CCEEFF" w:val="clear"/>
            <w:vAlign w:val="center"/>
          </w:tcPr>
          <w:p>
            <w:pPr>
              <w:pStyle w:val="TableContents"/>
              <w:bidi w:val="0"/>
              <w:spacing w:before="0" w:after="283"/>
              <w:jc w:val="both"/>
              <w:rPr/>
            </w:pPr>
            <w:r>
              <w:rPr/>
              <w:t>INCOME TAX BENEFIT, NET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02" w:name="xdx_988_eus-gaap--IncomeTaxExpenseBenefi"/>
            <w:bookmarkEnd w:id="702"/>
          </w:p>
        </w:tc>
        <w:tc>
          <w:tcPr>
            <w:tcW w:w="144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7" w:type="dxa"/>
            <w:tcBorders>
              <w:bottom w:val="double" w:sz="6" w:space="0" w:color="000000"/>
            </w:tcBorders>
            <w:shd w:fill="CCEEFF" w:val="clear"/>
            <w:tcMar>
              <w:bottom w:w="28" w:type="dxa"/>
            </w:tcMar>
            <w:vAlign w:val="center"/>
          </w:tcPr>
          <w:p>
            <w:pPr>
              <w:pStyle w:val="TableContents"/>
              <w:bidi w:val="0"/>
              <w:spacing w:before="0" w:after="283"/>
              <w:jc w:val="right"/>
              <w:rPr/>
            </w:pPr>
            <w:r>
              <w:rPr/>
              <w:t>0.0</w:t>
            </w:r>
          </w:p>
        </w:tc>
        <w:tc>
          <w:tcPr>
            <w:tcW w:w="305" w:type="dxa"/>
            <w:tcBorders/>
            <w:shd w:fill="CCEEFF" w:val="clear"/>
            <w:vAlign w:val="center"/>
          </w:tcPr>
          <w:p>
            <w:pPr>
              <w:pStyle w:val="TableContents"/>
              <w:bidi w:val="0"/>
              <w:spacing w:before="0" w:after="283"/>
              <w:jc w:val="left"/>
              <w:rPr/>
            </w:pPr>
            <w:r>
              <w:rPr/>
              <w:t>%</w:t>
            </w:r>
          </w:p>
        </w:tc>
      </w:tr>
    </w:tbl>
    <w:p>
      <w:pPr>
        <w:pStyle w:val="TextBody"/>
        <w:bidi w:val="0"/>
        <w:jc w:val="both"/>
        <w:rPr>
          <w:caps w:val="false"/>
          <w:smallCaps w:val="false"/>
        </w:rPr>
      </w:pPr>
      <w:bookmarkStart w:id="703" w:name="xdx_8AE_zcBEJO5W7ER1"/>
      <w:bookmarkEnd w:id="703"/>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federal, state, or foreign income taxes paid in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4" w:name="xdx_896_eus-gaap--ScheduleOfDeferredTaxA"/>
      <w:bookmarkEnd w:id="704"/>
      <w:r>
        <w:rPr>
          <w:rFonts w:ascii="Times New Roman;Times;Serif" w:hAnsi="Times New Roman;Times;Serif"/>
          <w:b w:val="false"/>
          <w:i w:val="false"/>
          <w:caps w:val="false"/>
          <w:smallCaps w:val="false"/>
          <w:sz w:val="20"/>
        </w:rPr>
        <w:t>The net deferred tax amounts in the accompanying balance sheets include the following components:</w:t>
      </w:r>
    </w:p>
    <w:p>
      <w:pPr>
        <w:pStyle w:val="TextBody"/>
        <w:bidi w:val="0"/>
        <w:spacing w:before="0" w:after="0"/>
        <w:ind w:left="0" w:right="0" w:hanging="0"/>
        <w:jc w:val="both"/>
        <w:rPr>
          <w:caps w:val="false"/>
          <w:smallCaps w:val="false"/>
        </w:rPr>
      </w:pPr>
      <w:r>
        <w:rPr>
          <w:caps w:val="false"/>
          <w:smallCaps w:val="false"/>
        </w:rPr>
        <w:t> </w:t>
      </w:r>
      <w:bookmarkStart w:id="705" w:name="xdx_8B8_ziYlwG4Dgr4e"/>
      <w:bookmarkEnd w:id="705"/>
      <w:r>
        <w:rPr>
          <w:rFonts w:ascii="Times New Roman;Times;Serif" w:hAnsi="Times New Roman;Times;Serif"/>
          <w:b w:val="false"/>
          <w:i w:val="false"/>
          <w:caps w:val="false"/>
          <w:smallCaps w:val="false"/>
          <w:sz w:val="20"/>
        </w:rPr>
        <w:t>SCHEDULE OF NET DEFERRED TAX AMOUNTS</w:t>
      </w:r>
    </w:p>
    <w:tbl>
      <w:tblPr>
        <w:tblW w:w="7010" w:type="dxa"/>
        <w:jc w:val="left"/>
        <w:tblInd w:w="0" w:type="dxa"/>
        <w:tblLayout w:type="fixed"/>
        <w:tblCellMar>
          <w:top w:w="0" w:type="dxa"/>
          <w:left w:w="0" w:type="dxa"/>
          <w:bottom w:w="0" w:type="dxa"/>
          <w:right w:w="0" w:type="dxa"/>
        </w:tblCellMar>
      </w:tblPr>
      <w:tblGrid>
        <w:gridCol w:w="4295"/>
        <w:gridCol w:w="60"/>
        <w:gridCol w:w="140"/>
        <w:gridCol w:w="1055"/>
        <w:gridCol w:w="95"/>
        <w:gridCol w:w="60"/>
        <w:gridCol w:w="140"/>
        <w:gridCol w:w="1055"/>
        <w:gridCol w:w="110"/>
      </w:tblGrid>
      <w:tr>
        <w:trPr/>
        <w:tc>
          <w:tcPr>
            <w:tcW w:w="42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706" w:name="xdx_494_20251231_ziXqxdh91KC9"/>
            <w:bookmarkEnd w:id="706"/>
          </w:p>
        </w:tc>
        <w:tc>
          <w:tcPr>
            <w:tcW w:w="119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07" w:name="xdx_496_20241231_zcH3FQEjNA6g"/>
            <w:bookmarkEnd w:id="707"/>
          </w:p>
        </w:tc>
        <w:tc>
          <w:tcPr>
            <w:tcW w:w="1195"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1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708" w:name="xdx_40F_eus-gaap--DeferredTaxAssetsOpera"/>
            <w:bookmarkEnd w:id="708"/>
          </w:p>
        </w:tc>
      </w:tr>
      <w:tr>
        <w:trPr/>
        <w:tc>
          <w:tcPr>
            <w:tcW w:w="4295" w:type="dxa"/>
            <w:tcBorders/>
            <w:shd w:fill="CCEEFF" w:val="clear"/>
            <w:vAlign w:val="center"/>
          </w:tcPr>
          <w:p>
            <w:pPr>
              <w:pStyle w:val="TableContents"/>
              <w:bidi w:val="0"/>
              <w:spacing w:before="0" w:after="283"/>
              <w:jc w:val="both"/>
              <w:rPr/>
            </w:pPr>
            <w:r>
              <w:rPr/>
              <w:t>Net operating loss carryforward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3,936,612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1,814,039</w:t>
            </w:r>
          </w:p>
        </w:tc>
        <w:tc>
          <w:tcPr>
            <w:tcW w:w="110" w:type="dxa"/>
            <w:tcBorders/>
            <w:shd w:fill="CCEEFF" w:val="clear"/>
            <w:vAlign w:val="center"/>
          </w:tcPr>
          <w:p>
            <w:pPr>
              <w:pStyle w:val="TableContents"/>
              <w:bidi w:val="0"/>
              <w:spacing w:before="0" w:after="283"/>
              <w:jc w:val="left"/>
              <w:rPr/>
            </w:pPr>
            <w:r>
              <w:rPr/>
              <w:t> </w:t>
            </w:r>
            <w:bookmarkStart w:id="709" w:name="xdx_405_eus-gaap--DeferredTaxAssetsTaxDe"/>
            <w:bookmarkEnd w:id="709"/>
          </w:p>
        </w:tc>
      </w:tr>
      <w:tr>
        <w:trPr/>
        <w:tc>
          <w:tcPr>
            <w:tcW w:w="4295" w:type="dxa"/>
            <w:tcBorders/>
            <w:shd w:fill="FFFFFF" w:val="clear"/>
            <w:vAlign w:val="center"/>
          </w:tcPr>
          <w:p>
            <w:pPr>
              <w:pStyle w:val="TableContents"/>
              <w:bidi w:val="0"/>
              <w:spacing w:before="0" w:after="283"/>
              <w:jc w:val="both"/>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1,264,753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769,563</w:t>
            </w:r>
          </w:p>
        </w:tc>
        <w:tc>
          <w:tcPr>
            <w:tcW w:w="110" w:type="dxa"/>
            <w:tcBorders/>
            <w:shd w:fill="FFFFFF" w:val="clear"/>
            <w:vAlign w:val="center"/>
          </w:tcPr>
          <w:p>
            <w:pPr>
              <w:pStyle w:val="TableContents"/>
              <w:bidi w:val="0"/>
              <w:spacing w:before="0" w:after="283"/>
              <w:jc w:val="left"/>
              <w:rPr/>
            </w:pPr>
            <w:r>
              <w:rPr/>
              <w:t> </w:t>
            </w:r>
            <w:bookmarkStart w:id="710" w:name="xdx_403_eus-gaap--DeferredTaxAssetsPrope"/>
            <w:bookmarkEnd w:id="710"/>
          </w:p>
        </w:tc>
      </w:tr>
      <w:tr>
        <w:trPr/>
        <w:tc>
          <w:tcPr>
            <w:tcW w:w="4295" w:type="dxa"/>
            <w:tcBorders/>
            <w:shd w:fill="CCEEFF" w:val="clear"/>
            <w:vAlign w:val="center"/>
          </w:tcPr>
          <w:p>
            <w:pPr>
              <w:pStyle w:val="TableContents"/>
              <w:bidi w:val="0"/>
              <w:spacing w:before="0" w:after="283"/>
              <w:jc w:val="both"/>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349,976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406,695</w:t>
            </w:r>
          </w:p>
        </w:tc>
        <w:tc>
          <w:tcPr>
            <w:tcW w:w="110" w:type="dxa"/>
            <w:tcBorders/>
            <w:shd w:fill="CCEEFF" w:val="clear"/>
            <w:vAlign w:val="center"/>
          </w:tcPr>
          <w:p>
            <w:pPr>
              <w:pStyle w:val="TableContents"/>
              <w:bidi w:val="0"/>
              <w:spacing w:before="0" w:after="283"/>
              <w:jc w:val="left"/>
              <w:rPr/>
            </w:pPr>
            <w:r>
              <w:rPr/>
              <w:t> </w:t>
            </w:r>
            <w:bookmarkStart w:id="711" w:name="xdx_405_eus-gaap--DeferredTaxAssetsGoodw"/>
            <w:bookmarkEnd w:id="711"/>
          </w:p>
        </w:tc>
      </w:tr>
      <w:tr>
        <w:trPr/>
        <w:tc>
          <w:tcPr>
            <w:tcW w:w="4295" w:type="dxa"/>
            <w:tcBorders/>
            <w:shd w:fill="FFFFFF" w:val="clear"/>
            <w:vAlign w:val="center"/>
          </w:tcPr>
          <w:p>
            <w:pPr>
              <w:pStyle w:val="TableContents"/>
              <w:bidi w:val="0"/>
              <w:spacing w:before="0" w:after="283"/>
              <w:jc w:val="both"/>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302,923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460,517</w:t>
            </w:r>
          </w:p>
        </w:tc>
        <w:tc>
          <w:tcPr>
            <w:tcW w:w="110" w:type="dxa"/>
            <w:tcBorders/>
            <w:shd w:fill="FFFFFF" w:val="clear"/>
            <w:vAlign w:val="center"/>
          </w:tcPr>
          <w:p>
            <w:pPr>
              <w:pStyle w:val="TableContents"/>
              <w:bidi w:val="0"/>
              <w:spacing w:before="0" w:after="283"/>
              <w:jc w:val="left"/>
              <w:rPr/>
            </w:pPr>
            <w:r>
              <w:rPr/>
              <w:t> </w:t>
            </w:r>
            <w:bookmarkStart w:id="712" w:name="xdx_408_eus-gaap--DeferredTaxAssetsInPro"/>
            <w:bookmarkEnd w:id="712"/>
          </w:p>
        </w:tc>
      </w:tr>
      <w:tr>
        <w:trPr/>
        <w:tc>
          <w:tcPr>
            <w:tcW w:w="4295" w:type="dxa"/>
            <w:tcBorders/>
            <w:shd w:fill="CCEEFF" w:val="clear"/>
            <w:vAlign w:val="center"/>
          </w:tcPr>
          <w:p>
            <w:pPr>
              <w:pStyle w:val="TableContents"/>
              <w:bidi w:val="0"/>
              <w:spacing w:before="0" w:after="283"/>
              <w:jc w:val="both"/>
              <w:rPr/>
            </w:pPr>
            <w:r>
              <w:rPr/>
              <w:t>R&amp;D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168,322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75,571</w:t>
            </w:r>
          </w:p>
        </w:tc>
        <w:tc>
          <w:tcPr>
            <w:tcW w:w="110" w:type="dxa"/>
            <w:tcBorders/>
            <w:shd w:fill="CCEEFF" w:val="clear"/>
            <w:vAlign w:val="center"/>
          </w:tcPr>
          <w:p>
            <w:pPr>
              <w:pStyle w:val="TableContents"/>
              <w:bidi w:val="0"/>
              <w:spacing w:before="0" w:after="283"/>
              <w:jc w:val="left"/>
              <w:rPr/>
            </w:pPr>
            <w:r>
              <w:rPr/>
              <w:t> </w:t>
            </w:r>
            <w:bookmarkStart w:id="713" w:name="xdx_401_eus-gaap--DeferredTaxAssetsOther"/>
            <w:bookmarkEnd w:id="713"/>
          </w:p>
        </w:tc>
      </w:tr>
      <w:tr>
        <w:trPr/>
        <w:tc>
          <w:tcPr>
            <w:tcW w:w="4295" w:type="dxa"/>
            <w:tcBorders/>
            <w:shd w:fill="FFFFFF" w:val="clear"/>
            <w:vAlign w:val="center"/>
          </w:tcPr>
          <w:p>
            <w:pPr>
              <w:pStyle w:val="TableContents"/>
              <w:bidi w:val="0"/>
              <w:spacing w:before="0" w:after="283"/>
              <w:jc w:val="both"/>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664,959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423,973</w:t>
            </w:r>
          </w:p>
        </w:tc>
        <w:tc>
          <w:tcPr>
            <w:tcW w:w="110" w:type="dxa"/>
            <w:tcBorders/>
            <w:shd w:fill="FFFFFF" w:val="clear"/>
            <w:vAlign w:val="center"/>
          </w:tcPr>
          <w:p>
            <w:pPr>
              <w:pStyle w:val="TableContents"/>
              <w:bidi w:val="0"/>
              <w:spacing w:before="0" w:after="283"/>
              <w:jc w:val="left"/>
              <w:rPr/>
            </w:pPr>
            <w:r>
              <w:rPr/>
              <w:t> </w:t>
            </w:r>
            <w:bookmarkStart w:id="714" w:name="xdx_40B_eus-gaap--DeferredTaxAssetsGross"/>
            <w:bookmarkEnd w:id="714"/>
          </w:p>
        </w:tc>
      </w:tr>
      <w:tr>
        <w:trPr/>
        <w:tc>
          <w:tcPr>
            <w:tcW w:w="4295" w:type="dxa"/>
            <w:tcBorders/>
            <w:shd w:fill="CCEEFF" w:val="clear"/>
            <w:vAlign w:val="center"/>
          </w:tcPr>
          <w:p>
            <w:pPr>
              <w:pStyle w:val="TableContents"/>
              <w:bidi w:val="0"/>
              <w:spacing w:before="0" w:after="283"/>
              <w:jc w:val="both"/>
              <w:rPr/>
            </w:pPr>
            <w:r>
              <w:rPr/>
              <w:t>Total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6,687,545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3,950,358</w:t>
            </w:r>
          </w:p>
        </w:tc>
        <w:tc>
          <w:tcPr>
            <w:tcW w:w="110" w:type="dxa"/>
            <w:tcBorders/>
            <w:shd w:fill="CCEEFF" w:val="clear"/>
            <w:vAlign w:val="center"/>
          </w:tcPr>
          <w:p>
            <w:pPr>
              <w:pStyle w:val="TableContents"/>
              <w:bidi w:val="0"/>
              <w:spacing w:before="0" w:after="283"/>
              <w:jc w:val="left"/>
              <w:rPr/>
            </w:pPr>
            <w:r>
              <w:rPr/>
              <w:t> </w:t>
            </w:r>
            <w:bookmarkStart w:id="715" w:name="xdx_40B_eus-gaap--DeferredTaxAssetsValua"/>
            <w:bookmarkEnd w:id="715"/>
          </w:p>
        </w:tc>
      </w:tr>
      <w:tr>
        <w:trPr/>
        <w:tc>
          <w:tcPr>
            <w:tcW w:w="4295" w:type="dxa"/>
            <w:tcBorders/>
            <w:shd w:fill="FFFFFF" w:val="clear"/>
            <w:vAlign w:val="center"/>
          </w:tcPr>
          <w:p>
            <w:pPr>
              <w:pStyle w:val="TableContents"/>
              <w:bidi w:val="0"/>
              <w:spacing w:before="0" w:after="283"/>
              <w:jc w:val="both"/>
              <w:rPr/>
            </w:pPr>
            <w:r>
              <w:rPr/>
              <w:t>Less: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(6,687,545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(3,950,358</w:t>
            </w:r>
          </w:p>
        </w:tc>
        <w:tc>
          <w:tcPr>
            <w:tcW w:w="110" w:type="dxa"/>
            <w:tcBorders/>
            <w:shd w:fill="FFFFFF" w:val="clear"/>
            <w:vAlign w:val="center"/>
          </w:tcPr>
          <w:p>
            <w:pPr>
              <w:pStyle w:val="TableContents"/>
              <w:bidi w:val="0"/>
              <w:spacing w:before="0" w:after="283"/>
              <w:jc w:val="left"/>
              <w:rPr/>
            </w:pPr>
            <w:r>
              <w:rPr/>
              <w:t>)</w:t>
            </w:r>
            <w:bookmarkStart w:id="716" w:name="xdx_404_eus-gaap--DeferredTaxAssetsNet_i"/>
            <w:bookmarkEnd w:id="716"/>
          </w:p>
        </w:tc>
      </w:tr>
      <w:tr>
        <w:trPr/>
        <w:tc>
          <w:tcPr>
            <w:tcW w:w="4295" w:type="dxa"/>
            <w:tcBorders/>
            <w:shd w:fill="CCEEFF" w:val="clear"/>
            <w:vAlign w:val="center"/>
          </w:tcPr>
          <w:p>
            <w:pPr>
              <w:pStyle w:val="TableContents"/>
              <w:bidi w:val="0"/>
              <w:spacing w:before="0" w:after="283"/>
              <w:jc w:val="both"/>
              <w:rPr/>
            </w:pPr>
            <w:r>
              <w:rPr/>
              <w:t>TOTAL DEFERRED TAX ASSETS,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17" w:name="xdx_8AF_zs4cdLSnAcdh"/>
      <w:bookmarkEnd w:id="71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benefit from state net operating loss carryforwards of $</w:t>
      </w:r>
      <w:bookmarkStart w:id="718" w:name="xdx_900_eus-gaap--DeferredTaxAssetsTaxCr"/>
      <w:bookmarkEnd w:id="718"/>
      <w:r>
        <w:rPr>
          <w:rFonts w:ascii="Times New Roman;Times;Serif" w:hAnsi="Times New Roman;Times;Serif"/>
          <w:b w:val="false"/>
          <w:i w:val="false"/>
          <w:caps w:val="false"/>
          <w:smallCaps w:val="false"/>
          <w:sz w:val="20"/>
        </w:rPr>
        <w:t>670,036 begin to expire in 2040. The tax benefit from state research and development credits of $</w:t>
      </w:r>
      <w:bookmarkStart w:id="719" w:name="xdx_901_ecustom--ResearchAndDevelopmentC"/>
      <w:bookmarkEnd w:id="719"/>
      <w:r>
        <w:rPr>
          <w:rFonts w:ascii="Times New Roman;Times;Serif" w:hAnsi="Times New Roman;Times;Serif"/>
          <w:b w:val="false"/>
          <w:i w:val="false"/>
          <w:caps w:val="false"/>
          <w:smallCaps w:val="false"/>
          <w:sz w:val="20"/>
        </w:rPr>
        <w:t>186,134 begin to expire in 2031. The federal net operating loss carryforwards never expire.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20" w:name="xdx_89C_eus-gaap--SummaryOfValuationAllo"/>
      <w:bookmarkEnd w:id="720"/>
      <w:r>
        <w:rPr>
          <w:rFonts w:ascii="Times New Roman;Times;Serif" w:hAnsi="Times New Roman;Times;Serif"/>
          <w:b w:val="false"/>
          <w:i w:val="false"/>
          <w:caps w:val="false"/>
          <w:smallCaps w:val="false"/>
          <w:sz w:val="20"/>
        </w:rPr>
        <w:t>The change in the valuation allowance was the following at December 31:</w:t>
      </w:r>
    </w:p>
    <w:p>
      <w:pPr>
        <w:pStyle w:val="TextBody"/>
        <w:bidi w:val="0"/>
        <w:spacing w:before="0" w:after="0"/>
        <w:ind w:left="0" w:right="0" w:hanging="0"/>
        <w:jc w:val="both"/>
        <w:rPr>
          <w:caps w:val="false"/>
          <w:smallCaps w:val="false"/>
        </w:rPr>
      </w:pPr>
      <w:r>
        <w:rPr>
          <w:caps w:val="false"/>
          <w:smallCaps w:val="false"/>
        </w:rPr>
        <w:t> </w:t>
      </w:r>
      <w:bookmarkStart w:id="721" w:name="xdx_8B6_z7OnoqMBSDR1"/>
      <w:bookmarkEnd w:id="721"/>
      <w:r>
        <w:rPr>
          <w:rFonts w:ascii="Times New Roman;Times;Serif" w:hAnsi="Times New Roman;Times;Serif"/>
          <w:b w:val="false"/>
          <w:i w:val="false"/>
          <w:caps w:val="false"/>
          <w:smallCaps w:val="false"/>
          <w:sz w:val="20"/>
        </w:rPr>
        <w:t>SCHEDULE OF CHANGE IN THE VALUATION ALLOWANCE</w:t>
      </w:r>
    </w:p>
    <w:tbl>
      <w:tblPr>
        <w:tblW w:w="5605" w:type="dxa"/>
        <w:jc w:val="left"/>
        <w:tblInd w:w="0" w:type="dxa"/>
        <w:tblLayout w:type="fixed"/>
        <w:tblCellMar>
          <w:top w:w="0" w:type="dxa"/>
          <w:left w:w="0" w:type="dxa"/>
          <w:bottom w:w="0" w:type="dxa"/>
          <w:right w:w="0" w:type="dxa"/>
        </w:tblCellMar>
      </w:tblPr>
      <w:tblGrid>
        <w:gridCol w:w="3110"/>
        <w:gridCol w:w="60"/>
        <w:gridCol w:w="140"/>
        <w:gridCol w:w="980"/>
        <w:gridCol w:w="60"/>
        <w:gridCol w:w="60"/>
        <w:gridCol w:w="140"/>
        <w:gridCol w:w="980"/>
        <w:gridCol w:w="75"/>
      </w:tblGrid>
      <w:tr>
        <w:trPr/>
        <w:tc>
          <w:tcPr>
            <w:tcW w:w="31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722" w:name="xdx_49E_20250101__20251231_zbNoJ9BapPla"/>
            <w:bookmarkEnd w:id="722"/>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23" w:name="xdx_49A_20240101__20241231_zVmiEPJjMjB9"/>
            <w:bookmarkEnd w:id="723"/>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724" w:name="xdx_400_eus-gaap--DeferredTaxAssetsValua"/>
            <w:bookmarkEnd w:id="724"/>
          </w:p>
        </w:tc>
      </w:tr>
      <w:tr>
        <w:trPr/>
        <w:tc>
          <w:tcPr>
            <w:tcW w:w="3110" w:type="dxa"/>
            <w:tcBorders/>
            <w:shd w:fill="CCEEFF" w:val="clear"/>
            <w:vAlign w:val="center"/>
          </w:tcPr>
          <w:p>
            <w:pPr>
              <w:pStyle w:val="TableContents"/>
              <w:bidi w:val="0"/>
              <w:spacing w:before="0" w:after="283"/>
              <w:jc w:val="both"/>
              <w:rPr/>
            </w:pPr>
            <w:r>
              <w:rPr/>
              <w:t>Beginning balance, January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3,950,358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2,717,209</w:t>
            </w:r>
          </w:p>
        </w:tc>
        <w:tc>
          <w:tcPr>
            <w:tcW w:w="75" w:type="dxa"/>
            <w:tcBorders/>
            <w:shd w:fill="CCEEFF" w:val="clear"/>
            <w:vAlign w:val="center"/>
          </w:tcPr>
          <w:p>
            <w:pPr>
              <w:pStyle w:val="TableContents"/>
              <w:bidi w:val="0"/>
              <w:spacing w:before="0" w:after="283"/>
              <w:jc w:val="left"/>
              <w:rPr/>
            </w:pPr>
            <w:r>
              <w:rPr/>
              <w:t> </w:t>
            </w:r>
            <w:bookmarkStart w:id="725" w:name="xdx_40E_eus-gaap--ValuationAllowanceDefe"/>
            <w:bookmarkEnd w:id="725"/>
          </w:p>
        </w:tc>
      </w:tr>
      <w:tr>
        <w:trPr/>
        <w:tc>
          <w:tcPr>
            <w:tcW w:w="3110" w:type="dxa"/>
            <w:tcBorders/>
            <w:shd w:fill="FFFFFF" w:val="clear"/>
            <w:vAlign w:val="center"/>
          </w:tcPr>
          <w:p>
            <w:pPr>
              <w:pStyle w:val="TableContents"/>
              <w:bidi w:val="0"/>
              <w:spacing w:before="0" w:after="283"/>
              <w:jc w:val="both"/>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2,737,187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1,233,149</w:t>
            </w:r>
          </w:p>
        </w:tc>
        <w:tc>
          <w:tcPr>
            <w:tcW w:w="75" w:type="dxa"/>
            <w:tcBorders/>
            <w:shd w:fill="FFFFFF" w:val="clear"/>
            <w:vAlign w:val="center"/>
          </w:tcPr>
          <w:p>
            <w:pPr>
              <w:pStyle w:val="TableContents"/>
              <w:bidi w:val="0"/>
              <w:spacing w:before="0" w:after="283"/>
              <w:jc w:val="left"/>
              <w:rPr/>
            </w:pPr>
            <w:r>
              <w:rPr/>
              <w:t> </w:t>
            </w:r>
            <w:bookmarkStart w:id="726" w:name="xdx_40C_eus-gaap--DeferredTaxAssetsValua"/>
            <w:bookmarkEnd w:id="726"/>
          </w:p>
        </w:tc>
      </w:tr>
      <w:tr>
        <w:trPr/>
        <w:tc>
          <w:tcPr>
            <w:tcW w:w="3110" w:type="dxa"/>
            <w:tcBorders/>
            <w:shd w:fill="CCEEFF" w:val="clear"/>
            <w:vAlign w:val="center"/>
          </w:tcPr>
          <w:p>
            <w:pPr>
              <w:pStyle w:val="TableContents"/>
              <w:bidi w:val="0"/>
              <w:spacing w:before="0" w:after="283"/>
              <w:jc w:val="both"/>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6,687,545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3,950,358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27" w:name="xdx_8A3_zAnw1RhMSy62"/>
      <w:bookmarkEnd w:id="72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realization of the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net operating losses and temporary differences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the future realization of the deferred tax assets and has therefore established a valuation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operating loss carry forwards of approximately $</w:t>
      </w:r>
      <w:bookmarkStart w:id="728" w:name="xdx_900_eus-gaap--OperatingLossCarryforw"/>
      <w:bookmarkEnd w:id="728"/>
      <w:r>
        <w:rPr>
          <w:rFonts w:ascii="Times New Roman;Times;Serif" w:hAnsi="Times New Roman;Times;Serif"/>
          <w:b w:val="false"/>
          <w:i w:val="false"/>
          <w:caps w:val="false"/>
          <w:smallCaps w:val="false"/>
          <w:sz w:val="20"/>
        </w:rPr>
        <w:t>15,555,122, which are allowed for an indefinite carryforward period but may be subject to limitations. This amount can be used to offset future taxable income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manner in which the Company can utilize operating loss carryforwards in any year may be limited by provisions of the Internal Revenue Code regarding changes in ownership of corporations. Such limitation may have an impact on the ultimate realization of its carryforwards and future tax deductions.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guidance under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for the recognition and measurement of uncertain tax positions. Recognition involves a determination of whether it is more likely than not that a tax position will be sustained upon examination with the presumption that the tax position will be examined by the appropriate taxing authority having full knowledge of all relevant information. The Company’s application of the uncertain tax position guidance under ASC 740 did not result in any adjustments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policy is to record interest and penalties associated with unrecognized tax benefits as additional income taxes in the statement of operations. As of January 1, 2025, the Company had no unrecognized tax benefits and no charge during 2025, and accordingly, the Company did not recognize any interest or penalties during 2025 related to unrecognized tax benefits. There is no accrual for uncertain tax positions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U.S. income tax returns and Indiana state income tax returns. With few exceptions, the U.S. and state income tax returns filed for the tax years ended on December 31, 2022 and thereafter are subject to examination by the relevant taxing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9" w:name="xdx_80C_eus-gaap--ResearchDevelopmentAnd"/>
      <w:bookmarkEnd w:id="729"/>
      <w:r>
        <w:rPr>
          <w:rFonts w:ascii="Times New Roman;Times;Serif" w:hAnsi="Times New Roman;Times;Serif"/>
          <w:b/>
          <w:i w:val="false"/>
          <w:caps w:val="false"/>
          <w:smallCaps w:val="false"/>
          <w:sz w:val="20"/>
        </w:rPr>
        <w:t xml:space="preserve">NOTE 13 - </w:t>
      </w:r>
      <w:bookmarkStart w:id="730" w:name="xdx_82D_zhKmzewm8xhh"/>
      <w:bookmarkEnd w:id="730"/>
      <w:r>
        <w:rPr>
          <w:rFonts w:ascii="Times New Roman;Times;Serif" w:hAnsi="Times New Roman;Times;Serif"/>
          <w:b/>
          <w:i w:val="false"/>
          <w:caps w:val="false"/>
          <w:smallCaps w:val="false"/>
          <w:sz w:val="20"/>
        </w:rPr>
        <w:t>RESEARCH AND DEVELOPMENT TAX CREDITS</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qualifies as a small business under Internal Revenue Code Section 41(h) and has elected to apply a portion of its federal research and development (R&amp;D) credit against the employer portion of Social Security payroll taxes, in accordance with IRS Form 6765.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had $</w:t>
      </w:r>
      <w:bookmarkStart w:id="731" w:name="xdx_908_ecustom--PayrollTaxCredits_iI_c2"/>
      <w:bookmarkEnd w:id="731"/>
      <w:r>
        <w:rPr>
          <w:rFonts w:ascii="Times New Roman;Times;Serif" w:hAnsi="Times New Roman;Times;Serif"/>
          <w:b w:val="false"/>
          <w:i w:val="false"/>
          <w:caps w:val="false"/>
          <w:smallCaps w:val="false"/>
          <w:sz w:val="20"/>
        </w:rPr>
        <w:t>226,010 and $</w:t>
      </w:r>
      <w:bookmarkStart w:id="732" w:name="xdx_90D_ecustom--PayrollTaxCredits_iI_c2"/>
      <w:bookmarkEnd w:id="732"/>
      <w:r>
        <w:rPr>
          <w:rFonts w:ascii="Times New Roman;Times;Serif" w:hAnsi="Times New Roman;Times;Serif"/>
          <w:b w:val="false"/>
          <w:i w:val="false"/>
          <w:caps w:val="false"/>
          <w:smallCaps w:val="false"/>
          <w:sz w:val="20"/>
        </w:rPr>
        <w:t>206,174 of unused payroll tax credits, respectively. These credits are being applied as an offset to the Company’s payroll tax liability and are recognized as a reduction of payroll tax expense in the period the benefit is realized. These begin to expire in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33" w:name="xdx_804_eus-gaap--RelatedPartyTransactio"/>
      <w:bookmarkEnd w:id="733"/>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14 - </w:t>
      </w:r>
      <w:bookmarkStart w:id="734" w:name="xdx_827_zejInRKHxM5k"/>
      <w:bookmarkEnd w:id="734"/>
      <w:r>
        <w:rPr>
          <w:rFonts w:ascii="Times New Roman;Times;Serif" w:hAnsi="Times New Roman;Times;Serif"/>
          <w:b/>
          <w:i w:val="false"/>
          <w:caps w:val="false"/>
          <w:smallCaps w:val="false"/>
          <w:sz w:val="20"/>
        </w:rPr>
        <w:t>RELATED-PARTY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2020, the Company entered into an initial three-year agreement with the Company’s Chief Executive Officer, Daniel O’Toole, for the use of a patent. Beginning June 1, 2020, the Company began paying Mr. O’Toole a monthly license fee of $</w:t>
      </w:r>
      <w:bookmarkStart w:id="735" w:name="xdx_907_eus-gaap--ProceedsFromLicenseFee"/>
      <w:bookmarkEnd w:id="735"/>
      <w:r>
        <w:rPr>
          <w:rFonts w:ascii="Times New Roman;Times;Serif" w:hAnsi="Times New Roman;Times;Serif"/>
          <w:b w:val="false"/>
          <w:i w:val="false"/>
          <w:caps w:val="false"/>
          <w:smallCaps w:val="false"/>
          <w:sz w:val="20"/>
        </w:rPr>
        <w:t>10,000. Once revenue from sales, rentals, and leases begins, the Company is required to pay $</w:t>
      </w:r>
      <w:bookmarkStart w:id="736" w:name="xdx_90B_ecustom--ContractualPaymentPerUn"/>
      <w:bookmarkEnd w:id="736"/>
      <w:r>
        <w:rPr>
          <w:rFonts w:ascii="Times New Roman;Times;Serif" w:hAnsi="Times New Roman;Times;Serif"/>
          <w:b w:val="false"/>
          <w:i w:val="false"/>
          <w:caps w:val="false"/>
          <w:smallCaps w:val="false"/>
          <w:sz w:val="20"/>
        </w:rPr>
        <w:t xml:space="preserve">25.00 per unit sold. </w:t>
      </w:r>
      <w:bookmarkStart w:id="737" w:name="xdx_90C_eus-gaap--RelatedPartyTransactio"/>
      <w:bookmarkEnd w:id="737"/>
      <w:r>
        <w:rPr>
          <w:rFonts w:ascii="Times New Roman;Times;Serif" w:hAnsi="Times New Roman;Times;Serif"/>
          <w:b w:val="false"/>
          <w:i w:val="false"/>
          <w:caps w:val="false"/>
          <w:smallCaps w:val="false"/>
          <w:sz w:val="20"/>
        </w:rPr>
        <w:t>If the Company does not sell 400 units per month (or $10,000), the original fixed $10,000 is paid. Accordingly, for the years ended December 31, 2025 and 2024, the Company recorded licensing fee costs in the amount of $</w:t>
      </w:r>
      <w:bookmarkStart w:id="738" w:name="xdx_90F_eus-gaap--DirectTaxesAndLicenses"/>
      <w:bookmarkStart w:id="739" w:name="xdx_903_eus-gaap--DirectTaxesAndLicenses"/>
      <w:bookmarkEnd w:id="738"/>
      <w:bookmarkEnd w:id="739"/>
      <w:r>
        <w:rPr>
          <w:rFonts w:ascii="Times New Roman;Times;Serif" w:hAnsi="Times New Roman;Times;Serif"/>
          <w:b w:val="false"/>
          <w:i w:val="false"/>
          <w:caps w:val="false"/>
          <w:smallCaps w:val="false"/>
          <w:sz w:val="20"/>
        </w:rPr>
        <w:t>120,000 each period,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2025, the Company entered into the second amendment to the Exclusive Patent License Agreement of May 26, 2020. The Second Amendment extends the license to perpetuity, covering the full term and life of the patents, and provides for cure provisions in the event of default. The Second Amendment also removes prior restrictions on the Company’s use, sale, or commercialization of the technology after termination, permitting the sale of remaining inventory for up to 90 days post-termination, provided all required reports and payments are made under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October 1, 2025, the Company entered into a noncancelable lease for an office space with an entity owned by the Company’s Chief Executive Officer and principal shareholder. The lease terms are described in </w:t>
      </w:r>
      <w:r>
        <w:rPr>
          <w:rFonts w:ascii="Times New Roman;Times;Serif" w:hAnsi="Times New Roman;Times;Serif"/>
          <w:b w:val="false"/>
          <w:i w:val="false"/>
          <w:caps/>
          <w:sz w:val="20"/>
        </w:rPr>
        <w:t>NOTE</w:t>
      </w:r>
      <w:r>
        <w:rPr>
          <w:rFonts w:ascii="Times New Roman;Times;Serif" w:hAnsi="Times New Roman;Times;Serif"/>
          <w:b w:val="false"/>
          <w:i w:val="false"/>
          <w:caps w:val="false"/>
          <w:smallCaps w:val="false"/>
          <w:sz w:val="20"/>
        </w:rPr>
        <w:t xml:space="preserve"> 7 and were evaluated for reasonableness using prevailing market rates for similar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leased a warehouse from an entity owned by the Company’s Chief Executive Officer and principal shareholder on a month-to-month basis at a rate of $</w:t>
      </w:r>
      <w:bookmarkStart w:id="740" w:name="xdx_901_eus-gaap--DebtInstrumentPeriodic"/>
      <w:bookmarkEnd w:id="740"/>
      <w:r>
        <w:rPr>
          <w:rFonts w:ascii="Times New Roman;Times;Serif" w:hAnsi="Times New Roman;Times;Serif"/>
          <w:b w:val="false"/>
          <w:i w:val="false"/>
          <w:caps w:val="false"/>
          <w:smallCaps w:val="false"/>
          <w:sz w:val="20"/>
        </w:rPr>
        <w:t>2,250 per month. This lease was terminated on October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41" w:name="xdx_807_eus-gaap--StockholdersEquityNote"/>
      <w:bookmarkEnd w:id="741"/>
      <w:r>
        <w:rPr>
          <w:rFonts w:ascii="Times New Roman;Times;Serif" w:hAnsi="Times New Roman;Times;Serif"/>
          <w:b/>
          <w:i w:val="false"/>
          <w:caps w:val="false"/>
          <w:smallCaps w:val="false"/>
          <w:sz w:val="20"/>
        </w:rPr>
        <w:t xml:space="preserve">NOTE 15 - </w:t>
      </w:r>
      <w:bookmarkStart w:id="742" w:name="xdx_828_zaAImL2DD4gf"/>
      <w:bookmarkEnd w:id="742"/>
      <w:r>
        <w:rPr>
          <w:rFonts w:ascii="Times New Roman;Times;Serif" w:hAnsi="Times New Roman;Times;Serif"/>
          <w:b/>
          <w:i w:val="false"/>
          <w:caps w:val="false"/>
          <w:smallCaps w:val="false"/>
          <w:sz w:val="20"/>
        </w:rPr>
        <w:t>STOCKHOLDERS’ EQUITY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April 30, 2020 (date of incorporation), the Company had </w:t>
      </w:r>
      <w:bookmarkStart w:id="743" w:name="xdx_90A_eus-gaap--CommonStockSharesAutho"/>
      <w:bookmarkEnd w:id="743"/>
      <w:r>
        <w:rPr>
          <w:rFonts w:ascii="Times New Roman;Times;Serif" w:hAnsi="Times New Roman;Times;Serif"/>
          <w:b w:val="false"/>
          <w:i w:val="false"/>
          <w:caps w:val="false"/>
          <w:smallCaps w:val="false"/>
          <w:sz w:val="20"/>
        </w:rPr>
        <w:t>100,000,000 shares of common stock, with a par value of $</w:t>
      </w:r>
      <w:bookmarkStart w:id="744" w:name="xdx_90C_eus-gaap--CommonStockParOrStated"/>
      <w:bookmarkEnd w:id="744"/>
      <w:r>
        <w:rPr>
          <w:rFonts w:ascii="Times New Roman;Times;Serif" w:hAnsi="Times New Roman;Times;Serif"/>
          <w:b w:val="false"/>
          <w:i w:val="false"/>
          <w:caps w:val="false"/>
          <w:smallCaps w:val="false"/>
          <w:sz w:val="20"/>
        </w:rPr>
        <w:t>0.0001, authorized and available to issue for purposes of satisfying any future transactions. No other class of stock has been authorized or is available for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September 15, 2021, the Company authorized a </w:t>
      </w:r>
      <w:bookmarkStart w:id="745" w:name="xdx_905_eus-gaap--StockholdersEquityReve"/>
      <w:bookmarkEnd w:id="745"/>
      <w:r>
        <w:rPr>
          <w:rFonts w:ascii="Times New Roman;Times;Serif" w:hAnsi="Times New Roman;Times;Serif"/>
          <w:b w:val="false"/>
          <w:i w:val="false"/>
          <w:caps w:val="false"/>
          <w:smallCaps w:val="false"/>
          <w:sz w:val="20"/>
        </w:rPr>
        <w:t xml:space="preserve">2-for-1 stock split, with </w:t>
      </w:r>
      <w:bookmarkStart w:id="746" w:name="xdx_907_eus-gaap--CommonStockSharesAutho"/>
      <w:bookmarkEnd w:id="746"/>
      <w:r>
        <w:rPr>
          <w:rFonts w:ascii="Times New Roman;Times;Serif" w:hAnsi="Times New Roman;Times;Serif"/>
          <w:b w:val="false"/>
          <w:i w:val="false"/>
          <w:caps w:val="false"/>
          <w:smallCaps w:val="false"/>
          <w:sz w:val="20"/>
        </w:rPr>
        <w:t>200,000,000 shares authorized and available, with a par value of $</w:t>
      </w:r>
      <w:bookmarkStart w:id="747" w:name="xdx_90E_eus-gaap--CommonStockParOrStated"/>
      <w:bookmarkEnd w:id="747"/>
      <w:r>
        <w:rPr>
          <w:rFonts w:ascii="Times New Roman;Times;Serif" w:hAnsi="Times New Roman;Times;Serif"/>
          <w:b w:val="false"/>
          <w:i w:val="false"/>
          <w:caps w:val="false"/>
          <w:smallCaps w:val="false"/>
          <w:sz w:val="20"/>
        </w:rPr>
        <w:t xml:space="preserve">0.00005, to issue for purposes of satisfying any future transactions. Effective November 25, 2024, the Company authorized a </w:t>
      </w:r>
      <w:bookmarkStart w:id="748" w:name="xdx_909_eus-gaap--StockholdersEquityReve"/>
      <w:bookmarkEnd w:id="748"/>
      <w:r>
        <w:rPr>
          <w:rFonts w:ascii="Times New Roman;Times;Serif" w:hAnsi="Times New Roman;Times;Serif"/>
          <w:b w:val="false"/>
          <w:i w:val="false"/>
          <w:caps w:val="false"/>
          <w:smallCaps w:val="false"/>
          <w:sz w:val="20"/>
        </w:rPr>
        <w:t xml:space="preserve">1-for-4 reverse stock split, with </w:t>
      </w:r>
      <w:bookmarkStart w:id="749" w:name="xdx_903_eus-gaap--CommonStockSharesAutho"/>
      <w:bookmarkEnd w:id="749"/>
      <w:r>
        <w:rPr>
          <w:rFonts w:ascii="Times New Roman;Times;Serif" w:hAnsi="Times New Roman;Times;Serif"/>
          <w:b w:val="false"/>
          <w:i w:val="false"/>
          <w:caps w:val="false"/>
          <w:smallCaps w:val="false"/>
          <w:sz w:val="20"/>
        </w:rPr>
        <w:t>200,000,000 shares authorized and available to issue for purposes of satisfying any future transactions. The par value is now $</w:t>
      </w:r>
      <w:bookmarkStart w:id="750" w:name="xdx_90F_eus-gaap--CommonStockParOrStated"/>
      <w:bookmarkEnd w:id="750"/>
      <w:r>
        <w:rPr>
          <w:rFonts w:ascii="Times New Roman;Times;Serif" w:hAnsi="Times New Roman;Times;Serif"/>
          <w:b w:val="false"/>
          <w:i w:val="false"/>
          <w:caps w:val="false"/>
          <w:smallCaps w:val="false"/>
          <w:sz w:val="20"/>
        </w:rPr>
        <w:t>0.0002.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issued in the aggregate </w:t>
      </w:r>
      <w:bookmarkStart w:id="751" w:name="xdx_907_eus-gaap--StockIssuedDuringPerio"/>
      <w:bookmarkEnd w:id="751"/>
      <w:r>
        <w:rPr>
          <w:rFonts w:ascii="Times New Roman;Times;Serif" w:hAnsi="Times New Roman;Times;Serif"/>
          <w:b w:val="false"/>
          <w:i w:val="false"/>
          <w:caps w:val="false"/>
          <w:smallCaps w:val="false"/>
          <w:sz w:val="20"/>
        </w:rPr>
        <w:t>5,112,182 shares of common stock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52" w:name="xdx_900_eus-gaap--StockIssuedDuringPerio"/>
            <w:bookmarkEnd w:id="752"/>
            <w:r>
              <w:rPr>
                <w:rFonts w:ascii="Times New Roman;Times;Serif" w:hAnsi="Times New Roman;Times;Serif"/>
                <w:b w:val="false"/>
                <w:i w:val="false"/>
                <w:caps w:val="false"/>
                <w:smallCaps w:val="false"/>
                <w:sz w:val="20"/>
              </w:rPr>
              <w:t>11,692 shares to accredited investors in exchange for aggregate cash proceeds of $</w:t>
            </w:r>
            <w:bookmarkStart w:id="753" w:name="xdx_902_eus-gaap--StockIssuedDuringPerio"/>
            <w:bookmarkEnd w:id="753"/>
            <w:r>
              <w:rPr>
                <w:rFonts w:ascii="Times New Roman;Times;Serif" w:hAnsi="Times New Roman;Times;Serif"/>
                <w:b w:val="false"/>
                <w:i w:val="false"/>
                <w:caps w:val="false"/>
                <w:smallCaps w:val="false"/>
                <w:sz w:val="20"/>
              </w:rPr>
              <w:t>152,000 at an average share price of $</w:t>
            </w:r>
            <w:bookmarkStart w:id="754" w:name="xdx_907_eus-gaap--SharesIssuedPricePerSh"/>
            <w:bookmarkEnd w:id="754"/>
            <w:r>
              <w:rPr>
                <w:rFonts w:ascii="Times New Roman;Times;Serif" w:hAnsi="Times New Roman;Times;Serif"/>
                <w:b w:val="false"/>
                <w:i w:val="false"/>
                <w:caps w:val="false"/>
                <w:smallCaps w:val="false"/>
                <w:sz w:val="20"/>
              </w:rPr>
              <w:t xml:space="preserve">13.00 per share. Of these shares, </w:t>
            </w:r>
            <w:bookmarkStart w:id="755" w:name="xdx_900_ecustom--StockIssuedDuringPeriod"/>
            <w:bookmarkEnd w:id="755"/>
            <w:r>
              <w:rPr>
                <w:rFonts w:ascii="Times New Roman;Times;Serif" w:hAnsi="Times New Roman;Times;Serif"/>
                <w:b w:val="false"/>
                <w:i w:val="false"/>
                <w:caps w:val="false"/>
                <w:smallCaps w:val="false"/>
                <w:sz w:val="20"/>
              </w:rPr>
              <w:t xml:space="preserve">7,692 were issued with warrants and classified as equity, as further disclosed in </w:t>
            </w:r>
            <w:r>
              <w:rPr>
                <w:rFonts w:ascii="Times New Roman;Times;Serif" w:hAnsi="Times New Roman;Times;Serif"/>
                <w:b w:val="false"/>
                <w:i w:val="false"/>
                <w:caps/>
                <w:sz w:val="20"/>
              </w:rPr>
              <w:t>Note</w:t>
            </w:r>
            <w:r>
              <w:rPr>
                <w:rFonts w:ascii="Times New Roman;Times;Serif" w:hAnsi="Times New Roman;Times;Serif"/>
                <w:b w:val="false"/>
                <w:i w:val="false"/>
                <w:caps w:val="false"/>
                <w:smallCaps w:val="false"/>
                <w:sz w:val="20"/>
              </w:rPr>
              <w:t xml:space="preserve"> 16.</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56" w:name="xdx_906_eus-gaap--StockIssuedDuringPerio"/>
            <w:bookmarkEnd w:id="756"/>
            <w:r>
              <w:rPr>
                <w:rFonts w:ascii="Times New Roman;Times;Serif" w:hAnsi="Times New Roman;Times;Serif"/>
                <w:b w:val="false"/>
                <w:i w:val="false"/>
                <w:caps w:val="false"/>
                <w:smallCaps w:val="false"/>
                <w:sz w:val="20"/>
              </w:rPr>
              <w:t>2,937,500 shares to an accredited investor in exchange for cash proceeds of $</w:t>
            </w:r>
            <w:bookmarkStart w:id="757" w:name="xdx_904_eus-gaap--StockIssuedDuringPerio"/>
            <w:bookmarkEnd w:id="757"/>
            <w:r>
              <w:rPr>
                <w:rFonts w:ascii="Times New Roman;Times;Serif" w:hAnsi="Times New Roman;Times;Serif"/>
                <w:b w:val="false"/>
                <w:i w:val="false"/>
                <w:caps w:val="false"/>
                <w:smallCaps w:val="false"/>
                <w:sz w:val="20"/>
              </w:rPr>
              <w:t xml:space="preserve">588. The shares were issued at par value, pursuant to the securities purchase agreement, dated March 21, 2025, by and between the Company and Streeterville Capital, LLC as described in </w:t>
            </w:r>
            <w:r>
              <w:rPr>
                <w:rFonts w:ascii="Times New Roman;Times;Serif" w:hAnsi="Times New Roman;Times;Serif"/>
                <w:b w:val="false"/>
                <w:i w:val="false"/>
                <w:caps/>
                <w:sz w:val="20"/>
              </w:rPr>
              <w:t>Note</w:t>
            </w:r>
            <w:r>
              <w:rPr>
                <w:rFonts w:ascii="Times New Roman;Times;Serif" w:hAnsi="Times New Roman;Times;Serif"/>
                <w:b w:val="false"/>
                <w:i w:val="false"/>
                <w:caps w:val="false"/>
                <w:smallCaps w:val="false"/>
                <w:sz w:val="20"/>
              </w:rPr>
              <w:t xml:space="preserve"> 10.</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58" w:name="xdx_90D_ecustom--StockIssuedDuringPeriod"/>
            <w:bookmarkEnd w:id="758"/>
            <w:r>
              <w:rPr>
                <w:rFonts w:ascii="Times New Roman;Times;Serif" w:hAnsi="Times New Roman;Times;Serif"/>
                <w:b w:val="false"/>
                <w:i w:val="false"/>
                <w:caps w:val="false"/>
                <w:smallCaps w:val="false"/>
                <w:sz w:val="20"/>
              </w:rPr>
              <w:t>120,820 shares upon the exercise of warrants for aggregate cash proceeds of $</w:t>
            </w:r>
            <w:bookmarkStart w:id="759" w:name="xdx_909_eus-gaap--StockIssuedDuringPerio"/>
            <w:bookmarkEnd w:id="759"/>
            <w:r>
              <w:rPr>
                <w:rFonts w:ascii="Times New Roman;Times;Serif" w:hAnsi="Times New Roman;Times;Serif"/>
                <w:b w:val="false"/>
                <w:i w:val="false"/>
                <w:caps w:val="false"/>
                <w:smallCaps w:val="false"/>
                <w:sz w:val="20"/>
              </w:rPr>
              <w:t>573,895.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60" w:name="xdx_906_eus-gaap--StockIssuedDuringPerio"/>
            <w:bookmarkEnd w:id="760"/>
            <w:r>
              <w:rPr>
                <w:rFonts w:ascii="Times New Roman;Times;Serif" w:hAnsi="Times New Roman;Times;Serif"/>
                <w:b w:val="false"/>
                <w:i w:val="false"/>
                <w:caps w:val="false"/>
                <w:smallCaps w:val="false"/>
                <w:sz w:val="20"/>
              </w:rPr>
              <w:t>25,693 shares issued through a crowdfunding campaign to other investors in exchange for net cash proceeds of $</w:t>
            </w:r>
            <w:bookmarkStart w:id="761" w:name="xdx_909_eus-gaap--StockIssuedDuringPerio"/>
            <w:bookmarkEnd w:id="761"/>
            <w:r>
              <w:rPr>
                <w:rFonts w:ascii="Times New Roman;Times;Serif" w:hAnsi="Times New Roman;Times;Serif"/>
                <w:b w:val="false"/>
                <w:i w:val="false"/>
                <w:caps w:val="false"/>
                <w:smallCaps w:val="false"/>
                <w:sz w:val="20"/>
              </w:rPr>
              <w:t>295,469, at an average net proceeds per share of $</w:t>
            </w:r>
            <w:bookmarkStart w:id="762" w:name="xdx_90C_eus-gaap--SharesIssuedPricePerSh"/>
            <w:bookmarkEnd w:id="762"/>
            <w:r>
              <w:rPr>
                <w:rFonts w:ascii="Times New Roman;Times;Serif" w:hAnsi="Times New Roman;Times;Serif"/>
                <w:b w:val="false"/>
                <w:i w:val="false"/>
                <w:caps w:val="false"/>
                <w:smallCaps w:val="false"/>
                <w:sz w:val="20"/>
              </w:rPr>
              <w:t>11.50 after platform fees.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63" w:name="xdx_904_eus-gaap--StockIssuedDuringPerio"/>
            <w:bookmarkEnd w:id="763"/>
            <w:r>
              <w:rPr>
                <w:rFonts w:ascii="Times New Roman;Times;Serif" w:hAnsi="Times New Roman;Times;Serif"/>
                <w:b w:val="false"/>
                <w:i w:val="false"/>
                <w:caps w:val="false"/>
                <w:smallCaps w:val="false"/>
                <w:sz w:val="20"/>
              </w:rPr>
              <w:t>84,874 shares issued to employees and consultants in exchange for services. The shares were recognized as compensation expense immediately and were fair valued at $</w:t>
            </w:r>
            <w:bookmarkStart w:id="764" w:name="xdx_900_eus-gaap--SharesIssuedPricePerSh"/>
            <w:bookmarkEnd w:id="764"/>
            <w:r>
              <w:rPr>
                <w:rFonts w:ascii="Times New Roman;Times;Serif" w:hAnsi="Times New Roman;Times;Serif"/>
                <w:b w:val="false"/>
                <w:i w:val="false"/>
                <w:caps w:val="false"/>
                <w:smallCaps w:val="false"/>
                <w:sz w:val="20"/>
              </w:rPr>
              <w:t>13.00 per share, for a total fair value of $</w:t>
            </w:r>
            <w:bookmarkStart w:id="765" w:name="xdx_907_eus-gaap--StockIssuedDuringPerio"/>
            <w:bookmarkEnd w:id="765"/>
            <w:r>
              <w:rPr>
                <w:rFonts w:ascii="Times New Roman;Times;Serif" w:hAnsi="Times New Roman;Times;Serif"/>
                <w:b w:val="false"/>
                <w:i w:val="false"/>
                <w:caps w:val="false"/>
                <w:smallCaps w:val="false"/>
                <w:sz w:val="20"/>
              </w:rPr>
              <w:t>1,103,362. The fair value was determined based on the price per stock issued to investors for cash during the period January 1, 2025 to May 15,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66" w:name="xdx_90A_eus-gaap--StockIssuedDuringPerio"/>
            <w:bookmarkEnd w:id="766"/>
            <w:r>
              <w:rPr>
                <w:rFonts w:ascii="Times New Roman;Times;Serif" w:hAnsi="Times New Roman;Times;Serif"/>
                <w:b w:val="false"/>
                <w:i w:val="false"/>
                <w:caps w:val="false"/>
                <w:smallCaps w:val="false"/>
                <w:sz w:val="20"/>
              </w:rPr>
              <w:t>35,389 shares to employees and consultants pursuant to stock awards. The shares were recognized as stock-based compensation expense immediately with a fair value totaling $</w:t>
            </w:r>
            <w:bookmarkStart w:id="767" w:name="xdx_90C_ecustom--StockIssuedDuringPeriod"/>
            <w:bookmarkEnd w:id="767"/>
            <w:r>
              <w:rPr>
                <w:rFonts w:ascii="Times New Roman;Times;Serif" w:hAnsi="Times New Roman;Times;Serif"/>
                <w:b w:val="false"/>
                <w:i w:val="false"/>
                <w:caps w:val="false"/>
                <w:smallCaps w:val="false"/>
                <w:sz w:val="20"/>
              </w:rPr>
              <w:t>296,102, based on the Company’s closing stock price on the grant date.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68" w:name="xdx_905_eus-gaap--StockIssuedDuringPerio"/>
            <w:bookmarkEnd w:id="768"/>
            <w:r>
              <w:rPr>
                <w:rFonts w:ascii="Times New Roman;Times;Serif" w:hAnsi="Times New Roman;Times;Serif"/>
                <w:b w:val="false"/>
                <w:i w:val="false"/>
                <w:caps w:val="false"/>
                <w:smallCaps w:val="false"/>
                <w:sz w:val="20"/>
              </w:rPr>
              <w:t>62,500 shares to an Streeterville Capital, LLC as commitment shares pursuant to pre-paid purchase 1 under the SPA agreement. The shares were issued at fair value of $</w:t>
            </w:r>
            <w:bookmarkStart w:id="769" w:name="xdx_909_eus-gaap--StockIssuedDuringPerio"/>
            <w:bookmarkEnd w:id="769"/>
            <w:r>
              <w:rPr>
                <w:rFonts w:ascii="Times New Roman;Times;Serif" w:hAnsi="Times New Roman;Times;Serif"/>
                <w:b w:val="false"/>
                <w:i w:val="false"/>
                <w:caps w:val="false"/>
                <w:smallCaps w:val="false"/>
                <w:sz w:val="20"/>
              </w:rPr>
              <w:t>828,125.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70" w:name="xdx_909_eus-gaap--SharebasedCompensation"/>
            <w:bookmarkEnd w:id="770"/>
            <w:r>
              <w:rPr>
                <w:rFonts w:ascii="Times New Roman;Times;Serif" w:hAnsi="Times New Roman;Times;Serif"/>
                <w:b w:val="false"/>
                <w:i w:val="false"/>
                <w:caps w:val="false"/>
                <w:smallCaps w:val="false"/>
                <w:sz w:val="20"/>
              </w:rPr>
              <w:t>773 shares upon the cashless exercise of vested options under the 2023 Equity Incentive Plan. The shares had an aggregate fair value of $</w:t>
            </w:r>
            <w:bookmarkStart w:id="771" w:name="xdx_906_eus-gaap--SharebasedCompensation"/>
            <w:bookmarkEnd w:id="771"/>
            <w:r>
              <w:rPr>
                <w:rFonts w:ascii="Times New Roman;Times;Serif" w:hAnsi="Times New Roman;Times;Serif"/>
                <w:b w:val="false"/>
                <w:i w:val="false"/>
                <w:caps w:val="false"/>
                <w:smallCaps w:val="false"/>
                <w:sz w:val="20"/>
              </w:rPr>
              <w:t>6,164, determined based on the Company’s closing stock price on the exercise date.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72" w:name="xdx_905_eus-gaap--StockIssuedDuringPerio"/>
            <w:bookmarkEnd w:id="772"/>
            <w:r>
              <w:rPr>
                <w:rFonts w:ascii="Times New Roman;Times;Serif" w:hAnsi="Times New Roman;Times;Serif"/>
                <w:b w:val="false"/>
                <w:i w:val="false"/>
                <w:caps w:val="false"/>
                <w:smallCaps w:val="false"/>
                <w:sz w:val="20"/>
              </w:rPr>
              <w:t>532,913 shares issued to a consultant via stock awards, recognized as deferred offering costs, fair valued at $</w:t>
            </w:r>
            <w:bookmarkStart w:id="773" w:name="xdx_903_eus-gaap--SharesIssuedPricePerSh"/>
            <w:bookmarkEnd w:id="773"/>
            <w:r>
              <w:rPr>
                <w:rFonts w:ascii="Times New Roman;Times;Serif" w:hAnsi="Times New Roman;Times;Serif"/>
                <w:b w:val="false"/>
                <w:i w:val="false"/>
                <w:caps w:val="false"/>
                <w:smallCaps w:val="false"/>
                <w:sz w:val="20"/>
              </w:rPr>
              <w:t>13.00 per share, for a total of $</w:t>
            </w:r>
            <w:bookmarkStart w:id="774" w:name="xdx_904_ecustom--StockIssuedDuringPeriod"/>
            <w:bookmarkEnd w:id="774"/>
            <w:r>
              <w:rPr>
                <w:rFonts w:ascii="Times New Roman;Times;Serif" w:hAnsi="Times New Roman;Times;Serif"/>
                <w:b w:val="false"/>
                <w:i w:val="false"/>
                <w:caps w:val="false"/>
                <w:smallCaps w:val="false"/>
                <w:sz w:val="20"/>
              </w:rPr>
              <w:t>6,927,869, based on the price per stock issued to investors for cash.</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75" w:name="xdx_909_eus-gaap--StockIssuedDuringPerio"/>
            <w:bookmarkEnd w:id="775"/>
            <w:r>
              <w:rPr>
                <w:rFonts w:ascii="Times New Roman;Times;Serif" w:hAnsi="Times New Roman;Times;Serif"/>
                <w:b w:val="false"/>
                <w:i w:val="false"/>
                <w:caps w:val="false"/>
                <w:smallCaps w:val="false"/>
                <w:sz w:val="20"/>
              </w:rPr>
              <w:t>92,673 shares issued to settle an outstanding payable in the amount of $</w:t>
            </w:r>
            <w:bookmarkStart w:id="776" w:name="xdx_909_ecustom--LegalExpenses_c20250101"/>
            <w:bookmarkEnd w:id="776"/>
            <w:r>
              <w:rPr>
                <w:rFonts w:ascii="Times New Roman;Times;Serif" w:hAnsi="Times New Roman;Times;Serif"/>
                <w:b w:val="false"/>
                <w:i w:val="false"/>
                <w:caps w:val="false"/>
                <w:smallCaps w:val="false"/>
                <w:sz w:val="20"/>
              </w:rPr>
              <w:t>1,204,737 with a consultant for legal expenses incurred in prior periods, fair valued at $</w:t>
            </w:r>
            <w:bookmarkStart w:id="777" w:name="xdx_90E_eus-gaap--SharesIssuedPricePerSh"/>
            <w:bookmarkEnd w:id="777"/>
            <w:r>
              <w:rPr>
                <w:rFonts w:ascii="Times New Roman;Times;Serif" w:hAnsi="Times New Roman;Times;Serif"/>
                <w:b w:val="false"/>
                <w:i w:val="false"/>
                <w:caps w:val="false"/>
                <w:smallCaps w:val="false"/>
                <w:sz w:val="20"/>
              </w:rPr>
              <w:t>13.00 per share, for a total of $</w:t>
            </w:r>
            <w:bookmarkStart w:id="778" w:name="xdx_906_eus-gaap--StockIssuedDuringPerio"/>
            <w:bookmarkEnd w:id="778"/>
            <w:r>
              <w:rPr>
                <w:rFonts w:ascii="Times New Roman;Times;Serif" w:hAnsi="Times New Roman;Times;Serif"/>
                <w:b w:val="false"/>
                <w:i w:val="false"/>
                <w:caps w:val="false"/>
                <w:smallCaps w:val="false"/>
                <w:sz w:val="20"/>
              </w:rPr>
              <w:t>1,204,737. There was no gain or loss associated with settlement in shares.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79" w:name="xdx_904_eus-gaap--StockIssuedDuringPerio"/>
            <w:bookmarkEnd w:id="779"/>
            <w:r>
              <w:rPr>
                <w:rFonts w:ascii="Times New Roman;Times;Serif" w:hAnsi="Times New Roman;Times;Serif"/>
                <w:b w:val="false"/>
                <w:i w:val="false"/>
                <w:caps w:val="false"/>
                <w:smallCaps w:val="false"/>
                <w:sz w:val="20"/>
              </w:rPr>
              <w:t>1,207,355 shares issued, with a fair value of $</w:t>
            </w:r>
            <w:bookmarkStart w:id="780" w:name="xdx_90B_eus-gaap--StockIssuedDuringPerio"/>
            <w:bookmarkEnd w:id="780"/>
            <w:r>
              <w:rPr>
                <w:rFonts w:ascii="Times New Roman;Times;Serif" w:hAnsi="Times New Roman;Times;Serif"/>
                <w:b w:val="false"/>
                <w:i w:val="false"/>
                <w:caps w:val="false"/>
                <w:smallCaps w:val="false"/>
                <w:sz w:val="20"/>
              </w:rPr>
              <w:t xml:space="preserve">4,533,980, as a conversion of convertible notes payable, as described in </w:t>
            </w:r>
            <w:r>
              <w:rPr>
                <w:rFonts w:ascii="Times New Roman;Times;Serif" w:hAnsi="Times New Roman;Times;Serif"/>
                <w:b w:val="false"/>
                <w:i w:val="false"/>
                <w:caps/>
                <w:sz w:val="20"/>
              </w:rPr>
              <w:t>Note</w:t>
            </w:r>
            <w:r>
              <w:rPr>
                <w:rFonts w:ascii="Times New Roman;Times;Serif" w:hAnsi="Times New Roman;Times;Serif"/>
                <w:b w:val="false"/>
                <w:i w:val="false"/>
                <w:caps w:val="false"/>
                <w:smallCaps w:val="false"/>
                <w:sz w:val="20"/>
              </w:rPr>
              <w:t xml:space="preserve"> 10.</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2024, the Company issued in the aggregate </w:t>
      </w:r>
      <w:bookmarkStart w:id="781" w:name="xdx_90C_eus-gaap--StockIssuedDuringPerio"/>
      <w:bookmarkEnd w:id="781"/>
      <w:r>
        <w:rPr>
          <w:rFonts w:ascii="Times New Roman;Times;Serif" w:hAnsi="Times New Roman;Times;Serif"/>
          <w:b w:val="false"/>
          <w:i w:val="false"/>
          <w:caps w:val="false"/>
          <w:smallCaps w:val="false"/>
          <w:sz w:val="20"/>
        </w:rPr>
        <w:t>276,626 shares of common stock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82" w:name="xdx_90C_eus-gaap--SharesIssued_iI_c20241"/>
            <w:bookmarkEnd w:id="782"/>
            <w:r>
              <w:rPr>
                <w:rFonts w:ascii="Times New Roman;Times;Serif" w:hAnsi="Times New Roman;Times;Serif"/>
                <w:b w:val="false"/>
                <w:i w:val="false"/>
                <w:caps w:val="false"/>
                <w:smallCaps w:val="false"/>
                <w:sz w:val="20"/>
              </w:rPr>
              <w:t xml:space="preserve">68,743 shares, of which </w:t>
            </w:r>
            <w:bookmarkStart w:id="783" w:name="xdx_903_eus-gaap--StockIssuedDuringPerio"/>
            <w:bookmarkEnd w:id="783"/>
            <w:r>
              <w:rPr>
                <w:rFonts w:ascii="Times New Roman;Times;Serif" w:hAnsi="Times New Roman;Times;Serif"/>
                <w:b w:val="false"/>
                <w:i w:val="false"/>
                <w:caps w:val="false"/>
                <w:smallCaps w:val="false"/>
                <w:sz w:val="20"/>
              </w:rPr>
              <w:t>41,119 shares are inclusive of warrants issued and deemed as equity to accredited investors in exchange for cash of $</w:t>
            </w:r>
            <w:bookmarkStart w:id="784" w:name="xdx_90A_eus-gaap--StockIssuedDuringPerio"/>
            <w:bookmarkEnd w:id="784"/>
            <w:r>
              <w:rPr>
                <w:rFonts w:ascii="Times New Roman;Times;Serif" w:hAnsi="Times New Roman;Times;Serif"/>
                <w:b w:val="false"/>
                <w:i w:val="false"/>
                <w:caps w:val="false"/>
                <w:smallCaps w:val="false"/>
                <w:sz w:val="20"/>
              </w:rPr>
              <w:t>825,000 at an average of $</w:t>
            </w:r>
            <w:bookmarkStart w:id="785" w:name="xdx_90A_eus-gaap--SharesIssuedPricePerSh"/>
            <w:bookmarkEnd w:id="785"/>
            <w:r>
              <w:rPr>
                <w:rFonts w:ascii="Times New Roman;Times;Serif" w:hAnsi="Times New Roman;Times;Serif"/>
                <w:b w:val="false"/>
                <w:i w:val="false"/>
                <w:caps w:val="false"/>
                <w:smallCaps w:val="false"/>
                <w:sz w:val="20"/>
              </w:rPr>
              <w:t>12.00 per share.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86" w:name="xdx_90C_eus-gaap--StockIssuedDuringPerio"/>
            <w:bookmarkEnd w:id="786"/>
            <w:r>
              <w:rPr>
                <w:rFonts w:ascii="Times New Roman;Times;Serif" w:hAnsi="Times New Roman;Times;Serif"/>
                <w:b w:val="false"/>
                <w:i w:val="false"/>
                <w:caps w:val="false"/>
                <w:smallCaps w:val="false"/>
                <w:sz w:val="20"/>
              </w:rPr>
              <w:t>174,680 shares issued through a crowdfunding campaign to other investors in exchange for net cash of $</w:t>
            </w:r>
            <w:bookmarkStart w:id="787" w:name="xdx_90E_eus-gaap--StockIssuedDuringPerio"/>
            <w:bookmarkEnd w:id="787"/>
            <w:r>
              <w:rPr>
                <w:rFonts w:ascii="Times New Roman;Times;Serif" w:hAnsi="Times New Roman;Times;Serif"/>
                <w:b w:val="false"/>
                <w:i w:val="false"/>
                <w:caps w:val="false"/>
                <w:smallCaps w:val="false"/>
                <w:sz w:val="20"/>
              </w:rPr>
              <w:t>1,818,626, at an average of $</w:t>
            </w:r>
            <w:bookmarkStart w:id="788" w:name="xdx_908_eus-gaap--SharesIssuedPricePerSh"/>
            <w:bookmarkEnd w:id="788"/>
            <w:r>
              <w:rPr>
                <w:rFonts w:ascii="Times New Roman;Times;Serif" w:hAnsi="Times New Roman;Times;Serif"/>
                <w:b w:val="false"/>
                <w:i w:val="false"/>
                <w:caps w:val="false"/>
                <w:smallCaps w:val="false"/>
                <w:sz w:val="20"/>
              </w:rPr>
              <w:t>10.41 per share.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89" w:name="xdx_90F_eus-gaap--StockIssuedDuringPerio"/>
            <w:bookmarkEnd w:id="789"/>
            <w:r>
              <w:rPr>
                <w:rFonts w:ascii="Times New Roman;Times;Serif" w:hAnsi="Times New Roman;Times;Serif"/>
                <w:b w:val="false"/>
                <w:i w:val="false"/>
                <w:caps w:val="false"/>
                <w:smallCaps w:val="false"/>
                <w:sz w:val="20"/>
              </w:rPr>
              <w:t>32,839 shares issued to employees or consultants via stock awards, recognized as compensation expense, fair valued at an average of $</w:t>
            </w:r>
            <w:bookmarkStart w:id="790" w:name="xdx_907_eus-gaap--SharesIssuedPricePerSh"/>
            <w:bookmarkEnd w:id="790"/>
            <w:r>
              <w:rPr>
                <w:rFonts w:ascii="Times New Roman;Times;Serif" w:hAnsi="Times New Roman;Times;Serif"/>
                <w:b w:val="false"/>
                <w:i w:val="false"/>
                <w:caps w:val="false"/>
                <w:smallCaps w:val="false"/>
                <w:sz w:val="20"/>
              </w:rPr>
              <w:t>12.50 per share for a total of $</w:t>
            </w:r>
            <w:bookmarkStart w:id="791" w:name="xdx_90D_eus-gaap--StockIssuedDuringPerio"/>
            <w:bookmarkEnd w:id="791"/>
            <w:r>
              <w:rPr>
                <w:rFonts w:ascii="Times New Roman;Times;Serif" w:hAnsi="Times New Roman;Times;Serif"/>
                <w:b w:val="false"/>
                <w:i w:val="false"/>
                <w:caps w:val="false"/>
                <w:smallCaps w:val="false"/>
                <w:sz w:val="20"/>
              </w:rPr>
              <w:t>410,632, based on the price per stock issued to investors for cash.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2025, the Company announced a new share repurchase program (the “Repurchase Program”), pursuant to which the Company may purchase up to $</w:t>
      </w:r>
      <w:bookmarkStart w:id="792" w:name="xdx_90A_esrt--StockRepurchaseProgramAuth"/>
      <w:bookmarkEnd w:id="792"/>
      <w:r>
        <w:rPr>
          <w:rFonts w:ascii="Times New Roman;Times;Serif" w:hAnsi="Times New Roman;Times;Serif"/>
          <w:b w:val="false"/>
          <w:i w:val="false"/>
          <w:caps w:val="false"/>
          <w:smallCaps w:val="false"/>
          <w:sz w:val="20"/>
        </w:rPr>
        <w:t>10 million of its common stock through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repurchases under the Repurchase Program may be made from time to time through various means, including open market purchases, privately negotiated transactions, and/or pursuant to Rule 10b5-1 trading plans, in each case in accordance with Rule 10b-18 under the Securities Exchange Act of 1934. The timing, volume, and nature of share repurchases pursuant to the Repurchase Program are at the discretion of management and may be suspended or discontinued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93" w:name="xdx_896_ecustom--ScheduleOfSharesRepurch"/>
      <w:bookmarkEnd w:id="793"/>
      <w:r>
        <w:rPr>
          <w:rFonts w:ascii="Times New Roman;Times;Serif" w:hAnsi="Times New Roman;Times;Serif"/>
          <w:b w:val="false"/>
          <w:i w:val="false"/>
          <w:caps w:val="false"/>
          <w:smallCaps w:val="false"/>
          <w:sz w:val="20"/>
        </w:rPr>
        <w:t>The following sets forth the Company’s share repurchases for the year ended December 31, 2025:</w:t>
      </w:r>
    </w:p>
    <w:p>
      <w:pPr>
        <w:pStyle w:val="TextBody"/>
        <w:bidi w:val="0"/>
        <w:spacing w:before="0" w:after="0"/>
        <w:ind w:left="0" w:right="0" w:hanging="0"/>
        <w:jc w:val="both"/>
        <w:rPr>
          <w:caps w:val="false"/>
          <w:smallCaps w:val="false"/>
        </w:rPr>
      </w:pPr>
      <w:r>
        <w:rPr>
          <w:caps w:val="false"/>
          <w:smallCaps w:val="false"/>
        </w:rPr>
        <w:t> </w:t>
      </w:r>
      <w:bookmarkStart w:id="794" w:name="xdx_8BD_zTGuzHIxHR91"/>
      <w:bookmarkEnd w:id="794"/>
      <w:r>
        <w:rPr>
          <w:rFonts w:ascii="Times New Roman;Times;Serif" w:hAnsi="Times New Roman;Times;Serif"/>
          <w:b w:val="false"/>
          <w:i w:val="false"/>
          <w:caps w:val="false"/>
          <w:smallCaps w:val="false"/>
          <w:sz w:val="20"/>
        </w:rPr>
        <w:t>SCHEDULE OF SHARES REPURCHASE</w:t>
      </w:r>
    </w:p>
    <w:tbl>
      <w:tblPr>
        <w:tblW w:w="4365" w:type="dxa"/>
        <w:jc w:val="left"/>
        <w:tblInd w:w="0" w:type="dxa"/>
        <w:tblLayout w:type="fixed"/>
        <w:tblCellMar>
          <w:top w:w="0" w:type="dxa"/>
          <w:left w:w="0" w:type="dxa"/>
          <w:bottom w:w="0" w:type="dxa"/>
          <w:right w:w="0" w:type="dxa"/>
        </w:tblCellMar>
      </w:tblPr>
      <w:tblGrid>
        <w:gridCol w:w="3410"/>
        <w:gridCol w:w="60"/>
        <w:gridCol w:w="140"/>
        <w:gridCol w:w="680"/>
        <w:gridCol w:w="75"/>
      </w:tblGrid>
      <w:tr>
        <w:trPr/>
        <w:tc>
          <w:tcPr>
            <w:tcW w:w="3410" w:type="dxa"/>
            <w:tcBorders/>
            <w:shd w:fill="CCEEFF" w:val="clear"/>
            <w:vAlign w:val="center"/>
          </w:tcPr>
          <w:p>
            <w:pPr>
              <w:pStyle w:val="TableContents"/>
              <w:bidi w:val="0"/>
              <w:spacing w:before="0" w:after="283"/>
              <w:jc w:val="both"/>
              <w:rPr/>
            </w:pPr>
            <w:r>
              <w:rPr/>
              <w:t>Total number of shares repurchased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95" w:name="xdx_98F_eus-gaap--StockRepurchasedDuring"/>
            <w:bookmarkEnd w:id="795"/>
          </w:p>
        </w:tc>
        <w:tc>
          <w:tcPr>
            <w:tcW w:w="680" w:type="dxa"/>
            <w:tcBorders/>
            <w:shd w:fill="CCEEFF" w:val="clear"/>
            <w:vAlign w:val="center"/>
          </w:tcPr>
          <w:p>
            <w:pPr>
              <w:pStyle w:val="TableContents"/>
              <w:bidi w:val="0"/>
              <w:spacing w:before="0" w:after="283"/>
              <w:jc w:val="right"/>
              <w:rPr/>
            </w:pPr>
            <w:r>
              <w:rPr/>
              <w:t>19,700</w:t>
            </w:r>
          </w:p>
        </w:tc>
        <w:tc>
          <w:tcPr>
            <w:tcW w:w="75"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both"/>
              <w:rPr/>
            </w:pPr>
            <w:r>
              <w:rPr/>
              <w:t>Amount repurchased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96" w:name="xdx_987_eus-gaap--StockRepurchasedDuring"/>
            <w:bookmarkEnd w:id="796"/>
          </w:p>
        </w:tc>
        <w:tc>
          <w:tcPr>
            <w:tcW w:w="680" w:type="dxa"/>
            <w:tcBorders/>
            <w:shd w:fill="FFFFFF" w:val="clear"/>
            <w:vAlign w:val="center"/>
          </w:tcPr>
          <w:p>
            <w:pPr>
              <w:pStyle w:val="TableContents"/>
              <w:bidi w:val="0"/>
              <w:spacing w:before="0" w:after="283"/>
              <w:jc w:val="right"/>
              <w:rPr/>
            </w:pPr>
            <w:r>
              <w:rPr/>
              <w:t>74,743</w:t>
            </w:r>
          </w:p>
        </w:tc>
        <w:tc>
          <w:tcPr>
            <w:tcW w:w="75"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both"/>
              <w:rPr/>
            </w:pPr>
            <w:r>
              <w:rPr/>
              <w:t>Average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97" w:name="xdx_989_eus-gaap--TreasuryStockAcquiredA"/>
            <w:bookmarkEnd w:id="797"/>
          </w:p>
        </w:tc>
        <w:tc>
          <w:tcPr>
            <w:tcW w:w="680" w:type="dxa"/>
            <w:tcBorders/>
            <w:shd w:fill="CCEEFF" w:val="clear"/>
            <w:vAlign w:val="center"/>
          </w:tcPr>
          <w:p>
            <w:pPr>
              <w:pStyle w:val="TableContents"/>
              <w:bidi w:val="0"/>
              <w:spacing w:before="0" w:after="283"/>
              <w:jc w:val="right"/>
              <w:rPr/>
            </w:pPr>
            <w:r>
              <w:rPr/>
              <w:t>3.79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98" w:name="xdx_8A6_zLtI9sTY3HKe"/>
      <w:bookmarkEnd w:id="79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repurchases for the year ended December 31, 2025 were made on the open market subject to regulatory constraints. As of December 31, 2025, the Company had approximately $</w:t>
      </w:r>
      <w:bookmarkStart w:id="799" w:name="xdx_90E_esrt--StockRepurchaseProgramAuth"/>
      <w:bookmarkEnd w:id="799"/>
      <w:r>
        <w:rPr>
          <w:rFonts w:ascii="Times New Roman;Times;Serif" w:hAnsi="Times New Roman;Times;Serif"/>
          <w:b w:val="false"/>
          <w:i w:val="false"/>
          <w:caps w:val="false"/>
          <w:smallCaps w:val="false"/>
          <w:sz w:val="20"/>
        </w:rPr>
        <w:t>9,925,000 available for repurchase remaining under the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retired </w:t>
      </w:r>
      <w:bookmarkStart w:id="800" w:name="xdx_903_eus-gaap--TreasuryStockSharesRet"/>
      <w:bookmarkEnd w:id="800"/>
      <w:r>
        <w:rPr>
          <w:rFonts w:ascii="Times New Roman;Times;Serif" w:hAnsi="Times New Roman;Times;Serif"/>
          <w:b w:val="false"/>
          <w:i w:val="false"/>
          <w:caps w:val="false"/>
          <w:smallCaps w:val="false"/>
          <w:sz w:val="20"/>
        </w:rPr>
        <w:t>19,700 treasury shares acquired at a cost of $</w:t>
      </w:r>
      <w:bookmarkStart w:id="801" w:name="xdx_902_eus-gaap--TreasuryStockRetiredCo"/>
      <w:bookmarkEnd w:id="801"/>
      <w:r>
        <w:rPr>
          <w:rFonts w:ascii="Times New Roman;Times;Serif" w:hAnsi="Times New Roman;Times;Serif"/>
          <w:b w:val="false"/>
          <w:i w:val="false"/>
          <w:caps w:val="false"/>
          <w:smallCaps w:val="false"/>
          <w:sz w:val="20"/>
        </w:rPr>
        <w:t>74,743. The impact of the retirement of treasury shares was a reduction to common stock and additional paid-in capital of $</w:t>
      </w:r>
      <w:bookmarkStart w:id="802" w:name="xdx_904_eus-gaap--TreasuryStockCommonVal"/>
      <w:bookmarkEnd w:id="802"/>
      <w:r>
        <w:rPr>
          <w:rFonts w:ascii="Times New Roman;Times;Serif" w:hAnsi="Times New Roman;Times;Serif"/>
          <w:b w:val="false"/>
          <w:i w:val="false"/>
          <w:caps w:val="false"/>
          <w:smallCaps w:val="false"/>
          <w:sz w:val="20"/>
        </w:rPr>
        <w:t>4 and $</w:t>
      </w:r>
      <w:bookmarkStart w:id="803" w:name="xdx_90D_eus-gaap--TreasuryStockRetiredPa"/>
      <w:bookmarkEnd w:id="803"/>
      <w:r>
        <w:rPr>
          <w:rFonts w:ascii="Times New Roman;Times;Serif" w:hAnsi="Times New Roman;Times;Serif"/>
          <w:b w:val="false"/>
          <w:i w:val="false"/>
          <w:caps w:val="false"/>
          <w:smallCaps w:val="false"/>
          <w:sz w:val="20"/>
        </w:rPr>
        <w:t>74,739,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04" w:name="xdx_800_ecustom--WarrantsDisclosureTextB"/>
      <w:bookmarkEnd w:id="804"/>
      <w:r>
        <w:rPr>
          <w:rFonts w:ascii="Times New Roman;Times;Serif" w:hAnsi="Times New Roman;Times;Serif"/>
          <w:b/>
          <w:i w:val="false"/>
          <w:caps w:val="false"/>
          <w:smallCaps w:val="false"/>
          <w:sz w:val="20"/>
        </w:rPr>
        <w:t xml:space="preserve">NOTE 16 - </w:t>
      </w:r>
      <w:bookmarkStart w:id="805" w:name="xdx_82C_z4wDOH2zNg74"/>
      <w:bookmarkEnd w:id="805"/>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06" w:name="xdx_894_eus-gaap--ScheduleOfStockholders"/>
      <w:bookmarkEnd w:id="806"/>
      <w:r>
        <w:rPr>
          <w:rFonts w:ascii="Times New Roman;Times;Serif" w:hAnsi="Times New Roman;Times;Serif"/>
          <w:b w:val="false"/>
          <w:i w:val="false"/>
          <w:caps w:val="false"/>
          <w:smallCaps w:val="false"/>
          <w:sz w:val="20"/>
        </w:rPr>
        <w:t>The following table summarizes the warrants outstanding as of December 31, 2025 and 2024 and changes during the years ending on these dates:</w:t>
      </w:r>
    </w:p>
    <w:p>
      <w:pPr>
        <w:pStyle w:val="TextBody"/>
        <w:bidi w:val="0"/>
        <w:spacing w:before="0" w:after="0"/>
        <w:ind w:left="0" w:right="0" w:hanging="0"/>
        <w:jc w:val="both"/>
        <w:rPr>
          <w:caps w:val="false"/>
          <w:smallCaps w:val="false"/>
        </w:rPr>
      </w:pPr>
      <w:r>
        <w:rPr>
          <w:caps w:val="false"/>
          <w:smallCaps w:val="false"/>
        </w:rPr>
        <w:t> </w:t>
      </w:r>
      <w:bookmarkStart w:id="807" w:name="xdx_8BC_zxxdmEqeIYv8"/>
      <w:bookmarkEnd w:id="807"/>
      <w:r>
        <w:rPr>
          <w:rFonts w:ascii="Times New Roman;Times;Serif" w:hAnsi="Times New Roman;Times;Serif"/>
          <w:b w:val="false"/>
          <w:i w:val="false"/>
          <w:caps w:val="false"/>
          <w:smallCaps w:val="false"/>
          <w:sz w:val="20"/>
        </w:rPr>
        <w:t>SCHEDULE OF WARRANTS OUTSTANDING</w:t>
      </w:r>
    </w:p>
    <w:tbl>
      <w:tblPr>
        <w:tblW w:w="10205" w:type="dxa"/>
        <w:jc w:val="left"/>
        <w:tblInd w:w="0" w:type="dxa"/>
        <w:tblLayout w:type="fixed"/>
        <w:tblCellMar>
          <w:top w:w="0" w:type="dxa"/>
          <w:left w:w="0" w:type="dxa"/>
          <w:bottom w:w="0" w:type="dxa"/>
          <w:right w:w="0" w:type="dxa"/>
        </w:tblCellMar>
      </w:tblPr>
      <w:tblGrid>
        <w:gridCol w:w="2221"/>
        <w:gridCol w:w="60"/>
        <w:gridCol w:w="75"/>
        <w:gridCol w:w="1116"/>
        <w:gridCol w:w="95"/>
        <w:gridCol w:w="60"/>
        <w:gridCol w:w="274"/>
        <w:gridCol w:w="1096"/>
        <w:gridCol w:w="60"/>
        <w:gridCol w:w="60"/>
        <w:gridCol w:w="363"/>
        <w:gridCol w:w="1142"/>
        <w:gridCol w:w="60"/>
        <w:gridCol w:w="60"/>
        <w:gridCol w:w="233"/>
        <w:gridCol w:w="1715"/>
        <w:gridCol w:w="60"/>
        <w:gridCol w:w="60"/>
        <w:gridCol w:w="195"/>
        <w:gridCol w:w="1119"/>
        <w:gridCol w:w="81"/>
      </w:tblGrid>
      <w:tr>
        <w:trPr/>
        <w:tc>
          <w:tcPr>
            <w:tcW w:w="22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Remaining Contractual 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 Intrinsic Value</w:t>
            </w:r>
          </w:p>
        </w:tc>
        <w:tc>
          <w:tcPr>
            <w:tcW w:w="81" w:type="dxa"/>
            <w:tcBorders/>
            <w:vAlign w:val="center"/>
          </w:tcPr>
          <w:p>
            <w:pPr>
              <w:pStyle w:val="TableContents"/>
              <w:bidi w:val="0"/>
              <w:spacing w:before="0" w:after="283"/>
              <w:jc w:val="left"/>
              <w:rPr/>
            </w:pPr>
            <w:r>
              <w:rPr/>
              <w:t> </w:t>
            </w:r>
          </w:p>
        </w:tc>
      </w:tr>
      <w:tr>
        <w:trPr/>
        <w:tc>
          <w:tcPr>
            <w:tcW w:w="222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91"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8"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4" w:type="dxa"/>
            <w:gridSpan w:val="2"/>
            <w:tcBorders/>
            <w:vAlign w:val="center"/>
          </w:tcPr>
          <w:p>
            <w:pPr>
              <w:pStyle w:val="TableContents"/>
              <w:bidi w:val="0"/>
              <w:spacing w:before="0" w:after="283"/>
              <w:jc w:val="both"/>
              <w:rPr/>
            </w:pPr>
            <w:r>
              <w:rPr/>
              <w:t> </w:t>
            </w:r>
          </w:p>
        </w:tc>
        <w:tc>
          <w:tcPr>
            <w:tcW w:w="81" w:type="dxa"/>
            <w:tcBorders/>
            <w:vAlign w:val="center"/>
          </w:tcPr>
          <w:p>
            <w:pPr>
              <w:pStyle w:val="TableContents"/>
              <w:bidi w:val="0"/>
              <w:spacing w:before="0" w:after="283"/>
              <w:jc w:val="left"/>
              <w:rPr/>
            </w:pPr>
            <w:r>
              <w:rPr/>
              <w:t> </w:t>
            </w:r>
          </w:p>
        </w:tc>
      </w:tr>
      <w:tr>
        <w:trPr/>
        <w:tc>
          <w:tcPr>
            <w:tcW w:w="2221" w:type="dxa"/>
            <w:tcBorders/>
            <w:shd w:fill="CCEEFF" w:val="clear"/>
            <w:vAlign w:val="center"/>
          </w:tcPr>
          <w:p>
            <w:pPr>
              <w:pStyle w:val="TableContents"/>
              <w:bidi w:val="0"/>
              <w:spacing w:before="0" w:after="283"/>
              <w:jc w:val="left"/>
              <w:rPr/>
            </w:pPr>
            <w:r>
              <w:rPr/>
              <w:t>OUTSTANDING, DECEMBER 31, 2023</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808" w:name="xdx_980_eus-gaap--ShareBasedCompensation"/>
            <w:bookmarkEnd w:id="808"/>
          </w:p>
        </w:tc>
        <w:tc>
          <w:tcPr>
            <w:tcW w:w="1116" w:type="dxa"/>
            <w:tcBorders/>
            <w:shd w:fill="CCEEFF" w:val="clear"/>
            <w:vAlign w:val="center"/>
          </w:tcPr>
          <w:p>
            <w:pPr>
              <w:pStyle w:val="TableContents"/>
              <w:bidi w:val="0"/>
              <w:spacing w:before="0" w:after="283"/>
              <w:jc w:val="right"/>
              <w:rPr/>
            </w:pPr>
            <w:r>
              <w:rPr/>
              <w:t>163,215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bookmarkStart w:id="809" w:name="xdx_98A_ecustom--ShareBasedCompensationA"/>
            <w:bookmarkEnd w:id="809"/>
          </w:p>
        </w:tc>
        <w:tc>
          <w:tcPr>
            <w:tcW w:w="1096" w:type="dxa"/>
            <w:tcBorders/>
            <w:shd w:fill="CCEEFF" w:val="clear"/>
            <w:vAlign w:val="center"/>
          </w:tcPr>
          <w:p>
            <w:pPr>
              <w:pStyle w:val="TableContents"/>
              <w:bidi w:val="0"/>
              <w:spacing w:before="0" w:after="283"/>
              <w:jc w:val="right"/>
              <w:rPr/>
            </w:pPr>
            <w:r>
              <w:rPr/>
              <w:t>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w:t>
            </w:r>
            <w:bookmarkStart w:id="810" w:name="xdx_98F_eus-gaap--ShareBasedCompensation"/>
            <w:bookmarkEnd w:id="810"/>
          </w:p>
        </w:tc>
        <w:tc>
          <w:tcPr>
            <w:tcW w:w="1142" w:type="dxa"/>
            <w:tcBorders/>
            <w:shd w:fill="CCEEFF" w:val="clear"/>
            <w:vAlign w:val="center"/>
          </w:tcPr>
          <w:p>
            <w:pPr>
              <w:pStyle w:val="TableContents"/>
              <w:bidi w:val="0"/>
              <w:spacing w:before="0" w:after="283"/>
              <w:jc w:val="right"/>
              <w:rPr/>
            </w:pPr>
            <w:r>
              <w:rPr/>
              <w:t>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bookmarkStart w:id="811" w:name="xdx_98D_eus-gaap--ShareBasedCompensation"/>
            <w:bookmarkEnd w:id="811"/>
          </w:p>
        </w:tc>
        <w:tc>
          <w:tcPr>
            <w:tcW w:w="1715" w:type="dxa"/>
            <w:tcBorders/>
            <w:shd w:fill="CCEEFF" w:val="clear"/>
            <w:vAlign w:val="center"/>
          </w:tcPr>
          <w:p>
            <w:pPr>
              <w:pStyle w:val="TableContents"/>
              <w:bidi w:val="0"/>
              <w:spacing w:before="0" w:after="283"/>
              <w:jc w:val="right"/>
              <w:rPr/>
            </w:pPr>
            <w:r>
              <w:rPr/>
              <w:t>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bookmarkStart w:id="812" w:name="xdx_98F_eus-gaap--SharebasedCompensation"/>
            <w:bookmarkEnd w:id="812"/>
          </w:p>
        </w:tc>
        <w:tc>
          <w:tcPr>
            <w:tcW w:w="1119" w:type="dxa"/>
            <w:tcBorders/>
            <w:shd w:fill="CCEEFF" w:val="clear"/>
            <w:vAlign w:val="center"/>
          </w:tcPr>
          <w:p>
            <w:pPr>
              <w:pStyle w:val="TableContents"/>
              <w:bidi w:val="0"/>
              <w:spacing w:before="0" w:after="283"/>
              <w:jc w:val="right"/>
              <w:rPr/>
            </w:pPr>
            <w:r>
              <w:rPr/>
              <w:t>254,615</w:t>
            </w:r>
          </w:p>
        </w:tc>
        <w:tc>
          <w:tcPr>
            <w:tcW w:w="81" w:type="dxa"/>
            <w:tcBorders/>
            <w:shd w:fill="CCEEFF"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13" w:name="xdx_983_eus-gaap--ShareBasedCompensation"/>
            <w:bookmarkEnd w:id="813"/>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pPr>
            <w:r>
              <w:rPr/>
              <w:t>64,334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14" w:name="xdx_98E_ecustom--ShareBasedCompensationA"/>
            <w:bookmarkEnd w:id="814"/>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pPr>
            <w:r>
              <w:rPr/>
              <w:t>11.49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15" w:name="xdx_98F_eus-gaap--ShareBasedCompensation"/>
            <w:bookmarkEnd w:id="815"/>
          </w:p>
        </w:tc>
        <w:tc>
          <w:tcPr>
            <w:tcW w:w="1142" w:type="dxa"/>
            <w:tcBorders>
              <w:bottom w:val="single" w:sz="8" w:space="0" w:color="000000"/>
            </w:tcBorders>
            <w:shd w:fill="FFFFFF" w:val="clear"/>
            <w:tcMar>
              <w:bottom w:w="28" w:type="dxa"/>
            </w:tcMar>
            <w:vAlign w:val="center"/>
          </w:tcPr>
          <w:p>
            <w:pPr>
              <w:pStyle w:val="TableContents"/>
              <w:bidi w:val="0"/>
              <w:spacing w:before="0" w:after="283"/>
              <w:jc w:val="right"/>
              <w:rPr/>
            </w:pPr>
            <w:r>
              <w:rPr/>
              <w:t>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16" w:name="xdx_989_ecustom--ShareBasedCompensationA"/>
            <w:bookmarkEnd w:id="816"/>
          </w:p>
        </w:tc>
        <w:tc>
          <w:tcPr>
            <w:tcW w:w="1715" w:type="dxa"/>
            <w:tcBorders>
              <w:bottom w:val="single" w:sz="8" w:space="0" w:color="000000"/>
            </w:tcBorders>
            <w:shd w:fill="FFFFFF" w:val="clear"/>
            <w:tcMar>
              <w:bottom w:w="28" w:type="dxa"/>
            </w:tcMar>
            <w:vAlign w:val="center"/>
          </w:tcPr>
          <w:p>
            <w:pPr>
              <w:pStyle w:val="TableContents"/>
              <w:bidi w:val="0"/>
              <w:spacing w:before="0" w:after="283"/>
              <w:jc w:val="right"/>
              <w:rPr/>
            </w:pPr>
            <w:r>
              <w:rPr/>
              <w:t>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17" w:name="xdx_989_eus-gaap--SharebasedCompensation"/>
            <w:bookmarkEnd w:id="817"/>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pPr>
            <w:r>
              <w:rPr/>
              <w:t>78,341</w:t>
            </w:r>
          </w:p>
        </w:tc>
        <w:tc>
          <w:tcPr>
            <w:tcW w:w="81" w:type="dxa"/>
            <w:tcBorders/>
            <w:shd w:fill="FFFFFF" w:val="clear"/>
            <w:vAlign w:val="center"/>
          </w:tcPr>
          <w:p>
            <w:pPr>
              <w:pStyle w:val="TableContents"/>
              <w:bidi w:val="0"/>
              <w:spacing w:before="0" w:after="283"/>
              <w:jc w:val="left"/>
              <w:rPr/>
            </w:pPr>
            <w:r>
              <w:rPr/>
              <w:t> </w:t>
            </w:r>
          </w:p>
        </w:tc>
      </w:tr>
      <w:tr>
        <w:trPr/>
        <w:tc>
          <w:tcPr>
            <w:tcW w:w="22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7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pPr>
            <w:r>
              <w:rPr/>
              <w:t>OUTSTANDING, DECEMBER 31, 2024</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bookmarkStart w:id="818" w:name="xdx_982_eus-gaap--ShareBasedCompensation"/>
            <w:bookmarkEnd w:id="818"/>
          </w:p>
        </w:tc>
        <w:tc>
          <w:tcPr>
            <w:tcW w:w="1116" w:type="dxa"/>
            <w:tcBorders/>
            <w:shd w:fill="FFFFFF" w:val="clear"/>
            <w:vAlign w:val="center"/>
          </w:tcPr>
          <w:p>
            <w:pPr>
              <w:pStyle w:val="TableContents"/>
              <w:bidi w:val="0"/>
              <w:spacing w:before="0" w:after="283"/>
              <w:jc w:val="right"/>
              <w:rPr/>
            </w:pPr>
            <w:r>
              <w:rPr/>
              <w:t>227,549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w:t>
            </w:r>
            <w:bookmarkStart w:id="819" w:name="xdx_980_ecustom--ShareBasedCompensationA"/>
            <w:bookmarkEnd w:id="819"/>
          </w:p>
        </w:tc>
        <w:tc>
          <w:tcPr>
            <w:tcW w:w="1096" w:type="dxa"/>
            <w:tcBorders/>
            <w:shd w:fill="FFFFFF" w:val="clear"/>
            <w:vAlign w:val="center"/>
          </w:tcPr>
          <w:p>
            <w:pPr>
              <w:pStyle w:val="TableContents"/>
              <w:bidi w:val="0"/>
              <w:spacing w:before="0" w:after="283"/>
              <w:jc w:val="right"/>
              <w:rPr/>
            </w:pPr>
            <w:r>
              <w:rPr/>
              <w:t>10.08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w:t>
            </w:r>
            <w:bookmarkStart w:id="820" w:name="xdx_981_eus-gaap--ShareBasedCompensation"/>
            <w:bookmarkEnd w:id="820"/>
          </w:p>
        </w:tc>
        <w:tc>
          <w:tcPr>
            <w:tcW w:w="1142" w:type="dxa"/>
            <w:tcBorders/>
            <w:shd w:fill="FFFFFF" w:val="clear"/>
            <w:vAlign w:val="center"/>
          </w:tcPr>
          <w:p>
            <w:pPr>
              <w:pStyle w:val="TableContents"/>
              <w:bidi w:val="0"/>
              <w:spacing w:before="0" w:after="283"/>
              <w:jc w:val="right"/>
              <w:rPr/>
            </w:pPr>
            <w:r>
              <w:rPr/>
              <w:t>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bookmarkStart w:id="821" w:name="xdx_988_eus-gaap--ShareBasedCompensation"/>
            <w:bookmarkEnd w:id="821"/>
          </w:p>
        </w:tc>
        <w:tc>
          <w:tcPr>
            <w:tcW w:w="1715" w:type="dxa"/>
            <w:tcBorders/>
            <w:shd w:fill="FFFFFF" w:val="clear"/>
            <w:vAlign w:val="center"/>
          </w:tcPr>
          <w:p>
            <w:pPr>
              <w:pStyle w:val="TableContents"/>
              <w:bidi w:val="0"/>
              <w:spacing w:before="0" w:after="283"/>
              <w:jc w:val="right"/>
              <w:rPr/>
            </w:pPr>
            <w:r>
              <w:rPr/>
              <w:t>0.97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bookmarkStart w:id="822" w:name="xdx_98A_eus-gaap--SharebasedCompensation"/>
            <w:bookmarkEnd w:id="822"/>
          </w:p>
        </w:tc>
        <w:tc>
          <w:tcPr>
            <w:tcW w:w="1119" w:type="dxa"/>
            <w:tcBorders/>
            <w:shd w:fill="FFFFFF" w:val="clear"/>
            <w:vAlign w:val="center"/>
          </w:tcPr>
          <w:p>
            <w:pPr>
              <w:pStyle w:val="TableContents"/>
              <w:bidi w:val="0"/>
              <w:spacing w:before="0" w:after="283"/>
              <w:jc w:val="right"/>
              <w:rPr/>
            </w:pPr>
            <w:r>
              <w:rPr/>
              <w:t>598,996</w:t>
            </w:r>
          </w:p>
        </w:tc>
        <w:tc>
          <w:tcPr>
            <w:tcW w:w="81" w:type="dxa"/>
            <w:tcBorders/>
            <w:shd w:fill="FFFFFF" w:val="clear"/>
            <w:vAlign w:val="center"/>
          </w:tcPr>
          <w:p>
            <w:pPr>
              <w:pStyle w:val="TableContents"/>
              <w:bidi w:val="0"/>
              <w:spacing w:before="0" w:after="283"/>
              <w:jc w:val="left"/>
              <w:rPr/>
            </w:pPr>
            <w:r>
              <w:rPr/>
              <w:t> </w:t>
            </w:r>
          </w:p>
        </w:tc>
      </w:tr>
      <w:tr>
        <w:trPr/>
        <w:tc>
          <w:tcPr>
            <w:tcW w:w="2221" w:type="dxa"/>
            <w:tcBorders/>
            <w:shd w:fill="CCEEFF" w:val="clear"/>
            <w:vAlign w:val="center"/>
          </w:tcPr>
          <w:p>
            <w:pPr>
              <w:pStyle w:val="TableContents"/>
              <w:bidi w:val="0"/>
              <w:spacing w:before="0" w:after="283"/>
              <w:jc w:val="left"/>
              <w:rPr/>
            </w:pPr>
            <w:r>
              <w:rPr/>
              <w:t>Granted</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823" w:name="xdx_98E_eus-gaap--ShareBasedCompensation"/>
            <w:bookmarkEnd w:id="823"/>
          </w:p>
        </w:tc>
        <w:tc>
          <w:tcPr>
            <w:tcW w:w="1116" w:type="dxa"/>
            <w:tcBorders/>
            <w:shd w:fill="CCEEFF" w:val="clear"/>
            <w:vAlign w:val="center"/>
          </w:tcPr>
          <w:p>
            <w:pPr>
              <w:pStyle w:val="TableContents"/>
              <w:bidi w:val="0"/>
              <w:spacing w:before="0" w:after="283"/>
              <w:jc w:val="right"/>
              <w:rPr/>
            </w:pPr>
            <w:r>
              <w:rPr/>
              <w:t>7,692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bookmarkStart w:id="824" w:name="xdx_98B_ecustom--ShareBasedCompensationA"/>
            <w:bookmarkEnd w:id="824"/>
          </w:p>
        </w:tc>
        <w:tc>
          <w:tcPr>
            <w:tcW w:w="1096" w:type="dxa"/>
            <w:tcBorders/>
            <w:shd w:fill="CCEEFF" w:val="clear"/>
            <w:vAlign w:val="center"/>
          </w:tcPr>
          <w:p>
            <w:pPr>
              <w:pStyle w:val="TableContents"/>
              <w:bidi w:val="0"/>
              <w:spacing w:before="0" w:after="283"/>
              <w:jc w:val="right"/>
              <w:rPr/>
            </w:pPr>
            <w:r>
              <w:rPr/>
              <w:t>11.00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bookmarkStart w:id="825" w:name="xdx_988_eus-gaap--ShareBasedCompensation"/>
            <w:bookmarkEnd w:id="825"/>
          </w:p>
        </w:tc>
        <w:tc>
          <w:tcPr>
            <w:tcW w:w="1142" w:type="dxa"/>
            <w:tcBorders/>
            <w:shd w:fill="CCEEFF" w:val="clear"/>
            <w:vAlign w:val="center"/>
          </w:tcPr>
          <w:p>
            <w:pPr>
              <w:pStyle w:val="TableContents"/>
              <w:bidi w:val="0"/>
              <w:spacing w:before="0" w:after="283"/>
              <w:jc w:val="right"/>
              <w:rPr/>
            </w:pPr>
            <w:r>
              <w:rPr/>
              <w:t>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bookmarkStart w:id="826" w:name="xdx_986_ecustom--ShareBasedCompensationA"/>
            <w:bookmarkEnd w:id="826"/>
          </w:p>
        </w:tc>
        <w:tc>
          <w:tcPr>
            <w:tcW w:w="1715" w:type="dxa"/>
            <w:tcBorders/>
            <w:shd w:fill="CCEEFF" w:val="clear"/>
            <w:vAlign w:val="center"/>
          </w:tcPr>
          <w:p>
            <w:pPr>
              <w:pStyle w:val="TableContents"/>
              <w:bidi w:val="0"/>
              <w:spacing w:before="0" w:after="283"/>
              <w:jc w:val="right"/>
              <w:rPr/>
            </w:pPr>
            <w:r>
              <w:rPr/>
              <w:t>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bookmarkStart w:id="827" w:name="xdx_986_ecustom--ShareBasedCompensationA"/>
            <w:bookmarkEnd w:id="827"/>
          </w:p>
        </w:tc>
        <w:tc>
          <w:tcPr>
            <w:tcW w:w="1116" w:type="dxa"/>
            <w:tcBorders/>
            <w:shd w:fill="FFFFFF" w:val="clear"/>
            <w:vAlign w:val="center"/>
          </w:tcPr>
          <w:p>
            <w:pPr>
              <w:pStyle w:val="TableContents"/>
              <w:bidi w:val="0"/>
              <w:spacing w:before="0" w:after="283"/>
              <w:jc w:val="right"/>
              <w:rPr/>
            </w:pPr>
            <w:r>
              <w:rPr/>
              <w:t>(120,820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bookmarkStart w:id="828" w:name="xdx_985_ecustom--ShareBasedCompensationA"/>
            <w:bookmarkEnd w:id="828"/>
          </w:p>
        </w:tc>
        <w:tc>
          <w:tcPr>
            <w:tcW w:w="1096" w:type="dxa"/>
            <w:tcBorders/>
            <w:shd w:fill="FFFFFF" w:val="clear"/>
            <w:vAlign w:val="center"/>
          </w:tcPr>
          <w:p>
            <w:pPr>
              <w:pStyle w:val="TableContents"/>
              <w:bidi w:val="0"/>
              <w:spacing w:before="0" w:after="283"/>
              <w:jc w:val="right"/>
              <w:rPr/>
            </w:pPr>
            <w:r>
              <w:rPr/>
              <w:t>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bookmarkStart w:id="829" w:name="xdx_986_ecustom--ShareBasedCompensationA"/>
            <w:bookmarkEnd w:id="829"/>
          </w:p>
        </w:tc>
        <w:tc>
          <w:tcPr>
            <w:tcW w:w="1142" w:type="dxa"/>
            <w:tcBorders/>
            <w:shd w:fill="FFFFFF" w:val="clear"/>
            <w:vAlign w:val="center"/>
          </w:tcPr>
          <w:p>
            <w:pPr>
              <w:pStyle w:val="TableContents"/>
              <w:bidi w:val="0"/>
              <w:spacing w:before="0" w:after="283"/>
              <w:jc w:val="right"/>
              <w:rPr/>
            </w:pPr>
            <w:r>
              <w:rPr/>
              <w:t>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2221" w:type="dxa"/>
            <w:tcBorders/>
            <w:shd w:fill="CCEEFF" w:val="clear"/>
            <w:vAlign w:val="center"/>
          </w:tcPr>
          <w:p>
            <w:pPr>
              <w:pStyle w:val="TableContents"/>
              <w:bidi w:val="0"/>
              <w:spacing w:before="0" w:after="283"/>
              <w:jc w:val="left"/>
              <w:rPr/>
            </w:pPr>
            <w:r>
              <w:rPr/>
              <w:t>Cancelled/Expired</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30" w:name="xdx_98A_eus-gaap--ShareBasedCompensation"/>
            <w:bookmarkEnd w:id="830"/>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pPr>
            <w:r>
              <w:rPr/>
              <w:t>(6,680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31" w:name="xdx_982_ecustom--ShareBasedCompensationA"/>
            <w:bookmarkEnd w:id="831"/>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32" w:name="xdx_988_eus-gaap--ShareBasedCompensation"/>
            <w:bookmarkEnd w:id="832"/>
          </w:p>
        </w:tc>
        <w:tc>
          <w:tcPr>
            <w:tcW w:w="1142" w:type="dxa"/>
            <w:tcBorders>
              <w:bottom w:val="single" w:sz="8" w:space="0" w:color="000000"/>
            </w:tcBorders>
            <w:shd w:fill="CCEEFF" w:val="clear"/>
            <w:tcMar>
              <w:bottom w:w="28" w:type="dxa"/>
            </w:tcMar>
            <w:vAlign w:val="center"/>
          </w:tcPr>
          <w:p>
            <w:pPr>
              <w:pStyle w:val="TableContents"/>
              <w:bidi w:val="0"/>
              <w:spacing w:before="0" w:after="283"/>
              <w:jc w:val="right"/>
              <w:rPr/>
            </w:pPr>
            <w:r>
              <w:rPr/>
              <w:t>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1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pPr>
            <w:r>
              <w:rPr/>
              <w:t>OUTSTANDING, DECEMBER 31, 2025</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33" w:name="xdx_98F_eus-gaap--ShareBasedCompensation"/>
            <w:bookmarkEnd w:id="833"/>
          </w:p>
        </w:tc>
        <w:tc>
          <w:tcPr>
            <w:tcW w:w="1116" w:type="dxa"/>
            <w:tcBorders>
              <w:bottom w:val="double" w:sz="6" w:space="0" w:color="000000"/>
            </w:tcBorders>
            <w:shd w:fill="FFFFFF" w:val="clear"/>
            <w:tcMar>
              <w:bottom w:w="28" w:type="dxa"/>
            </w:tcMar>
            <w:vAlign w:val="center"/>
          </w:tcPr>
          <w:p>
            <w:pPr>
              <w:pStyle w:val="TableContents"/>
              <w:bidi w:val="0"/>
              <w:spacing w:before="0" w:after="283"/>
              <w:jc w:val="right"/>
              <w:rPr/>
            </w:pPr>
            <w:r>
              <w:rPr/>
              <w:t>107,741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834" w:name="xdx_988_ecustom--ShareBasedCompensationA"/>
            <w:bookmarkEnd w:id="834"/>
          </w:p>
        </w:tc>
        <w:tc>
          <w:tcPr>
            <w:tcW w:w="1096" w:type="dxa"/>
            <w:tcBorders>
              <w:bottom w:val="double" w:sz="6" w:space="0" w:color="000000"/>
            </w:tcBorders>
            <w:shd w:fill="FFFFFF" w:val="clear"/>
            <w:tcMar>
              <w:bottom w:w="28" w:type="dxa"/>
            </w:tcMar>
            <w:vAlign w:val="center"/>
          </w:tcPr>
          <w:p>
            <w:pPr>
              <w:pStyle w:val="TableContents"/>
              <w:bidi w:val="0"/>
              <w:spacing w:before="0" w:after="283"/>
              <w:jc w:val="right"/>
              <w:rPr/>
            </w:pPr>
            <w:r>
              <w:rPr/>
              <w:t>10.80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835" w:name="xdx_98A_eus-gaap--ShareBasedCompensation"/>
            <w:bookmarkEnd w:id="835"/>
          </w:p>
        </w:tc>
        <w:tc>
          <w:tcPr>
            <w:tcW w:w="1142" w:type="dxa"/>
            <w:tcBorders>
              <w:bottom w:val="double" w:sz="6" w:space="0" w:color="000000"/>
            </w:tcBorders>
            <w:shd w:fill="FFFFFF" w:val="clear"/>
            <w:tcMar>
              <w:bottom w:w="28" w:type="dxa"/>
            </w:tcMar>
            <w:vAlign w:val="center"/>
          </w:tcPr>
          <w:p>
            <w:pPr>
              <w:pStyle w:val="TableContents"/>
              <w:bidi w:val="0"/>
              <w:spacing w:before="0" w:after="283"/>
              <w:jc w:val="right"/>
              <w:rPr/>
            </w:pPr>
            <w:r>
              <w:rPr/>
              <w:t>6.09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36" w:name="xdx_982_eus-gaap--ShareBasedCompensation"/>
            <w:bookmarkEnd w:id="836"/>
          </w:p>
        </w:tc>
        <w:tc>
          <w:tcPr>
            <w:tcW w:w="1715" w:type="dxa"/>
            <w:tcBorders>
              <w:bottom w:val="double" w:sz="6" w:space="0" w:color="000000"/>
            </w:tcBorders>
            <w:shd w:fill="FFFFFF" w:val="clear"/>
            <w:tcMar>
              <w:bottom w:w="28" w:type="dxa"/>
            </w:tcMar>
            <w:vAlign w:val="center"/>
          </w:tcPr>
          <w:p>
            <w:pPr>
              <w:pStyle w:val="TableContents"/>
              <w:bidi w:val="0"/>
              <w:spacing w:before="0" w:after="283"/>
              <w:jc w:val="right"/>
              <w:rPr/>
            </w:pPr>
            <w:r>
              <w:rPr/>
              <w:t>1.02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837" w:name="xdx_985_eus-gaap--SharebasedCompensation"/>
            <w:bookmarkEnd w:id="837"/>
          </w:p>
        </w:tc>
        <w:tc>
          <w:tcPr>
            <w:tcW w:w="111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2221" w:type="dxa"/>
            <w:tcBorders/>
            <w:shd w:fill="CCEEFF" w:val="clear"/>
            <w:vAlign w:val="center"/>
          </w:tcPr>
          <w:p>
            <w:pPr>
              <w:pStyle w:val="TableContents"/>
              <w:bidi w:val="0"/>
              <w:spacing w:before="0" w:after="283"/>
              <w:jc w:val="left"/>
              <w:rPr/>
            </w:pPr>
            <w:r>
              <w:rPr/>
              <w:t>EXERCISABLE, DECEMBER 31, 2025</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bookmarkStart w:id="838" w:name="xdx_98C_ecustom--ShareBasedCompensationA"/>
            <w:bookmarkEnd w:id="838"/>
          </w:p>
        </w:tc>
        <w:tc>
          <w:tcPr>
            <w:tcW w:w="1116" w:type="dxa"/>
            <w:tcBorders>
              <w:bottom w:val="double" w:sz="6" w:space="0" w:color="000000"/>
            </w:tcBorders>
            <w:shd w:fill="CCEEFF" w:val="clear"/>
            <w:tcMar>
              <w:bottom w:w="28" w:type="dxa"/>
            </w:tcMar>
            <w:vAlign w:val="center"/>
          </w:tcPr>
          <w:p>
            <w:pPr>
              <w:pStyle w:val="TableContents"/>
              <w:bidi w:val="0"/>
              <w:spacing w:before="0" w:after="283"/>
              <w:jc w:val="right"/>
              <w:rPr/>
            </w:pPr>
            <w:r>
              <w:rPr/>
              <w:t>107,741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839" w:name="xdx_982_ecustom--ShareBasedCompensationA"/>
            <w:bookmarkEnd w:id="839"/>
          </w:p>
        </w:tc>
        <w:tc>
          <w:tcPr>
            <w:tcW w:w="1096" w:type="dxa"/>
            <w:tcBorders>
              <w:bottom w:val="double" w:sz="6" w:space="0" w:color="000000"/>
            </w:tcBorders>
            <w:shd w:fill="CCEEFF" w:val="clear"/>
            <w:tcMar>
              <w:bottom w:w="28" w:type="dxa"/>
            </w:tcMar>
            <w:vAlign w:val="center"/>
          </w:tcPr>
          <w:p>
            <w:pPr>
              <w:pStyle w:val="TableContents"/>
              <w:bidi w:val="0"/>
              <w:spacing w:before="0" w:after="283"/>
              <w:jc w:val="right"/>
              <w:rPr/>
            </w:pPr>
            <w:r>
              <w:rPr/>
              <w:t>10.80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840" w:name="xdx_980_ecustom--ShareBasedCompensationA"/>
            <w:bookmarkEnd w:id="840"/>
          </w:p>
        </w:tc>
        <w:tc>
          <w:tcPr>
            <w:tcW w:w="1142" w:type="dxa"/>
            <w:tcBorders>
              <w:bottom w:val="double" w:sz="6" w:space="0" w:color="000000"/>
            </w:tcBorders>
            <w:shd w:fill="CCEEFF" w:val="clear"/>
            <w:tcMar>
              <w:bottom w:w="28" w:type="dxa"/>
            </w:tcMar>
            <w:vAlign w:val="center"/>
          </w:tcPr>
          <w:p>
            <w:pPr>
              <w:pStyle w:val="TableContents"/>
              <w:bidi w:val="0"/>
              <w:spacing w:before="0" w:after="283"/>
              <w:jc w:val="right"/>
              <w:rPr/>
            </w:pPr>
            <w:r>
              <w:rPr/>
              <w:t>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bookmarkStart w:id="841" w:name="xdx_981_ecustom--ShareBasedCompensationA"/>
            <w:bookmarkEnd w:id="841"/>
          </w:p>
        </w:tc>
        <w:tc>
          <w:tcPr>
            <w:tcW w:w="1715" w:type="dxa"/>
            <w:tcBorders>
              <w:bottom w:val="double" w:sz="6" w:space="0" w:color="000000"/>
            </w:tcBorders>
            <w:shd w:fill="CCEEFF" w:val="clear"/>
            <w:tcMar>
              <w:bottom w:w="28" w:type="dxa"/>
            </w:tcMar>
            <w:vAlign w:val="center"/>
          </w:tcPr>
          <w:p>
            <w:pPr>
              <w:pStyle w:val="TableContents"/>
              <w:bidi w:val="0"/>
              <w:spacing w:before="0" w:after="283"/>
              <w:jc w:val="right"/>
              <w:rPr/>
            </w:pPr>
            <w:r>
              <w:rPr/>
              <w:t>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842" w:name="xdx_98B_ecustom--SharebasedCompensationA"/>
            <w:bookmarkEnd w:id="842"/>
          </w:p>
        </w:tc>
        <w:tc>
          <w:tcPr>
            <w:tcW w:w="111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43" w:name="xdx_8A5_zOuQTlSQYt8c"/>
      <w:bookmarkEnd w:id="84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is calculated as the difference between the exercise price of the underlying warrants and the closing stock price of $</w:t>
      </w:r>
      <w:bookmarkStart w:id="844" w:name="xdx_90C_eus-gaap--SharesIssuedPricePerSh"/>
      <w:bookmarkEnd w:id="844"/>
      <w:r>
        <w:rPr>
          <w:rFonts w:ascii="Times New Roman;Times;Serif" w:hAnsi="Times New Roman;Times;Serif"/>
          <w:b w:val="false"/>
          <w:i w:val="false"/>
          <w:caps w:val="false"/>
          <w:smallCaps w:val="false"/>
          <w:sz w:val="20"/>
        </w:rPr>
        <w:t>2.63 for the Company’s common shares at December 31, 2025 and the estimated share price of $</w:t>
      </w:r>
      <w:bookmarkStart w:id="845" w:name="xdx_905_eus-gaap--SharesIssuedPricePerSh"/>
      <w:bookmarkEnd w:id="845"/>
      <w:r>
        <w:rPr>
          <w:rFonts w:ascii="Times New Roman;Times;Serif" w:hAnsi="Times New Roman;Times;Serif"/>
          <w:b w:val="false"/>
          <w:i w:val="false"/>
          <w:caps w:val="false"/>
          <w:smallCaps w:val="false"/>
          <w:sz w:val="20"/>
        </w:rPr>
        <w:t>12.71 for the Company’s common shares at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46" w:name="xdx_892_eus-gaap--ScheduleOfShareBasedPa"/>
      <w:bookmarkEnd w:id="846"/>
      <w:r>
        <w:rPr>
          <w:rFonts w:ascii="Times New Roman;Times;Serif" w:hAnsi="Times New Roman;Times;Serif"/>
          <w:b w:val="false"/>
          <w:i w:val="false"/>
          <w:caps w:val="false"/>
          <w:smallCaps w:val="false"/>
          <w:sz w:val="20"/>
        </w:rPr>
        <w:t>The following table sets forth the assumptions used to estimate the fair value of the warrants for the year ended December 31:</w:t>
      </w:r>
    </w:p>
    <w:p>
      <w:pPr>
        <w:pStyle w:val="TextBody"/>
        <w:bidi w:val="0"/>
        <w:spacing w:before="0" w:after="0"/>
        <w:ind w:left="0" w:right="0" w:hanging="0"/>
        <w:jc w:val="left"/>
        <w:rPr>
          <w:caps w:val="false"/>
          <w:smallCaps w:val="false"/>
        </w:rPr>
      </w:pPr>
      <w:r>
        <w:rPr>
          <w:caps w:val="false"/>
          <w:smallCaps w:val="false"/>
        </w:rPr>
        <w:t> </w:t>
      </w:r>
      <w:bookmarkStart w:id="847" w:name="xdx_8B5_zKK9xgrq7IMd"/>
      <w:bookmarkEnd w:id="847"/>
      <w:r>
        <w:rPr>
          <w:rFonts w:ascii="Times New Roman;Times;Serif" w:hAnsi="Times New Roman;Times;Serif"/>
          <w:b w:val="false"/>
          <w:i w:val="false"/>
          <w:caps w:val="false"/>
          <w:smallCaps w:val="false"/>
          <w:sz w:val="20"/>
        </w:rPr>
        <w:t>SCHEDULE OF ASSUMPTIONS USED TO ESTIMATE THE FAIR VALUE OF THE WARRANTS</w:t>
      </w:r>
    </w:p>
    <w:tbl>
      <w:tblPr>
        <w:tblW w:w="5750" w:type="dxa"/>
        <w:jc w:val="left"/>
        <w:tblInd w:w="0" w:type="dxa"/>
        <w:tblLayout w:type="fixed"/>
        <w:tblCellMar>
          <w:top w:w="0" w:type="dxa"/>
          <w:left w:w="0" w:type="dxa"/>
          <w:bottom w:w="0" w:type="dxa"/>
          <w:right w:w="0" w:type="dxa"/>
        </w:tblCellMar>
      </w:tblPr>
      <w:tblGrid>
        <w:gridCol w:w="2870"/>
        <w:gridCol w:w="60"/>
        <w:gridCol w:w="140"/>
        <w:gridCol w:w="845"/>
        <w:gridCol w:w="215"/>
        <w:gridCol w:w="60"/>
        <w:gridCol w:w="140"/>
        <w:gridCol w:w="1190"/>
        <w:gridCol w:w="230"/>
      </w:tblGrid>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Expected term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bookmarkStart w:id="848" w:name="xdx_904_eus-gaap--WarrantsAndRightsOutst"/>
            <w:bookmarkEnd w:id="848"/>
            <w:r>
              <w:rPr>
                <w:rFonts w:ascii="Times New Roman;Times;Serif" w:hAnsi="Times New Roman;Times;Serif"/>
                <w:sz w:val="20"/>
              </w:rPr>
              <w:t>3.95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bookmarkStart w:id="849" w:name="xdx_905_eus-gaap--WarrantsAndRightsOutst"/>
            <w:bookmarkEnd w:id="849"/>
            <w:r>
              <w:rPr>
                <w:rFonts w:ascii="Times New Roman;Times;Serif" w:hAnsi="Times New Roman;Times;Serif"/>
                <w:sz w:val="20"/>
              </w:rPr>
              <w:t xml:space="preserve">1.5 – </w:t>
            </w:r>
            <w:bookmarkStart w:id="850" w:name="xdx_901_eus-gaap--WarrantsAndRightsOutst"/>
            <w:bookmarkEnd w:id="850"/>
            <w:r>
              <w:rPr>
                <w:rFonts w:ascii="Times New Roman;Times;Serif" w:hAnsi="Times New Roman;Times;Serif"/>
                <w:sz w:val="20"/>
              </w:rPr>
              <w:t>3.7 years</w:t>
            </w:r>
          </w:p>
        </w:tc>
        <w:tc>
          <w:tcPr>
            <w:tcW w:w="230"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bookmarkStart w:id="851" w:name="xdx_90F_eus-gaap--WarrantsAndRightsOutst"/>
            <w:bookmarkEnd w:id="851"/>
            <w:r>
              <w:rPr/>
              <w:t>95.00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bookmarkStart w:id="852" w:name="xdx_903_eus-gaap--WarrantsAndRightsOutst"/>
            <w:bookmarkEnd w:id="852"/>
            <w:r>
              <w:rPr/>
              <w:t>95.00</w:t>
            </w:r>
          </w:p>
        </w:tc>
        <w:tc>
          <w:tcPr>
            <w:tcW w:w="230" w:type="dxa"/>
            <w:tcBorders/>
            <w:shd w:fill="FFFFFF" w:val="clear"/>
            <w:vAlign w:val="center"/>
          </w:tcPr>
          <w:p>
            <w:pPr>
              <w:pStyle w:val="TableContents"/>
              <w:bidi w:val="0"/>
              <w:spacing w:before="0" w:after="283"/>
              <w:jc w:val="left"/>
              <w:rPr/>
            </w:pPr>
            <w:r>
              <w:rPr/>
              <w:t>%</w:t>
            </w:r>
          </w:p>
        </w:tc>
      </w:tr>
      <w:tr>
        <w:trPr/>
        <w:tc>
          <w:tcPr>
            <w:tcW w:w="287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bookmarkStart w:id="853" w:name="xdx_90C_eus-gaap--WarrantsAndRightsOutst"/>
            <w:bookmarkEnd w:id="853"/>
            <w:r>
              <w:rPr/>
              <w:t>3.90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bookmarkStart w:id="854" w:name="xdx_904_eus-gaap--WarrantsAndRightsOutst"/>
            <w:bookmarkEnd w:id="854"/>
            <w:r>
              <w:rPr>
                <w:rFonts w:ascii="Times New Roman;Times;Serif" w:hAnsi="Times New Roman;Times;Serif"/>
                <w:sz w:val="20"/>
              </w:rPr>
              <w:t xml:space="preserve">3.60% – </w:t>
            </w:r>
            <w:bookmarkStart w:id="855" w:name="xdx_909_eus-gaap--WarrantsAndRightsOutst"/>
            <w:bookmarkEnd w:id="855"/>
            <w:r>
              <w:rPr>
                <w:rFonts w:ascii="Times New Roman;Times;Serif" w:hAnsi="Times New Roman;Times;Serif"/>
                <w:sz w:val="20"/>
              </w:rPr>
              <w:t>4.50</w:t>
            </w:r>
          </w:p>
        </w:tc>
        <w:tc>
          <w:tcPr>
            <w:tcW w:w="230" w:type="dxa"/>
            <w:tcBorders/>
            <w:shd w:fill="CCEEFF" w:val="clear"/>
            <w:vAlign w:val="center"/>
          </w:tcPr>
          <w:p>
            <w:pPr>
              <w:pStyle w:val="TableContents"/>
              <w:bidi w:val="0"/>
              <w:spacing w:before="0" w:after="283"/>
              <w:jc w:val="left"/>
              <w:rPr/>
            </w:pPr>
            <w:r>
              <w:rPr/>
              <w:t>%</w:t>
            </w:r>
          </w:p>
        </w:tc>
      </w:tr>
      <w:tr>
        <w:trPr/>
        <w:tc>
          <w:tcPr>
            <w:tcW w:w="2870"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bookmarkStart w:id="856" w:name="xdx_900_eus-gaap--WarrantsAndRightsOutst"/>
            <w:bookmarkEnd w:id="856"/>
            <w:r>
              <w:rPr/>
              <w:t>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bookmarkStart w:id="857" w:name="xdx_909_eus-gaap--WarrantsAndRightsOutst"/>
            <w:bookmarkEnd w:id="857"/>
            <w:r>
              <w:rPr/>
              <w:t>0.0</w:t>
            </w:r>
          </w:p>
        </w:tc>
        <w:tc>
          <w:tcPr>
            <w:tcW w:w="230" w:type="dxa"/>
            <w:tcBorders/>
            <w:shd w:fill="FFFFFF" w:val="clear"/>
            <w:vAlign w:val="center"/>
          </w:tcPr>
          <w:p>
            <w:pPr>
              <w:pStyle w:val="TableContents"/>
              <w:bidi w:val="0"/>
              <w:spacing w:before="0" w:after="283"/>
              <w:jc w:val="left"/>
              <w:rPr/>
            </w:pPr>
            <w:r>
              <w:rPr/>
              <w:t>%</w:t>
            </w:r>
          </w:p>
        </w:tc>
      </w:tr>
      <w:tr>
        <w:trPr/>
        <w:tc>
          <w:tcPr>
            <w:tcW w:w="2870" w:type="dxa"/>
            <w:tcBorders/>
            <w:shd w:fill="CCEEFF" w:val="clear"/>
            <w:vAlign w:val="center"/>
          </w:tcPr>
          <w:p>
            <w:pPr>
              <w:pStyle w:val="TableContents"/>
              <w:bidi w:val="0"/>
              <w:spacing w:before="0" w:after="283"/>
              <w:jc w:val="left"/>
              <w:rPr/>
            </w:pPr>
            <w:r>
              <w:rPr/>
              <w:t>Fair value on the date of grant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bookmarkStart w:id="858" w:name="xdx_900_eus-gaap--WarrantsAndRightsOutst"/>
            <w:bookmarkEnd w:id="858"/>
            <w:r>
              <w:rPr/>
              <w:t>8.55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bookmarkStart w:id="859" w:name="xdx_907_eus-gaap--WarrantsAndRightsOutst"/>
            <w:bookmarkEnd w:id="859"/>
            <w:r>
              <w:rPr>
                <w:rFonts w:ascii="Times New Roman;Times;Serif" w:hAnsi="Times New Roman;Times;Serif"/>
                <w:sz w:val="20"/>
              </w:rPr>
              <w:t>1.44 – $</w:t>
            </w:r>
            <w:bookmarkStart w:id="860" w:name="xdx_906_eus-gaap--WarrantsAndRightsOutst"/>
            <w:bookmarkEnd w:id="860"/>
            <w:r>
              <w:rPr>
                <w:rFonts w:ascii="Times New Roman;Times;Serif" w:hAnsi="Times New Roman;Times;Serif"/>
                <w:sz w:val="20"/>
              </w:rPr>
              <w:t>1.87</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61" w:name="xdx_8AF_zv90cmQaLHY7"/>
      <w:bookmarkEnd w:id="86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62" w:name="xdx_806_eus-gaap--DisclosureOfCompensati"/>
      <w:bookmarkEnd w:id="862"/>
      <w:r>
        <w:rPr>
          <w:rFonts w:ascii="Times New Roman;Times;Serif" w:hAnsi="Times New Roman;Times;Serif"/>
          <w:b/>
          <w:i w:val="false"/>
          <w:caps w:val="false"/>
          <w:smallCaps w:val="false"/>
          <w:sz w:val="20"/>
        </w:rPr>
        <w:t xml:space="preserve">NOTE 17 - </w:t>
      </w:r>
      <w:bookmarkStart w:id="863" w:name="xdx_82E_zjVT77xDeMm8"/>
      <w:bookmarkEnd w:id="863"/>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created the 2023 Equity Incentive Plan (the “Plan”) on April 27, 2023, under which stock options, restricted stock awards (“RSAs”), restricted stock units (“RSUs”), and other stock-based awards became available for issuance not to exceed </w:t>
      </w:r>
      <w:bookmarkStart w:id="864" w:name="xdx_908_ecustom--CommonStockAvailbleForI"/>
      <w:bookmarkEnd w:id="864"/>
      <w:r>
        <w:rPr>
          <w:rFonts w:ascii="Times New Roman;Times;Serif" w:hAnsi="Times New Roman;Times;Serif"/>
          <w:b w:val="false"/>
          <w:i w:val="false"/>
          <w:caps w:val="false"/>
          <w:smallCaps w:val="false"/>
          <w:sz w:val="20"/>
        </w:rPr>
        <w:t xml:space="preserve">1,500,000. On November 6, 2025, the Board of Directors resolved to increase the share pool under the Plan to </w:t>
      </w:r>
      <w:bookmarkStart w:id="865" w:name="xdx_904_ecustom--CommonStockAvailbleForI"/>
      <w:bookmarkEnd w:id="865"/>
      <w:r>
        <w:rPr>
          <w:rFonts w:ascii="Times New Roman;Times;Serif" w:hAnsi="Times New Roman;Times;Serif"/>
          <w:b w:val="false"/>
          <w:i w:val="false"/>
          <w:caps w:val="false"/>
          <w:smallCaps w:val="false"/>
          <w:sz w:val="20"/>
        </w:rPr>
        <w:t xml:space="preserve">7,000,000 shares. The Plan is designed to attract, retain, and motivate key employees. Currently, the fair value is recognized as an expense over the vesting period of the award. Options are generally granted with an exercise price equal to the fair market value of the Company’s stock at the date of grant, vest over a four-year period, and expire after five or ten years. There are certain situations that may accelerate the vesting or termination of all outstanding options, such as a change in control. Vesting of RSUs awarded to employees may be time- or performance-based. As of December 31, 2025, </w:t>
      </w:r>
      <w:bookmarkStart w:id="866" w:name="xdx_901_eus-gaap--ShareBasedCompensation"/>
      <w:bookmarkEnd w:id="866"/>
      <w:r>
        <w:rPr>
          <w:rFonts w:ascii="Times New Roman;Times;Serif" w:hAnsi="Times New Roman;Times;Serif"/>
          <w:b w:val="false"/>
          <w:i w:val="false"/>
          <w:caps w:val="false"/>
          <w:smallCaps w:val="false"/>
          <w:sz w:val="20"/>
        </w:rPr>
        <w:t>4,660,840 shares were available for grant under the Plan. The compensation expense related to stock-based awards is included in general and administrative expenses with a corresponding increase to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67" w:name="xdx_891_eus-gaap--ScheduleOfShareBasedCo"/>
      <w:bookmarkEnd w:id="867"/>
      <w:r>
        <w:rPr>
          <w:rFonts w:ascii="Times New Roman;Times;Serif" w:hAnsi="Times New Roman;Times;Serif"/>
          <w:b w:val="false"/>
          <w:i w:val="false"/>
          <w:caps w:val="false"/>
          <w:smallCaps w:val="false"/>
          <w:sz w:val="20"/>
        </w:rPr>
        <w:t>The following table summarizes the share options outstanding as of December 31, 2025 and 2024 and activity during the years ending on these dates:</w:t>
      </w:r>
    </w:p>
    <w:p>
      <w:pPr>
        <w:pStyle w:val="TextBody"/>
        <w:bidi w:val="0"/>
        <w:spacing w:before="0" w:after="0"/>
        <w:ind w:left="0" w:right="0" w:hanging="0"/>
        <w:jc w:val="both"/>
        <w:rPr>
          <w:caps w:val="false"/>
          <w:smallCaps w:val="false"/>
        </w:rPr>
      </w:pPr>
      <w:r>
        <w:rPr>
          <w:caps w:val="false"/>
          <w:smallCaps w:val="false"/>
        </w:rPr>
        <w:t> </w:t>
      </w:r>
      <w:bookmarkStart w:id="868" w:name="xdx_8BF_zUPSWoalg3j9"/>
      <w:bookmarkEnd w:id="868"/>
      <w:r>
        <w:rPr>
          <w:rFonts w:ascii="Times New Roman;Times;Serif" w:hAnsi="Times New Roman;Times;Serif"/>
          <w:b w:val="false"/>
          <w:i w:val="false"/>
          <w:caps w:val="false"/>
          <w:smallCaps w:val="false"/>
          <w:sz w:val="20"/>
        </w:rPr>
        <w:t>SCHEDULE OF SHARE OPTIONS OUTSTANDING</w:t>
      </w:r>
    </w:p>
    <w:tbl>
      <w:tblPr>
        <w:tblW w:w="10205" w:type="dxa"/>
        <w:jc w:val="left"/>
        <w:tblInd w:w="0" w:type="dxa"/>
        <w:tblLayout w:type="fixed"/>
        <w:tblCellMar>
          <w:top w:w="0" w:type="dxa"/>
          <w:left w:w="0" w:type="dxa"/>
          <w:bottom w:w="0" w:type="dxa"/>
          <w:right w:w="0" w:type="dxa"/>
        </w:tblCellMar>
      </w:tblPr>
      <w:tblGrid>
        <w:gridCol w:w="2237"/>
        <w:gridCol w:w="60"/>
        <w:gridCol w:w="73"/>
        <w:gridCol w:w="981"/>
        <w:gridCol w:w="95"/>
        <w:gridCol w:w="60"/>
        <w:gridCol w:w="334"/>
        <w:gridCol w:w="1052"/>
        <w:gridCol w:w="60"/>
        <w:gridCol w:w="60"/>
        <w:gridCol w:w="305"/>
        <w:gridCol w:w="1222"/>
        <w:gridCol w:w="60"/>
        <w:gridCol w:w="60"/>
        <w:gridCol w:w="237"/>
        <w:gridCol w:w="1742"/>
        <w:gridCol w:w="60"/>
        <w:gridCol w:w="60"/>
        <w:gridCol w:w="170"/>
        <w:gridCol w:w="1196"/>
        <w:gridCol w:w="81"/>
      </w:tblGrid>
      <w:tr>
        <w:trPr/>
        <w:tc>
          <w:tcPr>
            <w:tcW w:w="223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Remaining Contractual 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 Intrinsic Value</w:t>
            </w:r>
          </w:p>
        </w:tc>
        <w:tc>
          <w:tcPr>
            <w:tcW w:w="81" w:type="dxa"/>
            <w:tcBorders/>
            <w:vAlign w:val="center"/>
          </w:tcPr>
          <w:p>
            <w:pPr>
              <w:pStyle w:val="TableContents"/>
              <w:bidi w:val="0"/>
              <w:spacing w:before="0" w:after="283"/>
              <w:jc w:val="left"/>
              <w:rPr/>
            </w:pPr>
            <w:r>
              <w:rPr/>
              <w:t> </w:t>
            </w:r>
          </w:p>
        </w:tc>
      </w:tr>
      <w:tr>
        <w:trPr/>
        <w:tc>
          <w:tcPr>
            <w:tcW w:w="2237" w:type="dxa"/>
            <w:tcBorders/>
            <w:shd w:fill="CCEEFF" w:val="clear"/>
            <w:vAlign w:val="center"/>
          </w:tcPr>
          <w:p>
            <w:pPr>
              <w:pStyle w:val="TableContents"/>
              <w:bidi w:val="0"/>
              <w:spacing w:before="0" w:after="283"/>
              <w:jc w:val="left"/>
              <w:rPr/>
            </w:pPr>
            <w:r>
              <w:rPr/>
              <w:t>OUTSTANDING, DECEMBER 31, 2023</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869" w:name="xdx_988_eus-gaap--ShareBasedCompensation"/>
            <w:bookmarkEnd w:id="869"/>
          </w:p>
        </w:tc>
        <w:tc>
          <w:tcPr>
            <w:tcW w:w="981" w:type="dxa"/>
            <w:tcBorders/>
            <w:shd w:fill="CCEEFF" w:val="clear"/>
            <w:vAlign w:val="center"/>
          </w:tcPr>
          <w:p>
            <w:pPr>
              <w:pStyle w:val="TableContents"/>
              <w:bidi w:val="0"/>
              <w:spacing w:before="0" w:after="283"/>
              <w:jc w:val="right"/>
              <w:rPr/>
            </w:pPr>
            <w:r>
              <w:rPr/>
              <w:t>569,331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bookmarkStart w:id="870" w:name="xdx_98D_eus-gaap--ShareBasedCompensation"/>
            <w:bookmarkEnd w:id="870"/>
          </w:p>
        </w:tc>
        <w:tc>
          <w:tcPr>
            <w:tcW w:w="1052" w:type="dxa"/>
            <w:tcBorders/>
            <w:shd w:fill="CCEEFF" w:val="clear"/>
            <w:vAlign w:val="center"/>
          </w:tcPr>
          <w:p>
            <w:pPr>
              <w:pStyle w:val="TableContents"/>
              <w:bidi w:val="0"/>
              <w:spacing w:before="0" w:after="283"/>
              <w:jc w:val="right"/>
              <w:rPr/>
            </w:pPr>
            <w:r>
              <w:rPr/>
              <w:t>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bookmarkStart w:id="871" w:name="xdx_985_ecustom--ShareBasedCompensationA"/>
            <w:bookmarkEnd w:id="871"/>
          </w:p>
        </w:tc>
        <w:tc>
          <w:tcPr>
            <w:tcW w:w="1222" w:type="dxa"/>
            <w:tcBorders/>
            <w:shd w:fill="CCEEFF" w:val="clear"/>
            <w:vAlign w:val="center"/>
          </w:tcPr>
          <w:p>
            <w:pPr>
              <w:pStyle w:val="TableContents"/>
              <w:bidi w:val="0"/>
              <w:spacing w:before="0" w:after="283"/>
              <w:jc w:val="right"/>
              <w:rPr/>
            </w:pPr>
            <w:r>
              <w:rPr/>
              <w:t>10.80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bookmarkStart w:id="872" w:name="xdx_98B_eus-gaap--SharebasedCompensation"/>
            <w:bookmarkEnd w:id="872"/>
          </w:p>
        </w:tc>
        <w:tc>
          <w:tcPr>
            <w:tcW w:w="1742" w:type="dxa"/>
            <w:tcBorders/>
            <w:shd w:fill="CCEEFF" w:val="clear"/>
            <w:vAlign w:val="center"/>
          </w:tcPr>
          <w:p>
            <w:pPr>
              <w:pStyle w:val="TableContents"/>
              <w:bidi w:val="0"/>
              <w:spacing w:before="0" w:after="283"/>
              <w:jc w:val="right"/>
              <w:rPr/>
            </w:pPr>
            <w:r>
              <w:rPr/>
              <w:t>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bookmarkStart w:id="873" w:name="xdx_980_eus-gaap--ShareBasedCompensation"/>
            <w:bookmarkEnd w:id="873"/>
          </w:p>
        </w:tc>
        <w:tc>
          <w:tcPr>
            <w:tcW w:w="1196" w:type="dxa"/>
            <w:tcBorders/>
            <w:shd w:fill="CCEEFF" w:val="clear"/>
            <w:vAlign w:val="center"/>
          </w:tcPr>
          <w:p>
            <w:pPr>
              <w:pStyle w:val="TableContents"/>
              <w:bidi w:val="0"/>
              <w:spacing w:before="0" w:after="283"/>
              <w:jc w:val="right"/>
              <w:rPr/>
            </w:pPr>
            <w:r>
              <w:rPr/>
              <w:t>5,852,440</w:t>
            </w:r>
          </w:p>
        </w:tc>
        <w:tc>
          <w:tcPr>
            <w:tcW w:w="81" w:type="dxa"/>
            <w:tcBorders/>
            <w:shd w:fill="CCEEFF" w:val="cle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bookmarkStart w:id="874" w:name="xdx_985_ecustom--ShareBasedCompensationA"/>
            <w:bookmarkEnd w:id="874"/>
          </w:p>
        </w:tc>
        <w:tc>
          <w:tcPr>
            <w:tcW w:w="981" w:type="dxa"/>
            <w:tcBorders/>
            <w:shd w:fill="FFFFFF" w:val="clear"/>
            <w:vAlign w:val="center"/>
          </w:tcPr>
          <w:p>
            <w:pPr>
              <w:pStyle w:val="TableContents"/>
              <w:bidi w:val="0"/>
              <w:spacing w:before="0" w:after="283"/>
              <w:jc w:val="right"/>
              <w:rPr/>
            </w:pPr>
            <w:r>
              <w:rPr/>
              <w:t>45,565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bookmarkStart w:id="875" w:name="xdx_98F_ecustom--ShareBasedCompensationA"/>
            <w:bookmarkEnd w:id="875"/>
          </w:p>
        </w:tc>
        <w:tc>
          <w:tcPr>
            <w:tcW w:w="1052" w:type="dxa"/>
            <w:tcBorders/>
            <w:shd w:fill="FFFFFF" w:val="clear"/>
            <w:vAlign w:val="center"/>
          </w:tcPr>
          <w:p>
            <w:pPr>
              <w:pStyle w:val="TableContents"/>
              <w:bidi w:val="0"/>
              <w:spacing w:before="0" w:after="283"/>
              <w:jc w:val="right"/>
              <w:rPr/>
            </w:pPr>
            <w:r>
              <w:rPr/>
              <w:t>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bookmarkStart w:id="876" w:name="xdx_980_ecustom--ShareBasedCompensationA"/>
            <w:bookmarkEnd w:id="876"/>
          </w:p>
        </w:tc>
        <w:tc>
          <w:tcPr>
            <w:tcW w:w="1222" w:type="dxa"/>
            <w:tcBorders/>
            <w:shd w:fill="FFFFFF" w:val="clear"/>
            <w:vAlign w:val="center"/>
          </w:tcPr>
          <w:p>
            <w:pPr>
              <w:pStyle w:val="TableContents"/>
              <w:bidi w:val="0"/>
              <w:spacing w:before="0" w:after="283"/>
              <w:jc w:val="right"/>
              <w:rPr/>
            </w:pPr>
            <w:r>
              <w:rPr/>
              <w:t>11.80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bookmarkStart w:id="877" w:name="xdx_98C_eus-gaap--ShareBasedCompensation"/>
            <w:bookmarkEnd w:id="877"/>
          </w:p>
        </w:tc>
        <w:tc>
          <w:tcPr>
            <w:tcW w:w="1196"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2237"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878" w:name="xdx_987_ecustom--ShareBasedCompensationA"/>
            <w:bookmarkEnd w:id="878"/>
          </w:p>
        </w:tc>
        <w:tc>
          <w:tcPr>
            <w:tcW w:w="9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bookmarkStart w:id="879" w:name="xdx_98D_ecustom--ShareBasedCompensationA"/>
            <w:bookmarkEnd w:id="879"/>
          </w:p>
        </w:tc>
        <w:tc>
          <w:tcPr>
            <w:tcW w:w="105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bookmarkStart w:id="880" w:name="xdx_982_ecustom--ShareBasedCompensationA"/>
            <w:bookmarkEnd w:id="880"/>
          </w:p>
        </w:tc>
        <w:tc>
          <w:tcPr>
            <w:tcW w:w="122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pPr>
            <w:r>
              <w:rPr/>
              <w:t>Canceled/Expired</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81" w:name="xdx_980_eus-gaap--ShareBasedCompensation"/>
            <w:bookmarkEnd w:id="881"/>
          </w:p>
        </w:tc>
        <w:tc>
          <w:tcPr>
            <w:tcW w:w="981" w:type="dxa"/>
            <w:tcBorders>
              <w:bottom w:val="single" w:sz="8" w:space="0" w:color="000000"/>
            </w:tcBorders>
            <w:shd w:fill="FFFFFF" w:val="clear"/>
            <w:tcMar>
              <w:bottom w:w="28" w:type="dxa"/>
            </w:tcMar>
            <w:vAlign w:val="center"/>
          </w:tcPr>
          <w:p>
            <w:pPr>
              <w:pStyle w:val="TableContents"/>
              <w:bidi w:val="0"/>
              <w:spacing w:before="0" w:after="283"/>
              <w:jc w:val="right"/>
              <w:rPr/>
            </w:pPr>
            <w:r>
              <w:rPr/>
              <w:t>(192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82" w:name="xdx_984_eus-gaap--ShareBasedCompensation"/>
            <w:bookmarkEnd w:id="882"/>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pPr>
            <w:r>
              <w:rPr/>
              <w:t>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83" w:name="xdx_987_ecustom--ShareBasedCompensationA"/>
            <w:bookmarkEnd w:id="883"/>
          </w:p>
        </w:tc>
        <w:tc>
          <w:tcPr>
            <w:tcW w:w="1222" w:type="dxa"/>
            <w:tcBorders>
              <w:bottom w:val="single" w:sz="8" w:space="0" w:color="000000"/>
            </w:tcBorders>
            <w:shd w:fill="FFFFFF" w:val="clear"/>
            <w:tcMar>
              <w:bottom w:w="28" w:type="dxa"/>
            </w:tcMar>
            <w:vAlign w:val="center"/>
          </w:tcPr>
          <w:p>
            <w:pPr>
              <w:pStyle w:val="TableContents"/>
              <w:bidi w:val="0"/>
              <w:spacing w:before="0" w:after="283"/>
              <w:jc w:val="right"/>
              <w:rPr/>
            </w:pPr>
            <w:r>
              <w:rPr/>
              <w:t>10.30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84" w:name="xdx_984_eus-gaap--ShareBasedCompensation"/>
            <w:bookmarkEnd w:id="884"/>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2237" w:type="dxa"/>
            <w:tcBorders/>
            <w:shd w:fill="CCEEFF" w:val="clear"/>
            <w:vAlign w:val="center"/>
          </w:tcPr>
          <w:p>
            <w:pPr>
              <w:pStyle w:val="TableContents"/>
              <w:bidi w:val="0"/>
              <w:spacing w:before="0" w:after="283"/>
              <w:jc w:val="left"/>
              <w:rPr/>
            </w:pPr>
            <w:r>
              <w:rPr/>
              <w:t>OUTSTANDING, DECEMBER 31, 2024</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885" w:name="xdx_986_eus-gaap--ShareBasedCompensation"/>
            <w:bookmarkEnd w:id="885"/>
          </w:p>
        </w:tc>
        <w:tc>
          <w:tcPr>
            <w:tcW w:w="981" w:type="dxa"/>
            <w:tcBorders/>
            <w:shd w:fill="CCEEFF" w:val="clear"/>
            <w:vAlign w:val="center"/>
          </w:tcPr>
          <w:p>
            <w:pPr>
              <w:pStyle w:val="TableContents"/>
              <w:bidi w:val="0"/>
              <w:spacing w:before="0" w:after="283"/>
              <w:jc w:val="right"/>
              <w:rPr/>
            </w:pPr>
            <w:r>
              <w:rPr/>
              <w:t>614,704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bookmarkStart w:id="886" w:name="xdx_986_eus-gaap--ShareBasedCompensation"/>
            <w:bookmarkEnd w:id="886"/>
          </w:p>
        </w:tc>
        <w:tc>
          <w:tcPr>
            <w:tcW w:w="1052" w:type="dxa"/>
            <w:tcBorders/>
            <w:shd w:fill="CCEEFF" w:val="clear"/>
            <w:vAlign w:val="center"/>
          </w:tcPr>
          <w:p>
            <w:pPr>
              <w:pStyle w:val="TableContents"/>
              <w:bidi w:val="0"/>
              <w:spacing w:before="0" w:after="283"/>
              <w:jc w:val="right"/>
              <w:rPr/>
            </w:pPr>
            <w:r>
              <w:rPr/>
              <w:t>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bookmarkStart w:id="887" w:name="xdx_989_ecustom--ShareBasedCompensationA"/>
            <w:bookmarkEnd w:id="887"/>
          </w:p>
        </w:tc>
        <w:tc>
          <w:tcPr>
            <w:tcW w:w="1222" w:type="dxa"/>
            <w:tcBorders/>
            <w:shd w:fill="CCEEFF" w:val="clear"/>
            <w:vAlign w:val="center"/>
          </w:tcPr>
          <w:p>
            <w:pPr>
              <w:pStyle w:val="TableContents"/>
              <w:bidi w:val="0"/>
              <w:spacing w:before="0" w:after="283"/>
              <w:jc w:val="right"/>
              <w:rPr/>
            </w:pPr>
            <w:r>
              <w:rPr/>
              <w:t>10.88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bookmarkStart w:id="888" w:name="xdx_985_eus-gaap--SharebasedCompensation"/>
            <w:bookmarkEnd w:id="888"/>
          </w:p>
        </w:tc>
        <w:tc>
          <w:tcPr>
            <w:tcW w:w="1742" w:type="dxa"/>
            <w:tcBorders/>
            <w:shd w:fill="CCEEFF" w:val="clear"/>
            <w:vAlign w:val="center"/>
          </w:tcPr>
          <w:p>
            <w:pPr>
              <w:pStyle w:val="TableContents"/>
              <w:bidi w:val="0"/>
              <w:spacing w:before="0" w:after="283"/>
              <w:jc w:val="right"/>
              <w:rPr/>
            </w:pPr>
            <w:r>
              <w:rPr/>
              <w:t>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bookmarkStart w:id="889" w:name="xdx_987_eus-gaap--ShareBasedCompensation"/>
            <w:bookmarkEnd w:id="889"/>
          </w:p>
        </w:tc>
        <w:tc>
          <w:tcPr>
            <w:tcW w:w="1196" w:type="dxa"/>
            <w:tcBorders/>
            <w:shd w:fill="CCEEFF" w:val="clear"/>
            <w:vAlign w:val="center"/>
          </w:tcPr>
          <w:p>
            <w:pPr>
              <w:pStyle w:val="TableContents"/>
              <w:bidi w:val="0"/>
              <w:spacing w:before="0" w:after="283"/>
              <w:jc w:val="right"/>
              <w:rPr/>
            </w:pPr>
            <w:r>
              <w:rPr/>
              <w:t>7,322,656</w:t>
            </w:r>
          </w:p>
        </w:tc>
        <w:tc>
          <w:tcPr>
            <w:tcW w:w="81" w:type="dxa"/>
            <w:tcBorders/>
            <w:shd w:fill="CCEEFF" w:val="cle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bookmarkStart w:id="890" w:name="xdx_986_ecustom--ShareBasedCompensationA"/>
            <w:bookmarkEnd w:id="890"/>
          </w:p>
        </w:tc>
        <w:tc>
          <w:tcPr>
            <w:tcW w:w="98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bookmarkStart w:id="891" w:name="xdx_981_ecustom--ShareBasedCompensationA"/>
            <w:bookmarkEnd w:id="891"/>
          </w:p>
        </w:tc>
        <w:tc>
          <w:tcPr>
            <w:tcW w:w="105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bookmarkStart w:id="892" w:name="xdx_983_ecustom--ShareBasedCompensationA"/>
            <w:bookmarkEnd w:id="892"/>
          </w:p>
        </w:tc>
        <w:tc>
          <w:tcPr>
            <w:tcW w:w="122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7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bookmarkStart w:id="893" w:name="xdx_98E_eus-gaap--ShareBasedCompensation"/>
            <w:bookmarkEnd w:id="893"/>
          </w:p>
        </w:tc>
        <w:tc>
          <w:tcPr>
            <w:tcW w:w="1196"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2237"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bookmarkStart w:id="894" w:name="xdx_980_ecustom--ShareBasedCompensationA"/>
            <w:bookmarkEnd w:id="894"/>
          </w:p>
        </w:tc>
        <w:tc>
          <w:tcPr>
            <w:tcW w:w="981" w:type="dxa"/>
            <w:tcBorders/>
            <w:shd w:fill="CCEEFF" w:val="clear"/>
            <w:vAlign w:val="center"/>
          </w:tcPr>
          <w:p>
            <w:pPr>
              <w:pStyle w:val="TableContents"/>
              <w:bidi w:val="0"/>
              <w:spacing w:before="0" w:after="283"/>
              <w:jc w:val="right"/>
              <w:rPr/>
            </w:pPr>
            <w:r>
              <w:rPr/>
              <w:t>(1,251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bookmarkStart w:id="895" w:name="xdx_984_ecustom--ShareBasedCompensationA"/>
            <w:bookmarkEnd w:id="895"/>
          </w:p>
        </w:tc>
        <w:tc>
          <w:tcPr>
            <w:tcW w:w="1052" w:type="dxa"/>
            <w:tcBorders/>
            <w:shd w:fill="CCEEFF" w:val="clear"/>
            <w:vAlign w:val="center"/>
          </w:tcPr>
          <w:p>
            <w:pPr>
              <w:pStyle w:val="TableContents"/>
              <w:bidi w:val="0"/>
              <w:spacing w:before="0" w:after="283"/>
              <w:jc w:val="right"/>
              <w:rPr/>
            </w:pPr>
            <w:r>
              <w:rPr/>
              <w:t>0.76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bookmarkStart w:id="896" w:name="xdx_982_ecustom--ShareBasedCompensationA"/>
            <w:bookmarkEnd w:id="896"/>
          </w:p>
        </w:tc>
        <w:tc>
          <w:tcPr>
            <w:tcW w:w="1222" w:type="dxa"/>
            <w:tcBorders/>
            <w:shd w:fill="CCEEFF" w:val="clear"/>
            <w:vAlign w:val="center"/>
          </w:tcPr>
          <w:p>
            <w:pPr>
              <w:pStyle w:val="TableContents"/>
              <w:bidi w:val="0"/>
              <w:spacing w:before="0" w:after="283"/>
              <w:jc w:val="right"/>
              <w:rPr/>
            </w:pPr>
            <w:r>
              <w:rPr/>
              <w:t>10.30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pPr>
            <w:r>
              <w:rPr/>
              <w:t>Canceled/Expired</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7" w:name="xdx_981_eus-gaap--ShareBasedCompensation"/>
            <w:bookmarkEnd w:id="897"/>
          </w:p>
        </w:tc>
        <w:tc>
          <w:tcPr>
            <w:tcW w:w="981" w:type="dxa"/>
            <w:tcBorders>
              <w:bottom w:val="single" w:sz="8" w:space="0" w:color="000000"/>
            </w:tcBorders>
            <w:shd w:fill="FFFFFF" w:val="clear"/>
            <w:tcMar>
              <w:bottom w:w="28" w:type="dxa"/>
            </w:tcMar>
            <w:vAlign w:val="center"/>
          </w:tcPr>
          <w:p>
            <w:pPr>
              <w:pStyle w:val="TableContents"/>
              <w:bidi w:val="0"/>
              <w:spacing w:before="0" w:after="283"/>
              <w:jc w:val="right"/>
              <w:rPr/>
            </w:pPr>
            <w:r>
              <w:rPr/>
              <w:t>(4,135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8" w:name="xdx_98F_eus-gaap--ShareBasedCompensation"/>
            <w:bookmarkEnd w:id="898"/>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pPr>
            <w:r>
              <w:rPr/>
              <w:t>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99" w:name="xdx_98A_ecustom--ShareBasedCompensationA"/>
            <w:bookmarkEnd w:id="899"/>
          </w:p>
        </w:tc>
        <w:tc>
          <w:tcPr>
            <w:tcW w:w="1222" w:type="dxa"/>
            <w:tcBorders>
              <w:bottom w:val="single" w:sz="8" w:space="0" w:color="000000"/>
            </w:tcBorders>
            <w:shd w:fill="FFFFFF" w:val="clear"/>
            <w:tcMar>
              <w:bottom w:w="28" w:type="dxa"/>
            </w:tcMar>
            <w:vAlign w:val="center"/>
          </w:tcPr>
          <w:p>
            <w:pPr>
              <w:pStyle w:val="TableContents"/>
              <w:bidi w:val="0"/>
              <w:spacing w:before="0" w:after="283"/>
              <w:jc w:val="right"/>
              <w:rPr/>
            </w:pPr>
            <w:r>
              <w:rPr/>
              <w:t>11.69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00" w:name="xdx_983_eus-gaap--ShareBasedCompensation"/>
            <w:bookmarkEnd w:id="900"/>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2237" w:type="dxa"/>
            <w:tcBorders/>
            <w:shd w:fill="CCEEFF" w:val="clear"/>
            <w:vAlign w:val="center"/>
          </w:tcPr>
          <w:p>
            <w:pPr>
              <w:pStyle w:val="TableContents"/>
              <w:bidi w:val="0"/>
              <w:spacing w:before="0" w:after="283"/>
              <w:jc w:val="left"/>
              <w:rPr/>
            </w:pPr>
            <w:r>
              <w:rPr/>
              <w:t>OUTSTANDING, DECEMBER 31, 2025</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01" w:name="xdx_985_eus-gaap--ShareBasedCompensation"/>
            <w:bookmarkEnd w:id="901"/>
          </w:p>
        </w:tc>
        <w:tc>
          <w:tcPr>
            <w:tcW w:w="981" w:type="dxa"/>
            <w:tcBorders>
              <w:bottom w:val="double" w:sz="6" w:space="0" w:color="000000"/>
            </w:tcBorders>
            <w:shd w:fill="CCEEFF" w:val="clear"/>
            <w:tcMar>
              <w:bottom w:w="28" w:type="dxa"/>
            </w:tcMar>
            <w:vAlign w:val="center"/>
          </w:tcPr>
          <w:p>
            <w:pPr>
              <w:pStyle w:val="TableContents"/>
              <w:bidi w:val="0"/>
              <w:spacing w:before="0" w:after="283"/>
              <w:jc w:val="right"/>
              <w:rPr/>
            </w:pPr>
            <w:r>
              <w:rPr/>
              <w:t>609,318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02" w:name="xdx_98E_eus-gaap--ShareBasedCompensation"/>
            <w:bookmarkEnd w:id="902"/>
          </w:p>
        </w:tc>
        <w:tc>
          <w:tcPr>
            <w:tcW w:w="1052" w:type="dxa"/>
            <w:tcBorders>
              <w:bottom w:val="double" w:sz="6" w:space="0" w:color="000000"/>
            </w:tcBorders>
            <w:shd w:fill="CCEEFF" w:val="clear"/>
            <w:tcMar>
              <w:bottom w:w="28" w:type="dxa"/>
            </w:tcMar>
            <w:vAlign w:val="center"/>
          </w:tcPr>
          <w:p>
            <w:pPr>
              <w:pStyle w:val="TableContents"/>
              <w:bidi w:val="0"/>
              <w:spacing w:before="0" w:after="283"/>
              <w:jc w:val="right"/>
              <w:rPr/>
            </w:pPr>
            <w:r>
              <w:rPr/>
              <w:t>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03" w:name="xdx_98E_ecustom--ShareBasedCompensationA"/>
            <w:bookmarkEnd w:id="903"/>
          </w:p>
        </w:tc>
        <w:tc>
          <w:tcPr>
            <w:tcW w:w="1222" w:type="dxa"/>
            <w:tcBorders>
              <w:bottom w:val="double" w:sz="6" w:space="0" w:color="000000"/>
            </w:tcBorders>
            <w:shd w:fill="CCEEFF" w:val="clear"/>
            <w:tcMar>
              <w:bottom w:w="28" w:type="dxa"/>
            </w:tcMar>
            <w:vAlign w:val="center"/>
          </w:tcPr>
          <w:p>
            <w:pPr>
              <w:pStyle w:val="TableContents"/>
              <w:bidi w:val="0"/>
              <w:spacing w:before="0" w:after="283"/>
              <w:jc w:val="right"/>
              <w:rPr/>
            </w:pPr>
            <w:r>
              <w:rPr/>
              <w:t>10.87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04" w:name="xdx_985_eus-gaap--SharebasedCompensation"/>
            <w:bookmarkEnd w:id="904"/>
          </w:p>
        </w:tc>
        <w:tc>
          <w:tcPr>
            <w:tcW w:w="1742" w:type="dxa"/>
            <w:tcBorders>
              <w:bottom w:val="double" w:sz="6" w:space="0" w:color="000000"/>
            </w:tcBorders>
            <w:shd w:fill="CCEEFF" w:val="clear"/>
            <w:tcMar>
              <w:bottom w:w="28" w:type="dxa"/>
            </w:tcMar>
            <w:vAlign w:val="center"/>
          </w:tcPr>
          <w:p>
            <w:pPr>
              <w:pStyle w:val="TableContents"/>
              <w:bidi w:val="0"/>
              <w:spacing w:before="0" w:after="283"/>
              <w:jc w:val="right"/>
              <w:rPr/>
            </w:pPr>
            <w:r>
              <w:rPr/>
              <w:t>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05" w:name="xdx_98D_eus-gaap--ShareBasedCompensation"/>
            <w:bookmarkEnd w:id="905"/>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1,116,368</w:t>
            </w:r>
          </w:p>
        </w:tc>
        <w:tc>
          <w:tcPr>
            <w:tcW w:w="81" w:type="dxa"/>
            <w:tcBorders/>
            <w:shd w:fill="CCEEFF" w:val="clear"/>
            <w:vAlign w:val="center"/>
          </w:tcPr>
          <w:p>
            <w:pPr>
              <w:pStyle w:val="TableContents"/>
              <w:bidi w:val="0"/>
              <w:spacing w:before="0" w:after="283"/>
              <w:jc w:val="left"/>
              <w:rPr/>
            </w:pPr>
            <w:r>
              <w:rPr/>
              <w:t> </w:t>
            </w:r>
          </w:p>
        </w:tc>
      </w:tr>
      <w:tr>
        <w:trPr/>
        <w:tc>
          <w:tcPr>
            <w:tcW w:w="2237" w:type="dxa"/>
            <w:tcBorders/>
            <w:shd w:fill="FFFFFF" w:val="clear"/>
            <w:vAlign w:val="center"/>
          </w:tcPr>
          <w:p>
            <w:pPr>
              <w:pStyle w:val="TableContents"/>
              <w:bidi w:val="0"/>
              <w:spacing w:before="0" w:after="283"/>
              <w:jc w:val="left"/>
              <w:rPr/>
            </w:pPr>
            <w:r>
              <w:rPr/>
              <w:t>EXERCISABLE, DECEMBER 31, 2025</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06" w:name="xdx_989_eus-gaap--ShareBasedCompensation"/>
            <w:bookmarkEnd w:id="906"/>
          </w:p>
        </w:tc>
        <w:tc>
          <w:tcPr>
            <w:tcW w:w="981" w:type="dxa"/>
            <w:tcBorders>
              <w:bottom w:val="double" w:sz="6" w:space="0" w:color="000000"/>
            </w:tcBorders>
            <w:shd w:fill="FFFFFF" w:val="clear"/>
            <w:tcMar>
              <w:bottom w:w="28" w:type="dxa"/>
            </w:tcMar>
            <w:vAlign w:val="center"/>
          </w:tcPr>
          <w:p>
            <w:pPr>
              <w:pStyle w:val="TableContents"/>
              <w:bidi w:val="0"/>
              <w:spacing w:before="0" w:after="283"/>
              <w:jc w:val="right"/>
              <w:rPr/>
            </w:pPr>
            <w:r>
              <w:rPr/>
              <w:t>247,991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907" w:name="xdx_98B_eus-gaap--ShareBasedCompensation"/>
            <w:bookmarkEnd w:id="907"/>
          </w:p>
        </w:tc>
        <w:tc>
          <w:tcPr>
            <w:tcW w:w="1052" w:type="dxa"/>
            <w:tcBorders>
              <w:bottom w:val="double" w:sz="6" w:space="0" w:color="000000"/>
            </w:tcBorders>
            <w:shd w:fill="FFFFFF" w:val="clear"/>
            <w:tcMar>
              <w:bottom w:w="28" w:type="dxa"/>
            </w:tcMar>
            <w:vAlign w:val="center"/>
          </w:tcPr>
          <w:p>
            <w:pPr>
              <w:pStyle w:val="TableContents"/>
              <w:bidi w:val="0"/>
              <w:spacing w:before="0" w:after="283"/>
              <w:jc w:val="right"/>
              <w:rPr/>
            </w:pPr>
            <w:r>
              <w:rPr/>
              <w:t>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908" w:name="xdx_981_ecustom--ShareBasedCompensationA"/>
            <w:bookmarkEnd w:id="908"/>
          </w:p>
        </w:tc>
        <w:tc>
          <w:tcPr>
            <w:tcW w:w="1222" w:type="dxa"/>
            <w:tcBorders>
              <w:bottom w:val="double" w:sz="6" w:space="0" w:color="000000"/>
            </w:tcBorders>
            <w:shd w:fill="FFFFFF" w:val="clear"/>
            <w:tcMar>
              <w:bottom w:w="28" w:type="dxa"/>
            </w:tcMar>
            <w:vAlign w:val="center"/>
          </w:tcPr>
          <w:p>
            <w:pPr>
              <w:pStyle w:val="TableContents"/>
              <w:bidi w:val="0"/>
              <w:spacing w:before="0" w:after="283"/>
              <w:jc w:val="right"/>
              <w:rPr/>
            </w:pPr>
            <w:r>
              <w:rPr/>
              <w:t>10.86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09" w:name="xdx_98B_eus-gaap--SharebasedCompensation"/>
            <w:bookmarkEnd w:id="909"/>
          </w:p>
        </w:tc>
        <w:tc>
          <w:tcPr>
            <w:tcW w:w="1742" w:type="dxa"/>
            <w:tcBorders>
              <w:bottom w:val="double" w:sz="6" w:space="0" w:color="000000"/>
            </w:tcBorders>
            <w:shd w:fill="FFFFFF" w:val="clear"/>
            <w:tcMar>
              <w:bottom w:w="28" w:type="dxa"/>
            </w:tcMar>
            <w:vAlign w:val="center"/>
          </w:tcPr>
          <w:p>
            <w:pPr>
              <w:pStyle w:val="TableContents"/>
              <w:bidi w:val="0"/>
              <w:spacing w:before="0" w:after="283"/>
              <w:jc w:val="right"/>
              <w:rPr/>
            </w:pPr>
            <w:r>
              <w:rPr/>
              <w:t>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910" w:name="xdx_982_eus-gaap--SharebasedCompensation"/>
            <w:bookmarkEnd w:id="910"/>
          </w:p>
        </w:tc>
        <w:tc>
          <w:tcPr>
            <w:tcW w:w="1196" w:type="dxa"/>
            <w:tcBorders>
              <w:bottom w:val="double" w:sz="6" w:space="0" w:color="000000"/>
            </w:tcBorders>
            <w:shd w:fill="FFFFFF" w:val="clear"/>
            <w:tcMar>
              <w:bottom w:w="28" w:type="dxa"/>
            </w:tcMar>
            <w:vAlign w:val="center"/>
          </w:tcPr>
          <w:p>
            <w:pPr>
              <w:pStyle w:val="TableContents"/>
              <w:bidi w:val="0"/>
              <w:spacing w:before="0" w:after="283"/>
              <w:jc w:val="right"/>
              <w:rPr/>
            </w:pPr>
            <w:r>
              <w:rPr/>
              <w:t>453,656</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11" w:name="xdx_8A0_zZCLxM85n6V2"/>
      <w:bookmarkEnd w:id="91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12" w:name="xdx_89D_eus-gaap--ScheduleOfNonvestedSha"/>
      <w:bookmarkEnd w:id="912"/>
      <w:r>
        <w:rPr>
          <w:rFonts w:ascii="Times New Roman;Times;Serif" w:hAnsi="Times New Roman;Times;Serif"/>
          <w:b w:val="false"/>
          <w:i w:val="false"/>
          <w:caps w:val="false"/>
          <w:smallCaps w:val="false"/>
          <w:sz w:val="20"/>
        </w:rPr>
        <w:t>The following table summarizes the nonvested share options for the year ended December 31, 2025 and 2024 and activity during the years ending on these dates:</w:t>
      </w:r>
    </w:p>
    <w:p>
      <w:pPr>
        <w:pStyle w:val="TextBody"/>
        <w:bidi w:val="0"/>
        <w:spacing w:before="0" w:after="0"/>
        <w:ind w:left="0" w:right="0" w:hanging="0"/>
        <w:jc w:val="both"/>
        <w:rPr>
          <w:caps w:val="false"/>
          <w:smallCaps w:val="false"/>
        </w:rPr>
      </w:pPr>
      <w:r>
        <w:rPr>
          <w:caps w:val="false"/>
          <w:smallCaps w:val="false"/>
        </w:rPr>
        <w:t> </w:t>
      </w:r>
      <w:bookmarkStart w:id="913" w:name="xdx_8B1_zdnvWeL6hrH4"/>
      <w:bookmarkEnd w:id="913"/>
      <w:r>
        <w:rPr>
          <w:rFonts w:ascii="Times New Roman;Times;Serif" w:hAnsi="Times New Roman;Times;Serif"/>
          <w:b w:val="false"/>
          <w:i w:val="false"/>
          <w:caps w:val="false"/>
          <w:smallCaps w:val="false"/>
          <w:sz w:val="20"/>
        </w:rPr>
        <w:t>SCHEDULE OF NONVESTED SHARE OPTION</w:t>
      </w:r>
    </w:p>
    <w:tbl>
      <w:tblPr>
        <w:tblW w:w="10205" w:type="dxa"/>
        <w:jc w:val="left"/>
        <w:tblInd w:w="0" w:type="dxa"/>
        <w:tblLayout w:type="fixed"/>
        <w:tblCellMar>
          <w:top w:w="0" w:type="dxa"/>
          <w:left w:w="0" w:type="dxa"/>
          <w:bottom w:w="0" w:type="dxa"/>
          <w:right w:w="0" w:type="dxa"/>
        </w:tblCellMar>
      </w:tblPr>
      <w:tblGrid>
        <w:gridCol w:w="2240"/>
        <w:gridCol w:w="60"/>
        <w:gridCol w:w="72"/>
        <w:gridCol w:w="966"/>
        <w:gridCol w:w="95"/>
        <w:gridCol w:w="60"/>
        <w:gridCol w:w="335"/>
        <w:gridCol w:w="1054"/>
        <w:gridCol w:w="60"/>
        <w:gridCol w:w="60"/>
        <w:gridCol w:w="306"/>
        <w:gridCol w:w="1225"/>
        <w:gridCol w:w="60"/>
        <w:gridCol w:w="60"/>
        <w:gridCol w:w="238"/>
        <w:gridCol w:w="1747"/>
        <w:gridCol w:w="60"/>
        <w:gridCol w:w="60"/>
        <w:gridCol w:w="171"/>
        <w:gridCol w:w="1198"/>
        <w:gridCol w:w="78"/>
      </w:tblGrid>
      <w:tr>
        <w:trPr/>
        <w:tc>
          <w:tcPr>
            <w:tcW w:w="2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Remaining Contractual 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 Intrinsic Value</w:t>
            </w:r>
          </w:p>
        </w:tc>
        <w:tc>
          <w:tcPr>
            <w:tcW w:w="78"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OUTSTANDING, DECEMBER 31, 2023</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bookmarkStart w:id="914" w:name="xdx_98B_eus-gaap--SharebasedCompensation"/>
            <w:bookmarkEnd w:id="914"/>
          </w:p>
        </w:tc>
        <w:tc>
          <w:tcPr>
            <w:tcW w:w="966" w:type="dxa"/>
            <w:tcBorders/>
            <w:shd w:fill="CCEEFF" w:val="clear"/>
            <w:vAlign w:val="center"/>
          </w:tcPr>
          <w:p>
            <w:pPr>
              <w:pStyle w:val="TableContents"/>
              <w:bidi w:val="0"/>
              <w:spacing w:before="0" w:after="283"/>
              <w:jc w:val="right"/>
              <w:rPr/>
            </w:pPr>
            <w:r>
              <w:rPr/>
              <w:t>494,105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w:t>
            </w:r>
            <w:bookmarkStart w:id="915" w:name="xdx_98C_ecustom--SharebasedCompensationA"/>
            <w:bookmarkEnd w:id="915"/>
          </w:p>
        </w:tc>
        <w:tc>
          <w:tcPr>
            <w:tcW w:w="1054" w:type="dxa"/>
            <w:tcBorders/>
            <w:shd w:fill="CCEEFF" w:val="clear"/>
            <w:vAlign w:val="center"/>
          </w:tcPr>
          <w:p>
            <w:pPr>
              <w:pStyle w:val="TableContents"/>
              <w:bidi w:val="0"/>
              <w:spacing w:before="0" w:after="283"/>
              <w:jc w:val="right"/>
              <w:rPr/>
            </w:pPr>
            <w:r>
              <w:rPr/>
              <w:t>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bookmarkStart w:id="916" w:name="xdx_98A_eus-gaap--SharebasedCompensation"/>
            <w:bookmarkEnd w:id="916"/>
          </w:p>
        </w:tc>
        <w:tc>
          <w:tcPr>
            <w:tcW w:w="1225" w:type="dxa"/>
            <w:tcBorders/>
            <w:shd w:fill="CCEEFF" w:val="clear"/>
            <w:vAlign w:val="center"/>
          </w:tcPr>
          <w:p>
            <w:pPr>
              <w:pStyle w:val="TableContents"/>
              <w:bidi w:val="0"/>
              <w:spacing w:before="0" w:after="283"/>
              <w:jc w:val="right"/>
              <w:rPr/>
            </w:pPr>
            <w:r>
              <w:rPr/>
              <w:t>10.80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bookmarkStart w:id="917" w:name="xdx_98D_ecustom--SharebasedCompensationA"/>
            <w:bookmarkEnd w:id="917"/>
          </w:p>
        </w:tc>
        <w:tc>
          <w:tcPr>
            <w:tcW w:w="1747" w:type="dxa"/>
            <w:tcBorders/>
            <w:shd w:fill="CCEEFF" w:val="clear"/>
            <w:vAlign w:val="center"/>
          </w:tcPr>
          <w:p>
            <w:pPr>
              <w:pStyle w:val="TableContents"/>
              <w:bidi w:val="0"/>
              <w:spacing w:before="0" w:after="283"/>
              <w:jc w:val="right"/>
              <w:rPr/>
            </w:pPr>
            <w:r>
              <w:rPr/>
              <w:t>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bookmarkStart w:id="918" w:name="xdx_989_ecustom--SharebasedCompensationA"/>
            <w:bookmarkEnd w:id="918"/>
          </w:p>
        </w:tc>
        <w:tc>
          <w:tcPr>
            <w:tcW w:w="1198" w:type="dxa"/>
            <w:tcBorders/>
            <w:shd w:fill="CCEEFF" w:val="clear"/>
            <w:vAlign w:val="center"/>
          </w:tcPr>
          <w:p>
            <w:pPr>
              <w:pStyle w:val="TableContents"/>
              <w:bidi w:val="0"/>
              <w:spacing w:before="0" w:after="283"/>
              <w:jc w:val="right"/>
              <w:rPr/>
            </w:pPr>
            <w:r>
              <w:rPr/>
              <w:t>5,080,434</w:t>
            </w:r>
          </w:p>
        </w:tc>
        <w:tc>
          <w:tcPr>
            <w:tcW w:w="78"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bookmarkStart w:id="919" w:name="xdx_98C_eus-gaap--ShareBasedCompensation"/>
            <w:bookmarkEnd w:id="919"/>
          </w:p>
        </w:tc>
        <w:tc>
          <w:tcPr>
            <w:tcW w:w="966" w:type="dxa"/>
            <w:tcBorders/>
            <w:shd w:fill="FFFFFF" w:val="clear"/>
            <w:vAlign w:val="center"/>
          </w:tcPr>
          <w:p>
            <w:pPr>
              <w:pStyle w:val="TableContents"/>
              <w:bidi w:val="0"/>
              <w:spacing w:before="0" w:after="283"/>
              <w:jc w:val="right"/>
              <w:rPr/>
            </w:pPr>
            <w:r>
              <w:rPr/>
              <w:t>45,565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bookmarkStart w:id="920" w:name="xdx_98F_ecustom--SharebasedCompensationA"/>
            <w:bookmarkEnd w:id="920"/>
          </w:p>
        </w:tc>
        <w:tc>
          <w:tcPr>
            <w:tcW w:w="1054" w:type="dxa"/>
            <w:tcBorders/>
            <w:shd w:fill="FFFFFF" w:val="clear"/>
            <w:vAlign w:val="center"/>
          </w:tcPr>
          <w:p>
            <w:pPr>
              <w:pStyle w:val="TableContents"/>
              <w:bidi w:val="0"/>
              <w:spacing w:before="0" w:after="283"/>
              <w:jc w:val="right"/>
              <w:rPr/>
            </w:pPr>
            <w:r>
              <w:rPr/>
              <w:t>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bookmarkStart w:id="921" w:name="xdx_988_eus-gaap--ShareBasedCompensation"/>
            <w:bookmarkEnd w:id="921"/>
          </w:p>
        </w:tc>
        <w:tc>
          <w:tcPr>
            <w:tcW w:w="1225" w:type="dxa"/>
            <w:tcBorders/>
            <w:shd w:fill="FFFFFF" w:val="clear"/>
            <w:vAlign w:val="center"/>
          </w:tcPr>
          <w:p>
            <w:pPr>
              <w:pStyle w:val="TableContents"/>
              <w:bidi w:val="0"/>
              <w:spacing w:before="0" w:after="283"/>
              <w:jc w:val="right"/>
              <w:rPr/>
            </w:pPr>
            <w:r>
              <w:rPr/>
              <w:t>11.80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bookmarkStart w:id="922" w:name="xdx_98E_eus-gaap--SharebasedCompensation"/>
            <w:bookmarkEnd w:id="922"/>
          </w:p>
        </w:tc>
        <w:tc>
          <w:tcPr>
            <w:tcW w:w="966" w:type="dxa"/>
            <w:tcBorders/>
            <w:shd w:fill="CCEEFF" w:val="clear"/>
            <w:vAlign w:val="center"/>
          </w:tcPr>
          <w:p>
            <w:pPr>
              <w:pStyle w:val="TableContents"/>
              <w:bidi w:val="0"/>
              <w:spacing w:before="0" w:after="283"/>
              <w:jc w:val="right"/>
              <w:rPr/>
            </w:pPr>
            <w:r>
              <w:rPr/>
              <w:t>(86,665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bookmarkStart w:id="923" w:name="xdx_984_ecustom--SharebasedCompensationA"/>
            <w:bookmarkEnd w:id="923"/>
          </w:p>
        </w:tc>
        <w:tc>
          <w:tcPr>
            <w:tcW w:w="1054" w:type="dxa"/>
            <w:tcBorders/>
            <w:shd w:fill="CCEEFF" w:val="clear"/>
            <w:vAlign w:val="center"/>
          </w:tcPr>
          <w:p>
            <w:pPr>
              <w:pStyle w:val="TableContents"/>
              <w:bidi w:val="0"/>
              <w:spacing w:before="0" w:after="283"/>
              <w:jc w:val="right"/>
              <w:rPr/>
            </w:pPr>
            <w:r>
              <w:rPr/>
              <w:t>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bookmarkStart w:id="924" w:name="xdx_98C_eus-gaap--SharebasedCompensation"/>
            <w:bookmarkEnd w:id="924"/>
          </w:p>
        </w:tc>
        <w:tc>
          <w:tcPr>
            <w:tcW w:w="1225" w:type="dxa"/>
            <w:tcBorders/>
            <w:shd w:fill="CCEEFF" w:val="clear"/>
            <w:vAlign w:val="center"/>
          </w:tcPr>
          <w:p>
            <w:pPr>
              <w:pStyle w:val="TableContents"/>
              <w:bidi w:val="0"/>
              <w:spacing w:before="0" w:after="283"/>
              <w:jc w:val="right"/>
              <w:rPr/>
            </w:pPr>
            <w:r>
              <w:rPr/>
              <w:t>10.89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7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Canceled/Expired</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25" w:name="xdx_985_eus-gaap--SharebasedCompensation"/>
            <w:bookmarkEnd w:id="925"/>
          </w:p>
        </w:tc>
        <w:tc>
          <w:tcPr>
            <w:tcW w:w="966" w:type="dxa"/>
            <w:tcBorders>
              <w:bottom w:val="single" w:sz="8" w:space="0" w:color="000000"/>
            </w:tcBorders>
            <w:shd w:fill="FFFFFF" w:val="clear"/>
            <w:tcMar>
              <w:bottom w:w="28" w:type="dxa"/>
            </w:tcMar>
            <w:vAlign w:val="center"/>
          </w:tcPr>
          <w:p>
            <w:pPr>
              <w:pStyle w:val="TableContents"/>
              <w:bidi w:val="0"/>
              <w:spacing w:before="0" w:after="283"/>
              <w:jc w:val="right"/>
              <w:rPr/>
            </w:pPr>
            <w:r>
              <w:rPr/>
              <w:t>(130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26" w:name="xdx_983_ecustom--SharebasedCompensationA"/>
            <w:bookmarkEnd w:id="926"/>
          </w:p>
        </w:tc>
        <w:tc>
          <w:tcPr>
            <w:tcW w:w="1054" w:type="dxa"/>
            <w:tcBorders>
              <w:bottom w:val="single" w:sz="8" w:space="0" w:color="000000"/>
            </w:tcBorders>
            <w:shd w:fill="FFFFFF" w:val="clear"/>
            <w:tcMar>
              <w:bottom w:w="28" w:type="dxa"/>
            </w:tcMar>
            <w:vAlign w:val="center"/>
          </w:tcPr>
          <w:p>
            <w:pPr>
              <w:pStyle w:val="TableContents"/>
              <w:bidi w:val="0"/>
              <w:spacing w:before="0" w:after="283"/>
              <w:jc w:val="right"/>
              <w:rPr/>
            </w:pPr>
            <w:r>
              <w:rPr/>
              <w:t>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27" w:name="xdx_988_eus-gaap--SharebasedCompensation"/>
            <w:bookmarkEnd w:id="927"/>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10.30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OUTSTANDING, DECEMBER 31, 2024</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bookmarkStart w:id="928" w:name="xdx_982_eus-gaap--SharebasedCompensation"/>
            <w:bookmarkEnd w:id="928"/>
          </w:p>
        </w:tc>
        <w:tc>
          <w:tcPr>
            <w:tcW w:w="966" w:type="dxa"/>
            <w:tcBorders/>
            <w:shd w:fill="CCEEFF" w:val="clear"/>
            <w:vAlign w:val="center"/>
          </w:tcPr>
          <w:p>
            <w:pPr>
              <w:pStyle w:val="TableContents"/>
              <w:bidi w:val="0"/>
              <w:spacing w:before="0" w:after="283"/>
              <w:jc w:val="right"/>
              <w:rPr/>
            </w:pPr>
            <w:r>
              <w:rPr/>
              <w:t>452,875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w:t>
            </w:r>
            <w:bookmarkStart w:id="929" w:name="xdx_983_ecustom--SharebasedCompensationA"/>
            <w:bookmarkEnd w:id="929"/>
          </w:p>
        </w:tc>
        <w:tc>
          <w:tcPr>
            <w:tcW w:w="1054" w:type="dxa"/>
            <w:tcBorders/>
            <w:shd w:fill="CCEEFF" w:val="clear"/>
            <w:vAlign w:val="center"/>
          </w:tcPr>
          <w:p>
            <w:pPr>
              <w:pStyle w:val="TableContents"/>
              <w:bidi w:val="0"/>
              <w:spacing w:before="0" w:after="283"/>
              <w:jc w:val="right"/>
              <w:rPr/>
            </w:pPr>
            <w:r>
              <w:rPr/>
              <w:t>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bookmarkStart w:id="930" w:name="xdx_986_eus-gaap--SharebasedCompensation"/>
            <w:bookmarkEnd w:id="930"/>
          </w:p>
        </w:tc>
        <w:tc>
          <w:tcPr>
            <w:tcW w:w="1225" w:type="dxa"/>
            <w:tcBorders/>
            <w:shd w:fill="CCEEFF" w:val="clear"/>
            <w:vAlign w:val="center"/>
          </w:tcPr>
          <w:p>
            <w:pPr>
              <w:pStyle w:val="TableContents"/>
              <w:bidi w:val="0"/>
              <w:spacing w:before="0" w:after="283"/>
              <w:jc w:val="right"/>
              <w:rPr/>
            </w:pPr>
            <w:r>
              <w:rPr/>
              <w:t>10.89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bookmarkStart w:id="931" w:name="xdx_98F_ecustom--SharebasedCompensationA"/>
            <w:bookmarkEnd w:id="931"/>
          </w:p>
        </w:tc>
        <w:tc>
          <w:tcPr>
            <w:tcW w:w="1747" w:type="dxa"/>
            <w:tcBorders/>
            <w:shd w:fill="CCEEFF" w:val="clear"/>
            <w:vAlign w:val="center"/>
          </w:tcPr>
          <w:p>
            <w:pPr>
              <w:pStyle w:val="TableContents"/>
              <w:bidi w:val="0"/>
              <w:spacing w:before="0" w:after="283"/>
              <w:jc w:val="right"/>
              <w:rPr/>
            </w:pPr>
            <w:r>
              <w:rPr/>
              <w:t>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bookmarkStart w:id="932" w:name="xdx_981_ecustom--SharebasedCompensationA"/>
            <w:bookmarkEnd w:id="932"/>
          </w:p>
        </w:tc>
        <w:tc>
          <w:tcPr>
            <w:tcW w:w="1198" w:type="dxa"/>
            <w:tcBorders/>
            <w:shd w:fill="CCEEFF" w:val="clear"/>
            <w:vAlign w:val="center"/>
          </w:tcPr>
          <w:p>
            <w:pPr>
              <w:pStyle w:val="TableContents"/>
              <w:bidi w:val="0"/>
              <w:spacing w:before="0" w:after="283"/>
              <w:jc w:val="right"/>
              <w:rPr/>
            </w:pPr>
            <w:r>
              <w:rPr/>
              <w:t>5,397,813</w:t>
            </w:r>
          </w:p>
        </w:tc>
        <w:tc>
          <w:tcPr>
            <w:tcW w:w="78"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bookmarkStart w:id="933" w:name="xdx_98D_eus-gaap--ShareBasedCompensation"/>
            <w:bookmarkEnd w:id="933"/>
          </w:p>
        </w:tc>
        <w:tc>
          <w:tcPr>
            <w:tcW w:w="96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bookmarkStart w:id="934" w:name="xdx_985_ecustom--SharebasedCompensationA"/>
            <w:bookmarkEnd w:id="934"/>
          </w:p>
        </w:tc>
        <w:tc>
          <w:tcPr>
            <w:tcW w:w="10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bookmarkStart w:id="935" w:name="xdx_981_eus-gaap--ShareBasedCompensation"/>
            <w:bookmarkEnd w:id="935"/>
          </w:p>
        </w:tc>
        <w:tc>
          <w:tcPr>
            <w:tcW w:w="122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7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19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bookmarkStart w:id="936" w:name="xdx_989_eus-gaap--SharebasedCompensation"/>
            <w:bookmarkEnd w:id="936"/>
          </w:p>
        </w:tc>
        <w:tc>
          <w:tcPr>
            <w:tcW w:w="966" w:type="dxa"/>
            <w:tcBorders/>
            <w:shd w:fill="CCEEFF" w:val="clear"/>
            <w:vAlign w:val="center"/>
          </w:tcPr>
          <w:p>
            <w:pPr>
              <w:pStyle w:val="TableContents"/>
              <w:bidi w:val="0"/>
              <w:spacing w:before="0" w:after="283"/>
              <w:jc w:val="right"/>
              <w:rPr/>
            </w:pPr>
            <w:r>
              <w:rPr/>
              <w:t>(88,266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bookmarkStart w:id="937" w:name="xdx_98F_ecustom--SharebasedCompensationA"/>
            <w:bookmarkEnd w:id="937"/>
          </w:p>
        </w:tc>
        <w:tc>
          <w:tcPr>
            <w:tcW w:w="1054" w:type="dxa"/>
            <w:tcBorders/>
            <w:shd w:fill="CCEEFF" w:val="clear"/>
            <w:vAlign w:val="center"/>
          </w:tcPr>
          <w:p>
            <w:pPr>
              <w:pStyle w:val="TableContents"/>
              <w:bidi w:val="0"/>
              <w:spacing w:before="0" w:after="283"/>
              <w:jc w:val="right"/>
              <w:rPr/>
            </w:pPr>
            <w:r>
              <w:rPr/>
              <w:t>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bookmarkStart w:id="938" w:name="xdx_98E_eus-gaap--SharebasedCompensation"/>
            <w:bookmarkEnd w:id="938"/>
          </w:p>
        </w:tc>
        <w:tc>
          <w:tcPr>
            <w:tcW w:w="1225" w:type="dxa"/>
            <w:tcBorders/>
            <w:shd w:fill="CCEEFF" w:val="clear"/>
            <w:vAlign w:val="center"/>
          </w:tcPr>
          <w:p>
            <w:pPr>
              <w:pStyle w:val="TableContents"/>
              <w:bidi w:val="0"/>
              <w:spacing w:before="0" w:after="283"/>
              <w:jc w:val="right"/>
              <w:rPr/>
            </w:pPr>
            <w:r>
              <w:rPr/>
              <w:t>10.29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7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Canceled/Expired</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39" w:name="xdx_982_eus-gaap--SharebasedCompensation"/>
            <w:bookmarkEnd w:id="939"/>
          </w:p>
        </w:tc>
        <w:tc>
          <w:tcPr>
            <w:tcW w:w="966" w:type="dxa"/>
            <w:tcBorders>
              <w:bottom w:val="single" w:sz="8" w:space="0" w:color="000000"/>
            </w:tcBorders>
            <w:shd w:fill="FFFFFF" w:val="clear"/>
            <w:tcMar>
              <w:bottom w:w="28" w:type="dxa"/>
            </w:tcMar>
            <w:vAlign w:val="center"/>
          </w:tcPr>
          <w:p>
            <w:pPr>
              <w:pStyle w:val="TableContents"/>
              <w:bidi w:val="0"/>
              <w:spacing w:before="0" w:after="283"/>
              <w:jc w:val="right"/>
              <w:rPr/>
            </w:pPr>
            <w:r>
              <w:rPr/>
              <w:t>(3,282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40" w:name="xdx_980_ecustom--SharebasedCompensationA"/>
            <w:bookmarkEnd w:id="940"/>
          </w:p>
        </w:tc>
        <w:tc>
          <w:tcPr>
            <w:tcW w:w="1054" w:type="dxa"/>
            <w:tcBorders>
              <w:bottom w:val="single" w:sz="8" w:space="0" w:color="000000"/>
            </w:tcBorders>
            <w:shd w:fill="FFFFFF" w:val="clear"/>
            <w:tcMar>
              <w:bottom w:w="28" w:type="dxa"/>
            </w:tcMar>
            <w:vAlign w:val="center"/>
          </w:tcPr>
          <w:p>
            <w:pPr>
              <w:pStyle w:val="TableContents"/>
              <w:bidi w:val="0"/>
              <w:spacing w:before="0" w:after="283"/>
              <w:jc w:val="right"/>
              <w:rPr/>
            </w:pPr>
            <w:r>
              <w:rPr/>
              <w:t>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41" w:name="xdx_980_eus-gaap--SharebasedCompensation"/>
            <w:bookmarkEnd w:id="941"/>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11.72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OUTSTANDING, DECEMBER 31, 2025</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42" w:name="xdx_984_eus-gaap--SharebasedCompensation"/>
            <w:bookmarkEnd w:id="942"/>
          </w:p>
        </w:tc>
        <w:tc>
          <w:tcPr>
            <w:tcW w:w="966" w:type="dxa"/>
            <w:tcBorders>
              <w:bottom w:val="double" w:sz="6" w:space="0" w:color="000000"/>
            </w:tcBorders>
            <w:shd w:fill="CCEEFF" w:val="clear"/>
            <w:tcMar>
              <w:bottom w:w="28" w:type="dxa"/>
            </w:tcMar>
            <w:vAlign w:val="center"/>
          </w:tcPr>
          <w:p>
            <w:pPr>
              <w:pStyle w:val="TableContents"/>
              <w:bidi w:val="0"/>
              <w:spacing w:before="0" w:after="283"/>
              <w:jc w:val="right"/>
              <w:rPr/>
            </w:pPr>
            <w:r>
              <w:rPr/>
              <w:t>361,327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43" w:name="xdx_987_ecustom--SharebasedCompensationA"/>
            <w:bookmarkEnd w:id="943"/>
          </w:p>
        </w:tc>
        <w:tc>
          <w:tcPr>
            <w:tcW w:w="1054" w:type="dxa"/>
            <w:tcBorders>
              <w:bottom w:val="double" w:sz="6" w:space="0" w:color="000000"/>
            </w:tcBorders>
            <w:shd w:fill="CCEEFF" w:val="clear"/>
            <w:tcMar>
              <w:bottom w:w="28" w:type="dxa"/>
            </w:tcMar>
            <w:vAlign w:val="center"/>
          </w:tcPr>
          <w:p>
            <w:pPr>
              <w:pStyle w:val="TableContents"/>
              <w:bidi w:val="0"/>
              <w:spacing w:before="0" w:after="283"/>
              <w:jc w:val="right"/>
              <w:rPr/>
            </w:pPr>
            <w:r>
              <w:rPr/>
              <w:t>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44" w:name="xdx_98F_eus-gaap--SharebasedCompensation"/>
            <w:bookmarkEnd w:id="944"/>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pPr>
            <w:r>
              <w:rPr/>
              <w:t>10.99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45" w:name="xdx_98A_ecustom--SharebasedCompensationA"/>
            <w:bookmarkEnd w:id="945"/>
          </w:p>
        </w:tc>
        <w:tc>
          <w:tcPr>
            <w:tcW w:w="1747" w:type="dxa"/>
            <w:tcBorders>
              <w:bottom w:val="double" w:sz="6" w:space="0" w:color="000000"/>
            </w:tcBorders>
            <w:shd w:fill="CCEEFF" w:val="clear"/>
            <w:tcMar>
              <w:bottom w:w="28" w:type="dxa"/>
            </w:tcMar>
            <w:vAlign w:val="center"/>
          </w:tcPr>
          <w:p>
            <w:pPr>
              <w:pStyle w:val="TableContents"/>
              <w:bidi w:val="0"/>
              <w:spacing w:before="0" w:after="283"/>
              <w:jc w:val="right"/>
              <w:rPr/>
            </w:pPr>
            <w:r>
              <w:rPr/>
              <w:t>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46" w:name="xdx_981_ecustom--SharebasedCompensationA"/>
            <w:bookmarkEnd w:id="946"/>
          </w:p>
        </w:tc>
        <w:tc>
          <w:tcPr>
            <w:tcW w:w="1198" w:type="dxa"/>
            <w:tcBorders>
              <w:bottom w:val="double" w:sz="6" w:space="0" w:color="000000"/>
            </w:tcBorders>
            <w:shd w:fill="CCEEFF" w:val="clear"/>
            <w:tcMar>
              <w:bottom w:w="28" w:type="dxa"/>
            </w:tcMar>
            <w:vAlign w:val="center"/>
          </w:tcPr>
          <w:p>
            <w:pPr>
              <w:pStyle w:val="TableContents"/>
              <w:bidi w:val="0"/>
              <w:spacing w:before="0" w:after="283"/>
              <w:jc w:val="right"/>
              <w:rPr/>
            </w:pPr>
            <w:r>
              <w:rPr/>
              <w:t>662,712</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47" w:name="xdx_8A1_zmexcD5TdL37"/>
      <w:bookmarkEnd w:id="94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is calculated as the difference between the exercise price of the underlying shares and the closing stock price of $</w:t>
      </w:r>
      <w:bookmarkStart w:id="948" w:name="xdx_902_eus-gaap--SharePrice_iI_c2025123"/>
      <w:bookmarkEnd w:id="948"/>
      <w:r>
        <w:rPr>
          <w:rFonts w:ascii="Times New Roman;Times;Serif" w:hAnsi="Times New Roman;Times;Serif"/>
          <w:b w:val="false"/>
          <w:i w:val="false"/>
          <w:caps w:val="false"/>
          <w:smallCaps w:val="false"/>
          <w:sz w:val="20"/>
        </w:rPr>
        <w:t>2.63 for the Company’s common shares on December 31, 2025 and the estimated share price of $</w:t>
      </w:r>
      <w:bookmarkStart w:id="949" w:name="xdx_90E_eus-gaap--SharesIssuedPricePerSh"/>
      <w:bookmarkEnd w:id="949"/>
      <w:r>
        <w:rPr>
          <w:rFonts w:ascii="Times New Roman;Times;Serif" w:hAnsi="Times New Roman;Times;Serif"/>
          <w:b w:val="false"/>
          <w:i w:val="false"/>
          <w:caps w:val="false"/>
          <w:smallCaps w:val="false"/>
          <w:sz w:val="20"/>
        </w:rPr>
        <w:t>12.71 for the Company’s common shares at December 31, 2024.</w:t>
      </w:r>
    </w:p>
    <w:p>
      <w:pPr>
        <w:pStyle w:val="TextBody"/>
        <w:bidi w:val="0"/>
        <w:spacing w:before="0" w:after="0"/>
        <w:ind w:left="576" w:right="0" w:hanging="57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950" w:name="xdx_90F_eus-gaap--ShareBasedCompensation"/>
      <w:bookmarkEnd w:id="950"/>
      <w:r>
        <w:rPr>
          <w:rFonts w:ascii="Times New Roman;Times;Serif" w:hAnsi="Times New Roman;Times;Serif"/>
          <w:b w:val="false"/>
          <w:i w:val="false"/>
          <w:caps w:val="false"/>
          <w:smallCaps w:val="false"/>
          <w:sz w:val="20"/>
        </w:rPr>
        <w:t>no options granted during the year ended December 31, 2025. As of December 31, 2025, there was $</w:t>
      </w:r>
      <w:bookmarkStart w:id="951" w:name="xdx_90B_eus-gaap--EmployeeServiceShareBa"/>
      <w:bookmarkEnd w:id="951"/>
      <w:r>
        <w:rPr>
          <w:rFonts w:ascii="Times New Roman;Times;Serif" w:hAnsi="Times New Roman;Times;Serif"/>
          <w:b w:val="false"/>
          <w:i w:val="false"/>
          <w:caps w:val="false"/>
          <w:smallCaps w:val="false"/>
          <w:sz w:val="20"/>
        </w:rPr>
        <w:t>3,889,706 unrecognized compensation expense related to nonvested stock options to be recognized through June 30, 2028. Total compensation expense related to stock options during the years ended December 31, 2025 and 2024 was $</w:t>
      </w:r>
      <w:bookmarkStart w:id="952" w:name="xdx_90E_eus-gaap--AllocatedShareBasedCom"/>
      <w:bookmarkEnd w:id="952"/>
      <w:r>
        <w:rPr>
          <w:rFonts w:ascii="Times New Roman;Times;Serif" w:hAnsi="Times New Roman;Times;Serif"/>
          <w:b w:val="false"/>
          <w:i w:val="false"/>
          <w:caps w:val="false"/>
          <w:smallCaps w:val="false"/>
          <w:sz w:val="20"/>
        </w:rPr>
        <w:t>1,001,613 and $</w:t>
      </w:r>
      <w:bookmarkStart w:id="953" w:name="xdx_90F_eus-gaap--AllocatedShareBasedCom"/>
      <w:bookmarkEnd w:id="953"/>
      <w:r>
        <w:rPr>
          <w:rFonts w:ascii="Times New Roman;Times;Serif" w:hAnsi="Times New Roman;Times;Serif"/>
          <w:b w:val="false"/>
          <w:i w:val="false"/>
          <w:caps w:val="false"/>
          <w:smallCaps w:val="false"/>
          <w:sz w:val="20"/>
        </w:rPr>
        <w:t xml:space="preserve">978,234, respectively. During the year ended December 31, 2025 there were </w:t>
      </w:r>
      <w:bookmarkStart w:id="954" w:name="xdx_905_ecustom--ShareBasedCompensationA"/>
      <w:bookmarkEnd w:id="954"/>
      <w:r>
        <w:rPr>
          <w:rFonts w:ascii="Times New Roman;Times;Serif" w:hAnsi="Times New Roman;Times;Serif"/>
          <w:b w:val="false"/>
          <w:i w:val="false"/>
          <w:caps w:val="false"/>
          <w:smallCaps w:val="false"/>
          <w:sz w:val="20"/>
        </w:rPr>
        <w:t xml:space="preserve">1,251 options exercised in a cashless exchange for </w:t>
      </w:r>
      <w:bookmarkStart w:id="955" w:name="xdx_90F_eus-gaap--SharebasedCompensation"/>
      <w:bookmarkEnd w:id="955"/>
      <w:r>
        <w:rPr>
          <w:rFonts w:ascii="Times New Roman;Times;Serif" w:hAnsi="Times New Roman;Times;Serif"/>
          <w:b w:val="false"/>
          <w:i w:val="false"/>
          <w:caps w:val="false"/>
          <w:smallCaps w:val="false"/>
          <w:sz w:val="20"/>
        </w:rPr>
        <w:t>773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56" w:name="xdx_89D_eus-gaap--ScheduleOfShareBasedPa"/>
      <w:bookmarkEnd w:id="956"/>
      <w:r>
        <w:rPr>
          <w:rFonts w:ascii="Times New Roman;Times;Serif" w:hAnsi="Times New Roman;Times;Serif"/>
          <w:b w:val="false"/>
          <w:i w:val="false"/>
          <w:caps w:val="false"/>
          <w:smallCaps w:val="false"/>
          <w:sz w:val="20"/>
        </w:rPr>
        <w:t>The assumptions used to calculate the fair value of options granted during the year ended December 31, 2024 are as follows:</w:t>
      </w:r>
    </w:p>
    <w:p>
      <w:pPr>
        <w:pStyle w:val="TextBody"/>
        <w:bidi w:val="0"/>
        <w:spacing w:before="0" w:after="0"/>
        <w:ind w:left="0" w:right="0" w:hanging="0"/>
        <w:jc w:val="left"/>
        <w:rPr>
          <w:caps w:val="false"/>
          <w:smallCaps w:val="false"/>
        </w:rPr>
      </w:pPr>
      <w:r>
        <w:rPr>
          <w:caps w:val="false"/>
          <w:smallCaps w:val="false"/>
        </w:rPr>
        <w:t> </w:t>
      </w:r>
      <w:bookmarkStart w:id="957" w:name="xdx_8B7_zeHmjLAuujD9"/>
      <w:bookmarkEnd w:id="957"/>
      <w:r>
        <w:rPr>
          <w:rFonts w:ascii="Times New Roman;Times;Serif" w:hAnsi="Times New Roman;Times;Serif"/>
          <w:b w:val="false"/>
          <w:i w:val="false"/>
          <w:caps w:val="false"/>
          <w:smallCaps w:val="false"/>
          <w:sz w:val="20"/>
        </w:rPr>
        <w:t>SCHEDULE OF FAIR VALUE OF OPTIONS GRANTED</w:t>
      </w:r>
    </w:p>
    <w:tbl>
      <w:tblPr>
        <w:tblW w:w="3555" w:type="dxa"/>
        <w:jc w:val="left"/>
        <w:tblInd w:w="0" w:type="dxa"/>
        <w:tblLayout w:type="fixed"/>
        <w:tblCellMar>
          <w:top w:w="0" w:type="dxa"/>
          <w:left w:w="0" w:type="dxa"/>
          <w:bottom w:w="0" w:type="dxa"/>
          <w:right w:w="0" w:type="dxa"/>
        </w:tblCellMar>
      </w:tblPr>
      <w:tblGrid>
        <w:gridCol w:w="2645"/>
        <w:gridCol w:w="60"/>
        <w:gridCol w:w="60"/>
        <w:gridCol w:w="560"/>
        <w:gridCol w:w="230"/>
      </w:tblGrid>
      <w:tr>
        <w:trPr/>
        <w:tc>
          <w:tcPr>
            <w:tcW w:w="2645" w:type="dxa"/>
            <w:tcBorders/>
            <w:shd w:fill="CCEEFF" w:val="clear"/>
            <w:vAlign w:val="center"/>
          </w:tcPr>
          <w:p>
            <w:pPr>
              <w:pStyle w:val="TableContents"/>
              <w:bidi w:val="0"/>
              <w:spacing w:before="0" w:after="283"/>
              <w:jc w:val="left"/>
              <w:rPr/>
            </w:pPr>
            <w:r>
              <w:rPr/>
              <w:t>Weighted-average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bookmarkStart w:id="958" w:name="xdx_907_eus-gaap--ShareBasedCompensation"/>
            <w:bookmarkEnd w:id="958"/>
            <w:r>
              <w:rPr/>
              <w:t>95.00</w:t>
            </w:r>
          </w:p>
        </w:tc>
        <w:tc>
          <w:tcPr>
            <w:tcW w:w="230" w:type="dxa"/>
            <w:tcBorders/>
            <w:shd w:fill="CCEEFF" w:val="clear"/>
            <w:vAlign w:val="center"/>
          </w:tcPr>
          <w:p>
            <w:pPr>
              <w:pStyle w:val="TableContents"/>
              <w:bidi w:val="0"/>
              <w:spacing w:before="0" w:after="283"/>
              <w:jc w:val="left"/>
              <w:rPr/>
            </w:pPr>
            <w:r>
              <w:rPr/>
              <w:t>%</w:t>
            </w:r>
          </w:p>
        </w:tc>
      </w:tr>
      <w:tr>
        <w:trPr/>
        <w:tc>
          <w:tcPr>
            <w:tcW w:w="2645"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bookmarkStart w:id="959" w:name="xdx_905_eus-gaap--ShareBasedCompensation"/>
            <w:bookmarkEnd w:id="959"/>
            <w:r>
              <w:rPr/>
              <w:t>3.81</w:t>
            </w:r>
          </w:p>
        </w:tc>
        <w:tc>
          <w:tcPr>
            <w:tcW w:w="230" w:type="dxa"/>
            <w:tcBorders/>
            <w:shd w:fill="FFFFFF" w:val="clear"/>
            <w:vAlign w:val="center"/>
          </w:tcPr>
          <w:p>
            <w:pPr>
              <w:pStyle w:val="TableContents"/>
              <w:bidi w:val="0"/>
              <w:spacing w:before="0" w:after="283"/>
              <w:jc w:val="left"/>
              <w:rPr/>
            </w:pPr>
            <w:r>
              <w:rPr/>
              <w:t>%</w:t>
            </w:r>
          </w:p>
        </w:tc>
      </w:tr>
      <w:tr>
        <w:trPr/>
        <w:tc>
          <w:tcPr>
            <w:tcW w:w="2645"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bookmarkStart w:id="960" w:name="xdx_906_eus-gaap--ShareBasedCompensation"/>
            <w:bookmarkEnd w:id="960"/>
            <w:r>
              <w:rPr/>
              <w:t>0.00</w:t>
            </w:r>
          </w:p>
        </w:tc>
        <w:tc>
          <w:tcPr>
            <w:tcW w:w="230" w:type="dxa"/>
            <w:tcBorders/>
            <w:shd w:fill="CCEEFF" w:val="clear"/>
            <w:vAlign w:val="center"/>
          </w:tcPr>
          <w:p>
            <w:pPr>
              <w:pStyle w:val="TableContents"/>
              <w:bidi w:val="0"/>
              <w:spacing w:before="0" w:after="283"/>
              <w:jc w:val="left"/>
              <w:rPr/>
            </w:pPr>
            <w:r>
              <w:rPr/>
              <w:t>%</w:t>
            </w:r>
          </w:p>
        </w:tc>
      </w:tr>
      <w:tr>
        <w:trPr/>
        <w:tc>
          <w:tcPr>
            <w:tcW w:w="2645" w:type="dxa"/>
            <w:tcBorders/>
            <w:shd w:fill="FFFFFF" w:val="clear"/>
            <w:vAlign w:val="center"/>
          </w:tcPr>
          <w:p>
            <w:pPr>
              <w:pStyle w:val="TableContents"/>
              <w:bidi w:val="0"/>
              <w:spacing w:before="0" w:after="283"/>
              <w:jc w:val="left"/>
              <w:rPr/>
            </w:pPr>
            <w:r>
              <w:rPr/>
              <w:t>Expected term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bookmarkStart w:id="961" w:name="xdx_903_eus-gaap--SharebasedCompensation"/>
            <w:bookmarkEnd w:id="961"/>
            <w:r>
              <w:rPr/>
              <w:t>10</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62" w:name="xdx_8A5_zQ38KaAqH0c1"/>
      <w:bookmarkEnd w:id="96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63" w:name="xdx_892_eus-gaap--ScheduleOfNonvestedRes"/>
      <w:bookmarkEnd w:id="963"/>
      <w:r>
        <w:rPr>
          <w:rFonts w:ascii="Times New Roman;Times;Serif" w:hAnsi="Times New Roman;Times;Serif"/>
          <w:b w:val="false"/>
          <w:i w:val="false"/>
          <w:caps w:val="false"/>
          <w:smallCaps w:val="false"/>
          <w:sz w:val="20"/>
        </w:rPr>
        <w:t>The following table summarizes the restricted stock units (“RSUs”) outstanding as of December 31, 2025 and activity during the year ended this date:</w:t>
      </w:r>
    </w:p>
    <w:p>
      <w:pPr>
        <w:pStyle w:val="TextBody"/>
        <w:bidi w:val="0"/>
        <w:spacing w:before="0" w:after="0"/>
        <w:ind w:left="0" w:right="0" w:hanging="0"/>
        <w:jc w:val="both"/>
        <w:rPr>
          <w:caps w:val="false"/>
          <w:smallCaps w:val="false"/>
        </w:rPr>
      </w:pPr>
      <w:r>
        <w:rPr>
          <w:caps w:val="false"/>
          <w:smallCaps w:val="false"/>
        </w:rPr>
        <w:t> </w:t>
      </w:r>
      <w:bookmarkStart w:id="964" w:name="xdx_8BF_zCYF8Cb0aa77"/>
      <w:bookmarkEnd w:id="964"/>
      <w:r>
        <w:rPr>
          <w:rFonts w:ascii="Times New Roman;Times;Serif" w:hAnsi="Times New Roman;Times;Serif"/>
          <w:b w:val="false"/>
          <w:i w:val="false"/>
          <w:caps w:val="false"/>
          <w:smallCaps w:val="false"/>
          <w:sz w:val="20"/>
        </w:rPr>
        <w:t>SCHEDULE OF RESTRICTED STOCK UNITS OUTSTANDING</w:t>
      </w:r>
    </w:p>
    <w:tbl>
      <w:tblPr>
        <w:tblW w:w="10205" w:type="dxa"/>
        <w:jc w:val="left"/>
        <w:tblInd w:w="0" w:type="dxa"/>
        <w:tblLayout w:type="fixed"/>
        <w:tblCellMar>
          <w:top w:w="0" w:type="dxa"/>
          <w:left w:w="0" w:type="dxa"/>
          <w:bottom w:w="0" w:type="dxa"/>
          <w:right w:w="0" w:type="dxa"/>
        </w:tblCellMar>
      </w:tblPr>
      <w:tblGrid>
        <w:gridCol w:w="4069"/>
        <w:gridCol w:w="60"/>
        <w:gridCol w:w="190"/>
        <w:gridCol w:w="3168"/>
        <w:gridCol w:w="60"/>
        <w:gridCol w:w="60"/>
        <w:gridCol w:w="607"/>
        <w:gridCol w:w="1913"/>
        <w:gridCol w:w="78"/>
      </w:tblGrid>
      <w:tr>
        <w:trPr/>
        <w:tc>
          <w:tcPr>
            <w:tcW w:w="406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Restricted Stock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0" w:type="dxa"/>
            <w:gridSpan w:val="2"/>
            <w:tcBorders>
              <w:bottom w:val="single" w:sz="8" w:space="0" w:color="000000"/>
            </w:tcBorders>
            <w:tcMar>
              <w:bottom w:w="28" w:type="dxa"/>
            </w:tcMar>
            <w:vAlign w:val="center"/>
          </w:tcPr>
          <w:p>
            <w:pPr>
              <w:pStyle w:val="TableContents"/>
              <w:bidi w:val="0"/>
              <w:jc w:val="center"/>
              <w:rPr>
                <w:b/>
              </w:rPr>
            </w:pPr>
            <w:r>
              <w:rPr>
                <w:b/>
              </w:rPr>
              <w:t>Weighted Average Grant</w:t>
            </w:r>
          </w:p>
          <w:p>
            <w:pPr>
              <w:pStyle w:val="TableContents"/>
              <w:bidi w:val="0"/>
              <w:spacing w:before="0" w:after="283"/>
              <w:jc w:val="center"/>
              <w:rPr>
                <w:b/>
              </w:rPr>
            </w:pPr>
            <w:r>
              <w:rPr>
                <w:b/>
              </w:rPr>
              <w:t>Date Fair Value</w:t>
            </w:r>
          </w:p>
        </w:tc>
        <w:tc>
          <w:tcPr>
            <w:tcW w:w="78" w:type="dxa"/>
            <w:tcBorders/>
            <w:vAlign w:val="center"/>
          </w:tcPr>
          <w:p>
            <w:pPr>
              <w:pStyle w:val="TableContents"/>
              <w:bidi w:val="0"/>
              <w:spacing w:before="0" w:after="283"/>
              <w:jc w:val="left"/>
              <w:rPr/>
            </w:pPr>
            <w:r>
              <w:rPr/>
              <w:t> </w:t>
            </w:r>
          </w:p>
        </w:tc>
      </w:tr>
      <w:tr>
        <w:trPr/>
        <w:tc>
          <w:tcPr>
            <w:tcW w:w="4069" w:type="dxa"/>
            <w:tcBorders/>
            <w:shd w:fill="CCEEFF" w:val="clear"/>
            <w:vAlign w:val="center"/>
          </w:tcPr>
          <w:p>
            <w:pPr>
              <w:pStyle w:val="TableContents"/>
              <w:bidi w:val="0"/>
              <w:spacing w:before="0" w:after="283"/>
              <w:jc w:val="both"/>
              <w:rPr/>
            </w:pPr>
            <w:r>
              <w:rPr/>
              <w:t>OUTSTANDING, DECEMBER 31, 2024</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bookmarkStart w:id="965" w:name="xdx_988_eus-gaap--ShareBasedCompensation"/>
            <w:bookmarkEnd w:id="965"/>
          </w:p>
        </w:tc>
        <w:tc>
          <w:tcPr>
            <w:tcW w:w="31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left"/>
              <w:rPr/>
            </w:pPr>
            <w:r>
              <w:rPr/>
              <w:t>$</w:t>
            </w:r>
            <w:bookmarkStart w:id="966" w:name="xdx_981_eus-gaap--ShareBasedCompensation"/>
            <w:bookmarkEnd w:id="966"/>
          </w:p>
        </w:tc>
        <w:tc>
          <w:tcPr>
            <w:tcW w:w="1913"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4069"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67" w:name="xdx_98F_eus-gaap--ShareBasedCompensation"/>
            <w:bookmarkEnd w:id="967"/>
          </w:p>
        </w:tc>
        <w:tc>
          <w:tcPr>
            <w:tcW w:w="3168" w:type="dxa"/>
            <w:tcBorders>
              <w:bottom w:val="single" w:sz="8" w:space="0" w:color="000000"/>
            </w:tcBorders>
            <w:shd w:fill="FFFFFF" w:val="clear"/>
            <w:tcMar>
              <w:bottom w:w="28" w:type="dxa"/>
            </w:tcMar>
            <w:vAlign w:val="center"/>
          </w:tcPr>
          <w:p>
            <w:pPr>
              <w:pStyle w:val="TableContents"/>
              <w:bidi w:val="0"/>
              <w:spacing w:before="0" w:after="283"/>
              <w:jc w:val="right"/>
              <w:rPr/>
            </w:pPr>
            <w:r>
              <w:rPr/>
              <w:t>1,693,202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68" w:name="xdx_98B_eus-gaap--ShareBasedCompensation"/>
            <w:bookmarkEnd w:id="968"/>
          </w:p>
        </w:tc>
        <w:tc>
          <w:tcPr>
            <w:tcW w:w="1913" w:type="dxa"/>
            <w:tcBorders>
              <w:bottom w:val="single" w:sz="8" w:space="0" w:color="000000"/>
            </w:tcBorders>
            <w:shd w:fill="FFFFFF" w:val="clear"/>
            <w:tcMar>
              <w:bottom w:w="28" w:type="dxa"/>
            </w:tcMar>
            <w:vAlign w:val="center"/>
          </w:tcPr>
          <w:p>
            <w:pPr>
              <w:pStyle w:val="TableContents"/>
              <w:bidi w:val="0"/>
              <w:spacing w:before="0" w:after="283"/>
              <w:jc w:val="right"/>
              <w:rPr/>
            </w:pPr>
            <w:r>
              <w:rPr/>
              <w:t>3.07</w:t>
            </w:r>
          </w:p>
        </w:tc>
        <w:tc>
          <w:tcPr>
            <w:tcW w:w="78" w:type="dxa"/>
            <w:tcBorders/>
            <w:shd w:fill="FFFFFF" w:val="clear"/>
            <w:vAlign w:val="center"/>
          </w:tcPr>
          <w:p>
            <w:pPr>
              <w:pStyle w:val="TableContents"/>
              <w:bidi w:val="0"/>
              <w:spacing w:before="0" w:after="283"/>
              <w:jc w:val="left"/>
              <w:rPr/>
            </w:pPr>
            <w:r>
              <w:rPr/>
              <w:t> </w:t>
            </w:r>
          </w:p>
        </w:tc>
      </w:tr>
      <w:tr>
        <w:trPr/>
        <w:tc>
          <w:tcPr>
            <w:tcW w:w="4069" w:type="dxa"/>
            <w:tcBorders/>
            <w:shd w:fill="CCEEFF" w:val="clear"/>
            <w:vAlign w:val="center"/>
          </w:tcPr>
          <w:p>
            <w:pPr>
              <w:pStyle w:val="TableContents"/>
              <w:bidi w:val="0"/>
              <w:spacing w:before="0" w:after="283"/>
              <w:jc w:val="both"/>
              <w:rPr/>
            </w:pPr>
            <w:r>
              <w:rPr/>
              <w:t>OUTSTANDING, DECEMBER 31, 2025</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69" w:name="xdx_987_eus-gaap--ShareBasedCompensation"/>
            <w:bookmarkEnd w:id="969"/>
          </w:p>
        </w:tc>
        <w:tc>
          <w:tcPr>
            <w:tcW w:w="3168" w:type="dxa"/>
            <w:tcBorders>
              <w:bottom w:val="double" w:sz="6" w:space="0" w:color="000000"/>
            </w:tcBorders>
            <w:shd w:fill="CCEEFF" w:val="clear"/>
            <w:tcMar>
              <w:bottom w:w="28" w:type="dxa"/>
            </w:tcMar>
            <w:vAlign w:val="center"/>
          </w:tcPr>
          <w:p>
            <w:pPr>
              <w:pStyle w:val="TableContents"/>
              <w:bidi w:val="0"/>
              <w:spacing w:before="0" w:after="283"/>
              <w:jc w:val="right"/>
              <w:rPr/>
            </w:pPr>
            <w:r>
              <w:rPr/>
              <w:t>1,693,202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70" w:name="xdx_98D_eus-gaap--ShareBasedCompensation"/>
            <w:bookmarkEnd w:id="970"/>
          </w:p>
        </w:tc>
        <w:tc>
          <w:tcPr>
            <w:tcW w:w="1913" w:type="dxa"/>
            <w:tcBorders>
              <w:bottom w:val="double" w:sz="6" w:space="0" w:color="000000"/>
            </w:tcBorders>
            <w:shd w:fill="CCEEFF" w:val="clear"/>
            <w:tcMar>
              <w:bottom w:w="28" w:type="dxa"/>
            </w:tcMar>
            <w:vAlign w:val="center"/>
          </w:tcPr>
          <w:p>
            <w:pPr>
              <w:pStyle w:val="TableContents"/>
              <w:bidi w:val="0"/>
              <w:spacing w:before="0" w:after="283"/>
              <w:jc w:val="right"/>
              <w:rPr/>
            </w:pPr>
            <w:r>
              <w:rPr/>
              <w:t>3.07</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71" w:name="xdx_8AD_zVVP1Xt61OOd"/>
      <w:bookmarkEnd w:id="97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RSUs of </w:t>
      </w:r>
      <w:bookmarkStart w:id="972" w:name="xdx_90F_eus-gaap--StockIssuedDuringPerio"/>
      <w:bookmarkEnd w:id="972"/>
      <w:r>
        <w:rPr>
          <w:rFonts w:ascii="Times New Roman;Times;Serif" w:hAnsi="Times New Roman;Times;Serif"/>
          <w:b w:val="false"/>
          <w:i w:val="false"/>
          <w:caps w:val="false"/>
          <w:smallCaps w:val="false"/>
          <w:sz w:val="20"/>
        </w:rPr>
        <w:t>1,693,202 shares were issued under the plan to employees with a total fair value of $</w:t>
      </w:r>
      <w:bookmarkStart w:id="973" w:name="xdx_904_eus-gaap--StockIssuedDuringPerio"/>
      <w:bookmarkEnd w:id="973"/>
      <w:r>
        <w:rPr>
          <w:rFonts w:ascii="Times New Roman;Times;Serif" w:hAnsi="Times New Roman;Times;Serif"/>
          <w:b w:val="false"/>
          <w:i w:val="false"/>
          <w:caps w:val="false"/>
          <w:smallCaps w:val="false"/>
          <w:sz w:val="20"/>
        </w:rPr>
        <w:t xml:space="preserve">5,204,697, based on grant date fair value. Of those shares, </w:t>
      </w:r>
      <w:bookmarkStart w:id="974" w:name="xdx_901_eus-gaap--ShareBasedCompensation"/>
      <w:bookmarkEnd w:id="974"/>
      <w:r>
        <w:rPr>
          <w:rFonts w:ascii="Times New Roman;Times;Serif" w:hAnsi="Times New Roman;Times;Serif"/>
          <w:b w:val="false"/>
          <w:i w:val="false"/>
          <w:caps w:val="false"/>
          <w:smallCaps w:val="false"/>
          <w:sz w:val="20"/>
        </w:rPr>
        <w:t>1,199,594 vest and are expensed on a straight line basis over a period of three months to four years. There were no shares vested, forfeited, cancelled, or modified during the year ended December 31, 2025. Total compensation expense related to time-based RSUs during the year ended December 31, 2025 was $</w:t>
      </w:r>
      <w:bookmarkStart w:id="975" w:name="xdx_909_eus-gaap--ShareBasedCompensation"/>
      <w:bookmarkEnd w:id="975"/>
      <w:r>
        <w:rPr>
          <w:rFonts w:ascii="Times New Roman;Times;Serif" w:hAnsi="Times New Roman;Times;Serif"/>
          <w:b w:val="false"/>
          <w:i w:val="false"/>
          <w:caps w:val="false"/>
          <w:smallCaps w:val="false"/>
          <w:sz w:val="20"/>
        </w:rPr>
        <w:t>59,586.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remaining </w:t>
      </w:r>
      <w:bookmarkStart w:id="976" w:name="xdx_90C_eus-gaap--SharebasedCompensation"/>
      <w:bookmarkEnd w:id="976"/>
      <w:r>
        <w:rPr>
          <w:rFonts w:ascii="Times New Roman;Times;Serif" w:hAnsi="Times New Roman;Times;Serif"/>
          <w:b w:val="false"/>
          <w:i w:val="false"/>
          <w:caps w:val="false"/>
          <w:smallCaps w:val="false"/>
          <w:sz w:val="20"/>
        </w:rPr>
        <w:t xml:space="preserve">493,608 shares vest over terms up to </w:t>
      </w:r>
      <w:bookmarkStart w:id="977" w:name="xdx_90E_eus-gaap--SharebasedCompensation"/>
      <w:bookmarkEnd w:id="977"/>
      <w:r>
        <w:rPr>
          <w:rFonts w:ascii="Times New Roman;Times;Serif" w:hAnsi="Times New Roman;Times;Serif"/>
          <w:b w:val="false"/>
          <w:i w:val="false"/>
          <w:caps w:val="false"/>
          <w:smallCaps w:val="false"/>
          <w:sz w:val="20"/>
        </w:rPr>
        <w:t>4 years upon the satisfaction of certain operational goals specified in the underlying agreements. Compensation expense for these performance-based restricted stock units is recognized in accordance with ASC 718 over the requisite service period, when achievement of the performance condition is considered probable. The Company reassesses the probability of achieving such performance conditions at each reporting period and adjusts compensation expense accordingly. To the extent applicable, compensation cost is recognized using an accelerated attribution method for awards with graded vesting features. Total compensation expense related to performance-based RSUs during the year ended December 31, 2025 was $</w:t>
      </w:r>
      <w:bookmarkStart w:id="978" w:name="xdx_905_eus-gaap--RevenueRemainingPerfor"/>
      <w:bookmarkEnd w:id="978"/>
      <w:r>
        <w:rPr>
          <w:rFonts w:ascii="Times New Roman;Times;Serif" w:hAnsi="Times New Roman;Times;Serif"/>
          <w:b w:val="false"/>
          <w:i w:val="false"/>
          <w:caps w:val="false"/>
          <w:smallCaps w:val="false"/>
          <w:sz w:val="20"/>
        </w:rPr>
        <w:t>36,830.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was $</w:t>
      </w:r>
      <w:bookmarkStart w:id="979" w:name="xdx_909_eus-gaap--EmployeeServiceShareBa"/>
      <w:bookmarkEnd w:id="979"/>
      <w:r>
        <w:rPr>
          <w:rFonts w:ascii="Times New Roman;Times;Serif" w:hAnsi="Times New Roman;Times;Serif"/>
          <w:b w:val="false"/>
          <w:i w:val="false"/>
          <w:caps w:val="false"/>
          <w:smallCaps w:val="false"/>
          <w:sz w:val="20"/>
        </w:rPr>
        <w:t>5,108,281 unrecognized compensation expense related to nonvested RSUs to be recognized through December 31,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Fully vested restricted stock awards of </w:t>
      </w:r>
      <w:bookmarkStart w:id="980" w:name="xdx_904_eus-gaap--StockIssuedDuringPerio"/>
      <w:bookmarkEnd w:id="980"/>
      <w:r>
        <w:rPr>
          <w:rFonts w:ascii="Times New Roman;Times;Serif" w:hAnsi="Times New Roman;Times;Serif"/>
          <w:b w:val="false"/>
          <w:i w:val="false"/>
          <w:caps w:val="false"/>
          <w:smallCaps w:val="false"/>
          <w:sz w:val="20"/>
        </w:rPr>
        <w:t>35,389 shares were issued under the Plan to employees during the year ended December 31, 2025 with a fair value of $</w:t>
      </w:r>
      <w:bookmarkStart w:id="981" w:name="xdx_900_eus-gaap--EmployeeBenefitsAndSha"/>
      <w:bookmarkEnd w:id="981"/>
      <w:r>
        <w:rPr>
          <w:rFonts w:ascii="Times New Roman;Times;Serif" w:hAnsi="Times New Roman;Times;Serif"/>
          <w:b w:val="false"/>
          <w:i w:val="false"/>
          <w:caps w:val="false"/>
          <w:smallCaps w:val="false"/>
          <w:sz w:val="20"/>
        </w:rPr>
        <w:t>296,102 and was recorded as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82" w:name="xdx_805_eus-gaap--CommitmentsAndContinge"/>
      <w:bookmarkEnd w:id="982"/>
      <w:r>
        <w:rPr>
          <w:rFonts w:ascii="Times New Roman;Times;Serif" w:hAnsi="Times New Roman;Times;Serif"/>
          <w:b/>
          <w:i w:val="false"/>
          <w:caps/>
          <w:sz w:val="20"/>
        </w:rPr>
        <w:t>NOTE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18 - </w:t>
      </w:r>
      <w:bookmarkStart w:id="983" w:name="xdx_826_zBpXadCBABO2"/>
      <w:bookmarkEnd w:id="983"/>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loss contingencies in accordance with ASC 450-20, </w:t>
      </w:r>
      <w:r>
        <w:rPr>
          <w:rFonts w:ascii="Times New Roman;Times;Serif" w:hAnsi="Times New Roman;Times;Serif"/>
          <w:b w:val="false"/>
          <w:i/>
          <w:caps w:val="false"/>
          <w:smallCaps w:val="false"/>
          <w:sz w:val="20"/>
        </w:rPr>
        <w:t>Contingencies — Loss Contingencies</w:t>
      </w:r>
      <w:r>
        <w:rPr>
          <w:rFonts w:ascii="Times New Roman;Times;Serif" w:hAnsi="Times New Roman;Times;Serif"/>
          <w:b w:val="false"/>
          <w:i w:val="false"/>
          <w:caps w:val="false"/>
          <w:smallCaps w:val="false"/>
          <w:sz w:val="20"/>
        </w:rPr>
        <w:t>. A liability is accrued when a loss is probable and the amount can be reasonably estimated. When a loss is reasonably possible but not probable, or when a probable loss cannot be reasonably estimated, the Company discloses the nature of the contingency and, where determinable, an estimate of the possible loss or range of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involved in various legal proceedings in the ordinary course of its business and may be subject to third-party infringement claims. In the normal course of business, the Company may agree to indemnify third parties with whom it enters into contractual relationships, including customers, lessors, and parties to other transactions with the Company, with respect to certain matters. Legal fees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2023, the Company was named as a defendant in CAUSE NO. 29 D05-2303-PL-002478, originally filed in Hamilton County, Indiana and subsequently moved to Marion County as CAUSE NO. 49 D02-2305-PL-020604. This is an employment action alleging breach of employment agreement; breach of stock purchase agreement; breach of fiduciary duties and non-payment of salary, bonuses, and benefits. Although the settlement demand includes unpaid salary and stock awards of approximately $</w:t>
      </w:r>
      <w:bookmarkStart w:id="984" w:name="xdx_90E_eus-gaap--LiabilityForUnpaidClai"/>
      <w:bookmarkEnd w:id="984"/>
      <w:r>
        <w:rPr>
          <w:rFonts w:ascii="Times New Roman;Times;Serif" w:hAnsi="Times New Roman;Times;Serif"/>
          <w:b w:val="false"/>
          <w:i w:val="false"/>
          <w:caps w:val="false"/>
          <w:smallCaps w:val="false"/>
          <w:sz w:val="20"/>
        </w:rPr>
        <w:t>29 million, the Company does not believe a loss is probable, and the Company is unable to estimate a reasonably possible loss, or range of loss, at this time. No motions are pending, and depositions are scheduled. No accrual has been recorded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2025, John Doan and Jami Town named the Company as a defendant in Case No. 3:2025cv00721, pending in U.S. District Court for the Eastern District of Virginia. Doan and Town claim the Company is in breach of contract for loans made to AirBox. The loans were extended to AirBox before the Company purchased its assets in 2023. The Company explicitly acquired only the assets of AirBox and therefore does not believe it is liable for any of its previous liabilities. The Plaintiff’s alleged damages and fees total $</w:t>
      </w:r>
      <w:bookmarkStart w:id="985" w:name="xdx_906_eus-gaap--LossContingencyDamages"/>
      <w:bookmarkEnd w:id="985"/>
      <w:r>
        <w:rPr>
          <w:rFonts w:ascii="Times New Roman;Times;Serif" w:hAnsi="Times New Roman;Times;Serif"/>
          <w:b w:val="false"/>
          <w:i w:val="false"/>
          <w:caps w:val="false"/>
          <w:smallCaps w:val="false"/>
          <w:sz w:val="20"/>
        </w:rPr>
        <w:t>45,082. The Company has filed for removal from the claim. The plaintiffs have filed to have the case remanded to Virginia state court, where it was originally filed on August 13, 2025. Since this matter is still in its initial stages, the Company is unable to predict the outcome at this time. No accrual has been recorded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2025, the Company was the plaintiff in a lawsuit Case No. 1:2025cv02026 filed in federal court in the Southern District of Indiana for misappropriation of US federal and Indiana trade secrets. The defendants are former consultants, Myron Wright, an individual, and Wright Flyer Consulting Group Inc., a Kentucky corporation. The Company is seeking compensatory and punitive damages, attorney fees and costs as well as permanent injunctive relief against the defendants requiring the immediate cessation of all transactions utilizing the Company’s Trade Secrets and return of materials constituting the Trade Secrets. Taft, Stettinius &amp; Hollister, LLP is representing the Company in the matter. Settlement negotiations are scheduled, and because the Company is the plaintiff in this matter, no loss contingency has been recorded.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 (CONTINUED)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86" w:name="xdx_806_eus-gaap--SegmentReportingDisclo"/>
      <w:bookmarkEnd w:id="986"/>
      <w:r>
        <w:rPr>
          <w:rFonts w:ascii="Times New Roman;Times;Serif" w:hAnsi="Times New Roman;Times;Serif"/>
          <w:b/>
          <w:i w:val="false"/>
          <w:caps w:val="false"/>
          <w:smallCaps w:val="false"/>
          <w:sz w:val="20"/>
        </w:rPr>
        <w:t xml:space="preserve">NOTE 19 - </w:t>
      </w:r>
      <w:bookmarkStart w:id="987" w:name="xdx_827_zsRflqI7Bxqa"/>
      <w:bookmarkEnd w:id="987"/>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determines its operating segments in accordance with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xml:space="preserve">, based on the information reviewed by the Chief Operating Decision Maker (“CODM”) for purposes of allocating resources and assessing performance. The Company operates as a </w:t>
      </w:r>
      <w:bookmarkStart w:id="988" w:name="xdx_90D_eus-gaap--NumberOfReportableSegm"/>
      <w:bookmarkEnd w:id="988"/>
      <w:r>
        <w:rPr>
          <w:rFonts w:ascii="Times New Roman;Times;Serif" w:hAnsi="Times New Roman;Times;Serif"/>
          <w:b w:val="false"/>
          <w:i w:val="false"/>
          <w:caps w:val="false"/>
          <w:smallCaps w:val="false"/>
          <w:sz w:val="20"/>
        </w:rPr>
        <w:t>1single reportable segment, as the CODM, the Chief Executive Officer (“CEO”), evaluates the business as a whole and does not receive discrete financial information for multiple business units. The CODM assesses the Company’s financial performance based on net loss, as presented in the statements of operations, and uses net loss to evaluate operating results and make resource allocation decisions.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there are no significant segment expense categories or other segment items that are regularly provided to the CODM and included in the measure of segment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Entity-Wide Disclosures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Geographic Revenue Information: For the year ended December 31, 2025, </w:t>
            </w:r>
            <w:bookmarkStart w:id="989" w:name="xdx_904_eus-gaap--ConcentrationRiskPerce"/>
            <w:bookmarkEnd w:id="989"/>
            <w:r>
              <w:rPr>
                <w:rFonts w:ascii="Times New Roman;Times;Serif" w:hAnsi="Times New Roman;Times;Serif"/>
                <w:b w:val="false"/>
                <w:i w:val="false"/>
                <w:caps w:val="false"/>
                <w:smallCaps w:val="false"/>
                <w:sz w:val="20"/>
              </w:rPr>
              <w:t>100% of the Company’s revenue was generated in the United States. The Company did not generate revenue during the year ended December 31, 2024.</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Major Customers: The Company has one customer, Hancock Health, that accounted for more than </w:t>
            </w:r>
            <w:bookmarkStart w:id="990" w:name="xdx_904_eus-gaap--ConcentrationRiskPerce"/>
            <w:bookmarkEnd w:id="990"/>
            <w:r>
              <w:rPr>
                <w:rFonts w:ascii="Times New Roman;Times;Serif" w:hAnsi="Times New Roman;Times;Serif"/>
                <w:b w:val="false"/>
                <w:i w:val="false"/>
                <w:caps w:val="false"/>
                <w:smallCaps w:val="false"/>
                <w:sz w:val="20"/>
              </w:rPr>
              <w:t>90% of total revenue.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Geographic Asset Information: Substantially all of the Company’s assets are located in the United States.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91" w:name="xdx_808_eus-gaap--SubsequentEventsTextBl"/>
      <w:bookmarkEnd w:id="991"/>
      <w:r>
        <w:rPr>
          <w:rFonts w:ascii="Times New Roman;Times;Serif" w:hAnsi="Times New Roman;Times;Serif"/>
          <w:b/>
          <w:i w:val="false"/>
          <w:caps w:val="false"/>
          <w:smallCaps w:val="false"/>
          <w:sz w:val="20"/>
        </w:rPr>
        <w:t xml:space="preserve">NOTE 20 - </w:t>
      </w:r>
      <w:bookmarkStart w:id="992" w:name="xdx_827_zt0OYiVXy4I"/>
      <w:bookmarkEnd w:id="992"/>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2026, the Company issued a convertible promissory note with a face amount of $</w:t>
      </w:r>
      <w:bookmarkStart w:id="993" w:name="xdx_904_eus-gaap--DebtInstrumentFaceAmou"/>
      <w:bookmarkEnd w:id="993"/>
      <w:r>
        <w:rPr>
          <w:rFonts w:ascii="Times New Roman;Times;Serif" w:hAnsi="Times New Roman;Times;Serif"/>
          <w:b w:val="false"/>
          <w:i w:val="false"/>
          <w:caps w:val="false"/>
          <w:smallCaps w:val="false"/>
          <w:sz w:val="20"/>
        </w:rPr>
        <w:t>10,800,000, with a $</w:t>
      </w:r>
      <w:bookmarkStart w:id="994" w:name="xdx_901_eus-gaap--DebtInstrumentIssuedPr"/>
      <w:bookmarkEnd w:id="994"/>
      <w:r>
        <w:rPr>
          <w:rFonts w:ascii="Times New Roman;Times;Serif" w:hAnsi="Times New Roman;Times;Serif"/>
          <w:b w:val="false"/>
          <w:i w:val="false"/>
          <w:caps w:val="false"/>
          <w:smallCaps w:val="false"/>
          <w:sz w:val="20"/>
        </w:rPr>
        <w:t>10,000,000 initial purchase price and an $</w:t>
      </w:r>
      <w:bookmarkStart w:id="995" w:name="xdx_909_eus-gaap--DebtInstrumentUnamorti"/>
      <w:bookmarkEnd w:id="995"/>
      <w:r>
        <w:rPr>
          <w:rFonts w:ascii="Times New Roman;Times;Serif" w:hAnsi="Times New Roman;Times;Serif"/>
          <w:b w:val="false"/>
          <w:i w:val="false"/>
          <w:caps w:val="false"/>
          <w:smallCaps w:val="false"/>
          <w:sz w:val="20"/>
        </w:rPr>
        <w:t>800,000 original issue discount, to Streeterville pursuant to the Purchase Agreement described in NOTE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2026, Streeterville converted $</w:t>
      </w:r>
      <w:bookmarkStart w:id="996" w:name="xdx_904_eus-gaap--DebtConversionConverte"/>
      <w:bookmarkEnd w:id="996"/>
      <w:r>
        <w:rPr>
          <w:rFonts w:ascii="Times New Roman;Times;Serif" w:hAnsi="Times New Roman;Times;Serif"/>
          <w:b w:val="false"/>
          <w:i w:val="false"/>
          <w:caps w:val="false"/>
          <w:smallCaps w:val="false"/>
          <w:sz w:val="20"/>
        </w:rPr>
        <w:t xml:space="preserve">5,000,000 of principal under the note into </w:t>
      </w:r>
      <w:bookmarkStart w:id="997" w:name="xdx_90B_eus-gaap--StockIssuedDuringPerio"/>
      <w:bookmarkEnd w:id="997"/>
      <w:r>
        <w:rPr>
          <w:rFonts w:ascii="Times New Roman;Times;Serif" w:hAnsi="Times New Roman;Times;Serif"/>
          <w:b w:val="false"/>
          <w:i w:val="false"/>
          <w:caps w:val="false"/>
          <w:smallCaps w:val="false"/>
          <w:sz w:val="20"/>
        </w:rPr>
        <w:t>2,221,136 shares of common stock. On February 18, 2026, $</w:t>
      </w:r>
      <w:bookmarkStart w:id="998" w:name="xdx_90D_eus-gaap--StockIssuedDuringPerio"/>
      <w:bookmarkEnd w:id="998"/>
      <w:r>
        <w:rPr>
          <w:rFonts w:ascii="Times New Roman;Times;Serif" w:hAnsi="Times New Roman;Times;Serif"/>
          <w:b w:val="false"/>
          <w:i w:val="false"/>
          <w:caps w:val="false"/>
          <w:smallCaps w:val="false"/>
          <w:sz w:val="20"/>
        </w:rPr>
        <w:t xml:space="preserve">300,000 of principal was converted into </w:t>
      </w:r>
      <w:bookmarkStart w:id="999" w:name="xdx_90B_eus-gaap--StockIssuedDuringPerio"/>
      <w:bookmarkEnd w:id="999"/>
      <w:r>
        <w:rPr>
          <w:rFonts w:ascii="Times New Roman;Times;Serif" w:hAnsi="Times New Roman;Times;Serif"/>
          <w:b w:val="false"/>
          <w:i w:val="false"/>
          <w:caps w:val="false"/>
          <w:smallCaps w:val="false"/>
          <w:sz w:val="20"/>
        </w:rPr>
        <w:t>297,855 shares of common stock; on March 3, 2026, $</w:t>
      </w:r>
      <w:bookmarkStart w:id="1000" w:name="xdx_90F_eus-gaap--StockIssuedDuringPerio"/>
      <w:bookmarkEnd w:id="1000"/>
      <w:r>
        <w:rPr>
          <w:rFonts w:ascii="Times New Roman;Times;Serif" w:hAnsi="Times New Roman;Times;Serif"/>
          <w:b w:val="false"/>
          <w:i w:val="false"/>
          <w:caps w:val="false"/>
          <w:smallCaps w:val="false"/>
          <w:sz w:val="20"/>
        </w:rPr>
        <w:t xml:space="preserve">275,000 of principal was converted into </w:t>
      </w:r>
      <w:bookmarkStart w:id="1001" w:name="xdx_900_eus-gaap--StockIssuedDuringPerio"/>
      <w:bookmarkEnd w:id="1001"/>
      <w:r>
        <w:rPr>
          <w:rFonts w:ascii="Times New Roman;Times;Serif" w:hAnsi="Times New Roman;Times;Serif"/>
          <w:b w:val="false"/>
          <w:i w:val="false"/>
          <w:caps w:val="false"/>
          <w:smallCaps w:val="false"/>
          <w:sz w:val="20"/>
        </w:rPr>
        <w:t>287,656 shares; on March 18, 2026, $</w:t>
      </w:r>
      <w:bookmarkStart w:id="1002" w:name="xdx_90F_eus-gaap--StockIssuedDuringPerio"/>
      <w:bookmarkEnd w:id="1002"/>
      <w:r>
        <w:rPr>
          <w:rFonts w:ascii="Times New Roman;Times;Serif" w:hAnsi="Times New Roman;Times;Serif"/>
          <w:b w:val="false"/>
          <w:i w:val="false"/>
          <w:caps w:val="false"/>
          <w:smallCaps w:val="false"/>
          <w:sz w:val="20"/>
        </w:rPr>
        <w:t xml:space="preserve">450,000 of principal was converted into </w:t>
      </w:r>
      <w:bookmarkStart w:id="1003" w:name="xdx_901_eus-gaap--StockIssuedDuringPerio"/>
      <w:bookmarkEnd w:id="1003"/>
      <w:r>
        <w:rPr>
          <w:rFonts w:ascii="Times New Roman;Times;Serif" w:hAnsi="Times New Roman;Times;Serif"/>
          <w:b w:val="false"/>
          <w:i w:val="false"/>
          <w:caps w:val="false"/>
          <w:smallCaps w:val="false"/>
          <w:sz w:val="20"/>
        </w:rPr>
        <w:t>522,830 shares; and on April 9, 2026, $</w:t>
      </w:r>
      <w:bookmarkStart w:id="1004" w:name="xdx_900_eus-gaap--StockIssuedDuringPerio"/>
      <w:bookmarkEnd w:id="1004"/>
      <w:r>
        <w:rPr>
          <w:rFonts w:ascii="Times New Roman;Times;Serif" w:hAnsi="Times New Roman;Times;Serif"/>
          <w:b w:val="false"/>
          <w:i w:val="false"/>
          <w:caps w:val="false"/>
          <w:smallCaps w:val="false"/>
          <w:sz w:val="20"/>
        </w:rPr>
        <w:t xml:space="preserve">5,319,001 of principal was converted into </w:t>
      </w:r>
      <w:bookmarkStart w:id="1005" w:name="xdx_909_eus-gaap--StockIssuedDuringPerio"/>
      <w:bookmarkEnd w:id="1005"/>
      <w:r>
        <w:rPr>
          <w:rFonts w:ascii="Times New Roman;Times;Serif" w:hAnsi="Times New Roman;Times;Serif"/>
          <w:b w:val="false"/>
          <w:i w:val="false"/>
          <w:caps w:val="false"/>
          <w:smallCaps w:val="false"/>
          <w:sz w:val="20"/>
        </w:rPr>
        <w:t>10,000,000 shares. In aggregate, $</w:t>
      </w:r>
      <w:bookmarkStart w:id="1006" w:name="xdx_902_eus-gaap--StockIssuedDuringPerio"/>
      <w:bookmarkEnd w:id="1006"/>
      <w:r>
        <w:rPr>
          <w:rFonts w:ascii="Times New Roman;Times;Serif" w:hAnsi="Times New Roman;Times;Serif"/>
          <w:b w:val="false"/>
          <w:i w:val="false"/>
          <w:caps w:val="false"/>
          <w:smallCaps w:val="false"/>
          <w:sz w:val="20"/>
        </w:rPr>
        <w:t xml:space="preserve">11,344,001 of principal has been converted into </w:t>
      </w:r>
      <w:bookmarkStart w:id="1007" w:name="xdx_90A_eus-gaap--StockIssuedDuringPerio"/>
      <w:bookmarkEnd w:id="1007"/>
      <w:r>
        <w:rPr>
          <w:rFonts w:ascii="Times New Roman;Times;Serif" w:hAnsi="Times New Roman;Times;Serif"/>
          <w:b w:val="false"/>
          <w:i w:val="false"/>
          <w:caps w:val="false"/>
          <w:smallCaps w:val="false"/>
          <w:sz w:val="20"/>
        </w:rPr>
        <w:t>13,329,477 shares of common stock subsequent to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conversion requires remeasurement of the pro-rata portion of the bifurcated derivative liability to fair value as of the applicable conversion date, with the resulting change in fair value recognized in earnings, and derecognition of both the host carrying value and derivative fair value attributable to the converted principal. The fair value of the bifurcated derivative at each post-balance sheet conversion date has not been determined as of the date these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3, 2026, the Company issued </w:t>
      </w:r>
      <w:bookmarkStart w:id="1008" w:name="xdx_905_eus-gaap--StockIssuedDuringPerio"/>
      <w:bookmarkEnd w:id="1008"/>
      <w:r>
        <w:rPr>
          <w:rFonts w:ascii="Times New Roman;Times;Serif" w:hAnsi="Times New Roman;Times;Serif"/>
          <w:b w:val="false"/>
          <w:i w:val="false"/>
          <w:caps w:val="false"/>
          <w:smallCaps w:val="false"/>
          <w:sz w:val="20"/>
        </w:rPr>
        <w:t>118,343 shares of common stock to a vendor in exchange for consulting and media services with fair value of $</w:t>
      </w:r>
      <w:bookmarkStart w:id="1009" w:name="xdx_90F_eus-gaap--StockIssuedDuringPerio"/>
      <w:bookmarkEnd w:id="1009"/>
      <w:r>
        <w:rPr>
          <w:rFonts w:ascii="Times New Roman;Times;Serif" w:hAnsi="Times New Roman;Times;Serif"/>
          <w:b w:val="false"/>
          <w:i w:val="false"/>
          <w:caps w:val="false"/>
          <w:smallCaps w:val="false"/>
          <w:sz w:val="20"/>
        </w:rPr>
        <w:t>200,000, based on the share price on the date of issuance.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2026, the Company entered into a Loan Agreement pursuant to which it agreed to provide a bridge loan of up to $</w:t>
      </w:r>
      <w:bookmarkStart w:id="1010" w:name="xdx_905_eus-gaap--BridgeLoan_iI_c2026020"/>
      <w:bookmarkEnd w:id="1010"/>
      <w:r>
        <w:rPr>
          <w:rFonts w:ascii="Times New Roman;Times;Serif" w:hAnsi="Times New Roman;Times;Serif"/>
          <w:b w:val="false"/>
          <w:i w:val="false"/>
          <w:caps w:val="false"/>
          <w:smallCaps w:val="false"/>
          <w:sz w:val="20"/>
        </w:rPr>
        <w:t>400,000 in aggregate principal to a third-party borrower. The loan is secured by a first-priority security interest in all assets of the borrower. The loan is structured as a</w:t>
      </w:r>
      <w:bookmarkStart w:id="1011" w:name="xdx_907_eus-gaap--DebtInstrumentTerm_dtM"/>
      <w:bookmarkEnd w:id="1011"/>
      <w:r>
        <w:rPr>
          <w:rFonts w:ascii="Times New Roman;Times;Serif" w:hAnsi="Times New Roman;Times;Serif"/>
          <w:b w:val="false"/>
          <w:i w:val="false"/>
          <w:caps w:val="false"/>
          <w:smallCaps w:val="false"/>
          <w:sz w:val="20"/>
        </w:rPr>
        <w:t xml:space="preserve"> 24-month term loan bearing interest at </w:t>
      </w:r>
      <w:bookmarkStart w:id="1012" w:name="xdx_905_eus-gaap--DebtInstrumentInterest"/>
      <w:bookmarkEnd w:id="1012"/>
      <w:r>
        <w:rPr>
          <w:rFonts w:ascii="Times New Roman;Times;Serif" w:hAnsi="Times New Roman;Times;Serif"/>
          <w:b w:val="false"/>
          <w:i w:val="false"/>
          <w:caps w:val="false"/>
          <w:smallCaps w:val="false"/>
          <w:sz w:val="20"/>
        </w:rPr>
        <w:t>40% per annum, compounded monthly, and no prepayment penalty. Currently the company has extended $</w:t>
      </w:r>
      <w:bookmarkStart w:id="1013" w:name="xdx_906_ecustom--BridgeLoanExtended_c202"/>
      <w:bookmarkEnd w:id="1013"/>
      <w:r>
        <w:rPr>
          <w:rFonts w:ascii="Times New Roman;Times;Serif" w:hAnsi="Times New Roman;Times;Serif"/>
          <w:b w:val="false"/>
          <w:i w:val="false"/>
          <w:caps w:val="false"/>
          <w:smallCaps w:val="false"/>
          <w:sz w:val="20"/>
        </w:rPr>
        <w:t>200,000.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the Company received a notification letter (the “Notification Letter on MVPHS”) from The Nasdaq Stock Market LLC (“Nasdaq”) that the Company is not in compliance with the minimum Market Value of Publicly Held Shares (the “MVPHS”) set forth in Nasdaq Listing Rule 5450(b)(2)(C) for continued listing on Nasdaq, which requires a minimum MVPHS of $</w:t>
      </w:r>
      <w:bookmarkStart w:id="1014" w:name="xdx_90F_eus-gaap--MoneyMarketFundsAtCarr"/>
      <w:bookmarkEnd w:id="1014"/>
      <w:r>
        <w:rPr>
          <w:rFonts w:ascii="Times New Roman;Times;Serif" w:hAnsi="Times New Roman;Times;Serif"/>
          <w:b w:val="false"/>
          <w:i w:val="false"/>
          <w:caps w:val="false"/>
          <w:smallCaps w:val="false"/>
          <w:sz w:val="20"/>
        </w:rPr>
        <w:t>15,000,000 (the “MVPHS Requirement”), since the Company failed to meet the MVPHS Requirement for a period of 30 consecutive business days from February 11, 2026 to March 31, 2026. The Notification Letter on MVPHS has no immediate effect on the listing or trading of the common stock, par value $</w:t>
      </w:r>
      <w:bookmarkStart w:id="1015" w:name="xdx_903_eus-gaap--InvestmentCompanyMarke"/>
      <w:bookmarkEnd w:id="1015"/>
      <w:r>
        <w:rPr>
          <w:rFonts w:ascii="Times New Roman;Times;Serif" w:hAnsi="Times New Roman;Times;Serif"/>
          <w:b w:val="false"/>
          <w:i w:val="false"/>
          <w:caps w:val="false"/>
          <w:smallCaps w:val="false"/>
          <w:sz w:val="20"/>
        </w:rPr>
        <w:t>0.0002 per share, of the Company (“Common Stock”) on Nasdaq and, as of March 31, 2026, the Common Stock will continue to trade on Nasdaq under the symbol “ARAI.”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Notification Letter on MVPHS provides that pursuant to Nasdaq Listing Rule 5810(c)(3)(D), the Company has 180 calendar days, or until September 28, 2026, to regain compliance with Nasdaq Listing Rule 5450(b)(2)(C). To regain compliance, the minimum MVPHS must be at least $</w:t>
      </w:r>
      <w:bookmarkStart w:id="1016" w:name="xdx_90F_eus-gaap--MoneyMarketFundsAtCarr"/>
      <w:bookmarkEnd w:id="1016"/>
      <w:r>
        <w:rPr>
          <w:rFonts w:ascii="Times New Roman;Times;Serif" w:hAnsi="Times New Roman;Times;Serif"/>
          <w:b w:val="false"/>
          <w:i w:val="false"/>
          <w:caps w:val="false"/>
          <w:smallCaps w:val="false"/>
          <w:sz w:val="20"/>
        </w:rPr>
        <w:t>15,000,000 or more for a minimum of 10 consecutive business days prior to September 28, 2026. If the Company does not regain compliance by September 28, 2026, the Company will receive written notification from Nasdaq that its securities are subject to delisting. Alternatively, the Company may consider applying for a transfer to The Nasdaq Capital Market (the “Capital Market”). In order to transfer, the Company must submit an on-line transfer application, and meet the Capital Market’s continued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March 31, 2026, the Company received a separate notification letter (the “Notification Letter on MVLS”) from Nasdaq, indicating that the Company was no longer in compliance with the minimum Market Value of Listed Securities (“MVLS”) of $</w:t>
      </w:r>
      <w:bookmarkStart w:id="1017" w:name="xdx_90D_eus-gaap--MoneyMarketFundsAtCarr"/>
      <w:bookmarkEnd w:id="1017"/>
      <w:r>
        <w:rPr>
          <w:rFonts w:ascii="Times New Roman;Times;Serif" w:hAnsi="Times New Roman;Times;Serif"/>
          <w:b w:val="false"/>
          <w:i w:val="false"/>
          <w:caps w:val="false"/>
          <w:smallCaps w:val="false"/>
          <w:sz w:val="20"/>
        </w:rPr>
        <w:t>50,000,000 required for continued listing on The Nasdaq Global Market, as set forth in Nasdaq Listing Rule 5450(b)(2)(A) (the “MVLS Requirement”) since the Company failed to meet the MVLS Requirement for a period of 30 consecutive business days from February 10, 2026 to March 30, 2026. The Notification Letter on MVLS has no immediate effect on the listing or trading of the Common Stock on Nasdaq and, as of March 31, 2026, the Common Stock will continue to trade on Nasdaq under the symbol “ARAI.”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Listing Rule 5810(c)(3)(C), the Company has a period of 180 calendar days, or until September 28, 2026, to regain compliance with the MVLS Requirement. To regain compliance, the Company’s MVLS must close at $</w:t>
      </w:r>
      <w:bookmarkStart w:id="1018" w:name="xdx_90D_eus-gaap--MoneyMarketFundsAtCarr"/>
      <w:bookmarkEnd w:id="1018"/>
      <w:r>
        <w:rPr>
          <w:rFonts w:ascii="Times New Roman;Times;Serif" w:hAnsi="Times New Roman;Times;Serif"/>
          <w:b w:val="false"/>
          <w:i w:val="false"/>
          <w:caps w:val="false"/>
          <w:smallCaps w:val="false"/>
          <w:sz w:val="20"/>
        </w:rPr>
        <w:t>50,000,000 or more for a minimum of 10 consecutive business days prior to September 28, 2026. If the Company does not regain compliance by September 28, 2026, the Company will receive written notification from Nasdaq that its securities are subject to delisting. Alternatively, the Company may consider applying for a transfer to the Capital Market. In order to transfer, the Company must submit an on-line transfer application, and meet the Capital Market’s continued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monitor the MVPHS Requirement and MVLS Requirement of its Common Stock and will consider implementing available options to regain compliance with the MVPHS Requirement and MVLS Requirement under the Nasdaq Listing Rules.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2026, the Company issued </w:t>
      </w:r>
      <w:bookmarkStart w:id="1019" w:name="xdx_90F_eus-gaap--StockIssuedDuringPerio"/>
      <w:bookmarkEnd w:id="1019"/>
      <w:r>
        <w:rPr>
          <w:rFonts w:ascii="Times New Roman;Times;Serif" w:hAnsi="Times New Roman;Times;Serif"/>
          <w:b w:val="false"/>
          <w:i w:val="false"/>
          <w:caps w:val="false"/>
          <w:smallCaps w:val="false"/>
          <w:sz w:val="20"/>
        </w:rPr>
        <w:t xml:space="preserve">70,184 shares of common stock, net of taxes, upon the vesting of </w:t>
      </w:r>
      <w:bookmarkStart w:id="1020" w:name="xdx_90B_eus-gaap--StockIssuedDuringPerio"/>
      <w:bookmarkEnd w:id="1020"/>
      <w:r>
        <w:rPr>
          <w:rFonts w:ascii="Times New Roman;Times;Serif" w:hAnsi="Times New Roman;Times;Serif"/>
          <w:b w:val="false"/>
          <w:i w:val="false"/>
          <w:caps w:val="false"/>
          <w:smallCaps w:val="false"/>
          <w:sz w:val="20"/>
        </w:rPr>
        <w:t>102,492 restricted stock units to three officers, at a fair value of $</w:t>
      </w:r>
      <w:bookmarkStart w:id="1021" w:name="xdx_900_eus-gaap--StockIssuedDuringPerio"/>
      <w:bookmarkEnd w:id="1021"/>
      <w:r>
        <w:rPr>
          <w:rFonts w:ascii="Times New Roman;Times;Serif" w:hAnsi="Times New Roman;Times;Serif"/>
          <w:b w:val="false"/>
          <w:i w:val="false"/>
          <w:caps w:val="false"/>
          <w:smallCaps w:val="false"/>
          <w:sz w:val="20"/>
        </w:rPr>
        <w:t>56,147.</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2026, the Company’s tenth U.S. patent was issued. Patent number </w:t>
      </w:r>
      <w:bookmarkStart w:id="1022" w:name="xdx_90F_eus-gaap--StockRepurchasedAndRet"/>
      <w:bookmarkEnd w:id="1022"/>
      <w:r>
        <w:rPr>
          <w:rFonts w:ascii="Times New Roman;Times;Serif" w:hAnsi="Times New Roman;Times;Serif"/>
          <w:b w:val="false"/>
          <w:i w:val="false"/>
          <w:caps w:val="false"/>
          <w:smallCaps w:val="false"/>
          <w:sz w:val="20"/>
        </w:rPr>
        <w:t>12,591,840 is for multi-users such as offices and retirement villages.</w:t>
      </w:r>
    </w:p>
    <w:p>
      <w:pPr>
        <w:pStyle w:val="TextBody"/>
        <w:bidi w:val="0"/>
        <w:jc w:val="both"/>
        <w:rPr>
          <w:caps w:val="false"/>
          <w:smallCaps w:val="false"/>
        </w:rPr>
      </w:pPr>
      <w:bookmarkStart w:id="1023" w:name="xdx_81C_znkxUzR8weC1"/>
      <w:bookmarkEnd w:id="102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24" w:name="a_029"/>
      <w:bookmarkEnd w:id="1024"/>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485" w:type="dxa"/>
        <w:jc w:val="left"/>
        <w:tblInd w:w="0" w:type="dxa"/>
        <w:tblLayout w:type="fixed"/>
        <w:tblCellMar>
          <w:top w:w="0" w:type="dxa"/>
          <w:left w:w="0" w:type="dxa"/>
          <w:bottom w:w="0" w:type="dxa"/>
          <w:right w:w="0" w:type="dxa"/>
        </w:tblCellMar>
      </w:tblPr>
      <w:tblGrid>
        <w:gridCol w:w="1805"/>
        <w:gridCol w:w="320"/>
        <w:gridCol w:w="2360"/>
      </w:tblGrid>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26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April 15,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O’Toole</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this Annual Report on Form 10-K has been signed by the following persons in the capacities indicated on the date indicated.</w:t>
      </w:r>
    </w:p>
    <w:p>
      <w:pPr>
        <w:pStyle w:val="TextBody"/>
        <w:bidi w:val="0"/>
        <w:spacing w:before="0" w:after="0"/>
        <w:ind w:left="0" w:right="0" w:hanging="0"/>
        <w:jc w:val="both"/>
        <w:rPr>
          <w:caps w:val="false"/>
          <w:smallCaps w:val="false"/>
        </w:rPr>
      </w:pPr>
      <w:r>
        <w:rPr>
          <w:caps w:val="false"/>
          <w:smallCaps w:val="false"/>
        </w:rPr>
        <w:t> </w:t>
      </w:r>
    </w:p>
    <w:tbl>
      <w:tblPr>
        <w:tblW w:w="8280" w:type="dxa"/>
        <w:jc w:val="left"/>
        <w:tblInd w:w="0" w:type="dxa"/>
        <w:tblLayout w:type="fixed"/>
        <w:tblCellMar>
          <w:top w:w="0" w:type="dxa"/>
          <w:left w:w="0" w:type="dxa"/>
          <w:bottom w:w="28" w:type="dxa"/>
          <w:right w:w="0" w:type="dxa"/>
        </w:tblCellMar>
      </w:tblPr>
      <w:tblGrid>
        <w:gridCol w:w="1730"/>
        <w:gridCol w:w="60"/>
        <w:gridCol w:w="5210"/>
        <w:gridCol w:w="60"/>
        <w:gridCol w:w="1220"/>
      </w:tblGrid>
      <w:tr>
        <w:trPr/>
        <w:tc>
          <w:tcPr>
            <w:tcW w:w="1730" w:type="dxa"/>
            <w:tcBorders>
              <w:bottom w:val="single" w:sz="8" w:space="0" w:color="000000"/>
            </w:tcBorders>
            <w:vAlign w:val="center"/>
          </w:tcPr>
          <w:p>
            <w:pPr>
              <w:pStyle w:val="TableContents"/>
              <w:bidi w:val="0"/>
              <w:spacing w:before="0" w:after="283"/>
              <w:jc w:val="center"/>
              <w:rPr>
                <w:b/>
                <w:sz w:val="20"/>
              </w:rPr>
            </w:pPr>
            <w:r>
              <w:rPr>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5210" w:type="dxa"/>
            <w:tcBorders>
              <w:bottom w:val="single" w:sz="8"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left"/>
              <w:rPr/>
            </w:pPr>
            <w:r>
              <w:rPr/>
              <w:t> </w:t>
            </w:r>
          </w:p>
        </w:tc>
        <w:tc>
          <w:tcPr>
            <w:tcW w:w="1220" w:type="dxa"/>
            <w:tcBorders>
              <w:bottom w:val="single" w:sz="8" w:space="0" w:color="000000"/>
            </w:tcBorders>
            <w:vAlign w:val="center"/>
          </w:tcPr>
          <w:p>
            <w:pPr>
              <w:pStyle w:val="TableContents"/>
              <w:bidi w:val="0"/>
              <w:spacing w:before="0" w:after="283"/>
              <w:jc w:val="center"/>
              <w:rPr>
                <w:b/>
                <w:sz w:val="20"/>
              </w:rPr>
            </w:pPr>
            <w:r>
              <w:rPr>
                <w:b/>
                <w:sz w:val="20"/>
              </w:rPr>
              <w:t>Date</w:t>
            </w:r>
          </w:p>
        </w:tc>
      </w:tr>
      <w:tr>
        <w:trPr/>
        <w:tc>
          <w:tcPr>
            <w:tcW w:w="1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sz w:val="20"/>
              </w:rPr>
            </w:pPr>
            <w:r>
              <w:rPr>
                <w:sz w:val="20"/>
              </w:rPr>
              <w:t>Chief Executive Officer, and 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sz w:val="20"/>
              </w:rPr>
            </w:pPr>
            <w:r>
              <w:rPr>
                <w:sz w:val="20"/>
              </w:rPr>
              <w:t>April 15, 2026</w:t>
            </w:r>
          </w:p>
        </w:tc>
      </w:tr>
      <w:tr>
        <w:trPr/>
        <w:tc>
          <w:tcPr>
            <w:tcW w:w="1730" w:type="dxa"/>
            <w:tcBorders>
              <w:bottom w:val="single" w:sz="8" w:space="0" w:color="000000"/>
            </w:tcBorders>
            <w:vAlign w:val="center"/>
          </w:tcPr>
          <w:p>
            <w:pPr>
              <w:pStyle w:val="TableContents"/>
              <w:bidi w:val="0"/>
              <w:spacing w:before="0" w:after="283"/>
              <w:jc w:val="both"/>
              <w:rPr>
                <w:i/>
                <w:sz w:val="20"/>
              </w:rPr>
            </w:pPr>
            <w:r>
              <w:rPr>
                <w:i/>
                <w:sz w:val="20"/>
              </w:rPr>
              <w:t>/s/ Daniel S, O’Toole</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sz w:val="20"/>
              </w:rPr>
            </w:pPr>
            <w:r>
              <w:rPr>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before="0" w:after="283"/>
              <w:jc w:val="both"/>
              <w:rPr>
                <w:sz w:val="20"/>
              </w:rPr>
            </w:pPr>
            <w:r>
              <w:rPr>
                <w:sz w:val="20"/>
              </w:rPr>
              <w:t>Daniel S. O’Toole</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sz w:val="20"/>
              </w:rPr>
            </w:pPr>
            <w:r>
              <w:rPr>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sz w:val="20"/>
              </w:rPr>
            </w:pPr>
            <w:r>
              <w:rPr>
                <w:sz w:val="20"/>
              </w:rPr>
              <w:t>April 15, 2026</w:t>
            </w:r>
          </w:p>
        </w:tc>
      </w:tr>
      <w:tr>
        <w:trPr/>
        <w:tc>
          <w:tcPr>
            <w:tcW w:w="1730" w:type="dxa"/>
            <w:tcBorders>
              <w:bottom w:val="single" w:sz="8" w:space="0" w:color="000000"/>
            </w:tcBorders>
            <w:vAlign w:val="center"/>
          </w:tcPr>
          <w:p>
            <w:pPr>
              <w:pStyle w:val="TableContents"/>
              <w:bidi w:val="0"/>
              <w:spacing w:before="0" w:after="283"/>
              <w:jc w:val="left"/>
              <w:rPr>
                <w:i/>
                <w:sz w:val="20"/>
              </w:rPr>
            </w:pPr>
            <w:r>
              <w:rPr>
                <w:i/>
                <w:sz w:val="20"/>
              </w:rPr>
              <w:t>/s/ Todd Pepmeier</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sz w:val="20"/>
              </w:rPr>
            </w:pPr>
            <w:r>
              <w:rPr>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before="0" w:after="283"/>
              <w:jc w:val="both"/>
              <w:rPr>
                <w:sz w:val="20"/>
              </w:rPr>
            </w:pPr>
            <w:r>
              <w:rPr>
                <w:sz w:val="20"/>
              </w:rPr>
              <w:t>Todd Pepmeier</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1730" w:type="dxa"/>
            <w:tcBorders>
              <w:bottom w:val="single" w:sz="8" w:space="0" w:color="000000"/>
            </w:tcBorders>
            <w:vAlign w:val="center"/>
          </w:tcPr>
          <w:p>
            <w:pPr>
              <w:pStyle w:val="TableContents"/>
              <w:bidi w:val="0"/>
              <w:spacing w:before="0" w:after="283"/>
              <w:jc w:val="left"/>
              <w:rPr>
                <w:i/>
                <w:sz w:val="20"/>
              </w:rPr>
            </w:pPr>
            <w:r>
              <w:rPr>
                <w:i/>
                <w:sz w:val="20"/>
              </w:rPr>
              <w:t>/s/ Mark Hamm</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sz w:val="20"/>
              </w:rPr>
            </w:pPr>
            <w:r>
              <w:rPr>
                <w:sz w:val="20"/>
              </w:rPr>
              <w:t>Chief Operating Officer and Director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sz w:val="20"/>
              </w:rPr>
            </w:pPr>
            <w:r>
              <w:rPr>
                <w:sz w:val="20"/>
              </w:rPr>
              <w:t>April 15, 2026</w:t>
            </w:r>
          </w:p>
        </w:tc>
      </w:tr>
      <w:tr>
        <w:trPr/>
        <w:tc>
          <w:tcPr>
            <w:tcW w:w="1730" w:type="dxa"/>
            <w:tcBorders/>
            <w:tcMar>
              <w:bottom w:w="0" w:type="dxa"/>
            </w:tcMar>
            <w:vAlign w:val="center"/>
          </w:tcPr>
          <w:p>
            <w:pPr>
              <w:pStyle w:val="TableContents"/>
              <w:bidi w:val="0"/>
              <w:spacing w:before="0" w:after="283"/>
              <w:jc w:val="both"/>
              <w:rPr>
                <w:sz w:val="20"/>
              </w:rPr>
            </w:pPr>
            <w:r>
              <w:rPr>
                <w:sz w:val="20"/>
              </w:rPr>
              <w:t>Mark Hamm</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1730" w:type="dxa"/>
            <w:tcBorders>
              <w:bottom w:val="single" w:sz="8" w:space="0" w:color="000000"/>
            </w:tcBorders>
            <w:vAlign w:val="center"/>
          </w:tcPr>
          <w:p>
            <w:pPr>
              <w:pStyle w:val="TableContents"/>
              <w:bidi w:val="0"/>
              <w:spacing w:before="0" w:after="283"/>
              <w:jc w:val="left"/>
              <w:rPr>
                <w:i/>
                <w:sz w:val="20"/>
              </w:rPr>
            </w:pPr>
            <w:r>
              <w:rPr>
                <w:i/>
                <w:sz w:val="20"/>
              </w:rPr>
              <w:t>/s/ Neerav Shah</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sz w:val="20"/>
              </w:rPr>
            </w:pPr>
            <w:r>
              <w:rPr>
                <w:sz w:val="20"/>
              </w:rPr>
              <w:t>Chief Strategy Officer and Director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sz w:val="20"/>
              </w:rPr>
            </w:pPr>
            <w:r>
              <w:rPr>
                <w:sz w:val="20"/>
              </w:rPr>
              <w:t>April 15, 2026</w:t>
            </w:r>
          </w:p>
        </w:tc>
      </w:tr>
      <w:tr>
        <w:trPr/>
        <w:tc>
          <w:tcPr>
            <w:tcW w:w="1730" w:type="dxa"/>
            <w:tcBorders/>
            <w:tcMar>
              <w:bottom w:w="0" w:type="dxa"/>
            </w:tcMar>
            <w:vAlign w:val="center"/>
          </w:tcPr>
          <w:p>
            <w:pPr>
              <w:pStyle w:val="TableContents"/>
              <w:bidi w:val="0"/>
              <w:spacing w:before="0" w:after="283"/>
              <w:jc w:val="both"/>
              <w:rPr>
                <w:sz w:val="20"/>
              </w:rPr>
            </w:pPr>
            <w:r>
              <w:rPr>
                <w:sz w:val="20"/>
              </w:rPr>
              <w:t>Neerav Shah</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1730" w:type="dxa"/>
            <w:tcBorders>
              <w:bottom w:val="single" w:sz="8" w:space="0" w:color="000000"/>
            </w:tcBorders>
            <w:vAlign w:val="center"/>
          </w:tcPr>
          <w:p>
            <w:pPr>
              <w:pStyle w:val="TableContents"/>
              <w:bidi w:val="0"/>
              <w:spacing w:before="0" w:after="283"/>
              <w:jc w:val="left"/>
              <w:rPr>
                <w:i/>
                <w:sz w:val="20"/>
              </w:rPr>
            </w:pPr>
            <w:r>
              <w:rPr>
                <w:i/>
                <w:sz w:val="20"/>
              </w:rPr>
              <w:t>/s/ John Ritcheson</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sz w:val="20"/>
              </w:rPr>
            </w:pPr>
            <w:r>
              <w:rPr>
                <w:sz w:val="20"/>
              </w:rPr>
              <w:t>Chief Legal Officer and Director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sz w:val="20"/>
              </w:rPr>
            </w:pPr>
            <w:r>
              <w:rPr>
                <w:sz w:val="20"/>
              </w:rPr>
              <w:t>April 15, 2026</w:t>
            </w:r>
          </w:p>
        </w:tc>
      </w:tr>
      <w:tr>
        <w:trPr/>
        <w:tc>
          <w:tcPr>
            <w:tcW w:w="1730" w:type="dxa"/>
            <w:tcBorders/>
            <w:tcMar>
              <w:bottom w:w="0" w:type="dxa"/>
            </w:tcMar>
            <w:vAlign w:val="center"/>
          </w:tcPr>
          <w:p>
            <w:pPr>
              <w:pStyle w:val="TableContents"/>
              <w:bidi w:val="0"/>
              <w:spacing w:before="0" w:after="283"/>
              <w:jc w:val="both"/>
              <w:rPr>
                <w:sz w:val="20"/>
              </w:rPr>
            </w:pPr>
            <w:r>
              <w:rPr>
                <w:sz w:val="20"/>
              </w:rPr>
              <w:t>John Ritchison</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1730" w:type="dxa"/>
            <w:tcBorders>
              <w:bottom w:val="single" w:sz="8" w:space="0" w:color="000000"/>
            </w:tcBorders>
            <w:vAlign w:val="center"/>
          </w:tcPr>
          <w:p>
            <w:pPr>
              <w:pStyle w:val="TableContents"/>
              <w:bidi w:val="0"/>
              <w:spacing w:before="0" w:after="283"/>
              <w:jc w:val="left"/>
              <w:rPr>
                <w:i/>
                <w:sz w:val="20"/>
              </w:rPr>
            </w:pPr>
            <w:r>
              <w:rPr>
                <w:i/>
                <w:sz w:val="20"/>
              </w:rPr>
              <w:t>/s/ John Gallina</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sz w:val="20"/>
              </w:rPr>
            </w:pPr>
            <w:r>
              <w:rPr>
                <w:sz w:val="20"/>
              </w:rPr>
              <w:t>April 15, 2026</w:t>
            </w:r>
          </w:p>
        </w:tc>
      </w:tr>
      <w:tr>
        <w:trPr/>
        <w:tc>
          <w:tcPr>
            <w:tcW w:w="1730" w:type="dxa"/>
            <w:tcBorders/>
            <w:tcMar>
              <w:bottom w:w="0" w:type="dxa"/>
            </w:tcMar>
            <w:vAlign w:val="center"/>
          </w:tcPr>
          <w:p>
            <w:pPr>
              <w:pStyle w:val="TableContents"/>
              <w:bidi w:val="0"/>
              <w:spacing w:before="0" w:after="283"/>
              <w:jc w:val="both"/>
              <w:rPr>
                <w:sz w:val="20"/>
              </w:rPr>
            </w:pPr>
            <w:r>
              <w:rPr>
                <w:sz w:val="20"/>
              </w:rPr>
              <w:t>John Gallina</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1730" w:type="dxa"/>
            <w:tcBorders>
              <w:bottom w:val="single" w:sz="8" w:space="0" w:color="000000"/>
            </w:tcBorders>
            <w:vAlign w:val="center"/>
          </w:tcPr>
          <w:p>
            <w:pPr>
              <w:pStyle w:val="TableContents"/>
              <w:bidi w:val="0"/>
              <w:spacing w:before="0" w:after="283"/>
              <w:jc w:val="both"/>
              <w:rPr>
                <w:i/>
                <w:sz w:val="20"/>
              </w:rPr>
            </w:pPr>
            <w:r>
              <w:rPr>
                <w:i/>
                <w:sz w:val="20"/>
              </w:rPr>
              <w:t>/s/ Laurie A. Tucker</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sz w:val="20"/>
              </w:rPr>
            </w:pPr>
            <w:r>
              <w:rPr>
                <w:sz w:val="20"/>
              </w:rPr>
              <w:t>April 15, 2026</w:t>
            </w:r>
          </w:p>
        </w:tc>
      </w:tr>
      <w:tr>
        <w:trPr/>
        <w:tc>
          <w:tcPr>
            <w:tcW w:w="1730" w:type="dxa"/>
            <w:tcBorders/>
            <w:tcMar>
              <w:bottom w:w="0" w:type="dxa"/>
            </w:tcMar>
            <w:vAlign w:val="center"/>
          </w:tcPr>
          <w:p>
            <w:pPr>
              <w:pStyle w:val="TableContents"/>
              <w:bidi w:val="0"/>
              <w:spacing w:before="0" w:after="283"/>
              <w:jc w:val="both"/>
              <w:rPr>
                <w:sz w:val="20"/>
              </w:rPr>
            </w:pPr>
            <w:r>
              <w:rPr>
                <w:sz w:val="20"/>
              </w:rPr>
              <w:t>Laurie A. Tucker</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173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r>
        <w:trPr/>
        <w:tc>
          <w:tcPr>
            <w:tcW w:w="1730" w:type="dxa"/>
            <w:tcBorders>
              <w:bottom w:val="single" w:sz="8" w:space="0" w:color="000000"/>
            </w:tcBorders>
            <w:vAlign w:val="center"/>
          </w:tcPr>
          <w:p>
            <w:pPr>
              <w:pStyle w:val="TableContents"/>
              <w:bidi w:val="0"/>
              <w:spacing w:before="0" w:after="283"/>
              <w:jc w:val="both"/>
              <w:rPr>
                <w:i/>
                <w:sz w:val="20"/>
              </w:rPr>
            </w:pPr>
            <w:r>
              <w:rPr>
                <w:i/>
                <w:sz w:val="20"/>
              </w:rPr>
              <w:t>/s/ Kevin McAdams</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center"/>
              <w:rPr>
                <w:sz w:val="20"/>
              </w:rPr>
            </w:pPr>
            <w:r>
              <w:rPr>
                <w:sz w:val="20"/>
              </w:rPr>
              <w:t>April 15, 2026</w:t>
            </w:r>
          </w:p>
        </w:tc>
      </w:tr>
      <w:tr>
        <w:trPr/>
        <w:tc>
          <w:tcPr>
            <w:tcW w:w="1730" w:type="dxa"/>
            <w:tcBorders/>
            <w:tcMar>
              <w:bottom w:w="0" w:type="dxa"/>
            </w:tcMar>
            <w:vAlign w:val="center"/>
          </w:tcPr>
          <w:p>
            <w:pPr>
              <w:pStyle w:val="TableContents"/>
              <w:bidi w:val="0"/>
              <w:spacing w:before="0" w:after="283"/>
              <w:jc w:val="both"/>
              <w:rPr>
                <w:sz w:val="20"/>
              </w:rPr>
            </w:pPr>
            <w:r>
              <w:rPr>
                <w:sz w:val="20"/>
              </w:rPr>
              <w:t>Kevin McAdams</w:t>
            </w:r>
          </w:p>
        </w:tc>
        <w:tc>
          <w:tcPr>
            <w:tcW w:w="60" w:type="dxa"/>
            <w:tcBorders/>
            <w:tcMar>
              <w:bottom w:w="0" w:type="dxa"/>
            </w:tcMar>
            <w:vAlign w:val="center"/>
          </w:tcPr>
          <w:p>
            <w:pPr>
              <w:pStyle w:val="TableContents"/>
              <w:bidi w:val="0"/>
              <w:spacing w:before="0" w:after="283"/>
              <w:jc w:val="left"/>
              <w:rPr/>
            </w:pPr>
            <w:r>
              <w:rPr/>
              <w:t> </w:t>
            </w:r>
          </w:p>
        </w:tc>
        <w:tc>
          <w:tcPr>
            <w:tcW w:w="5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center"/>
        <w:rPr>
          <w:caps w:val="false"/>
          <w:smallCaps w:val="false"/>
        </w:rPr>
      </w:pPr>
      <w:bookmarkStart w:id="1025" w:name="ex10-8.htm"/>
      <w:bookmarkStart w:id="1026" w:name="ksex108"/>
      <w:bookmarkEnd w:id="1025"/>
      <w:bookmarkEnd w:id="10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7"/>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br/>
        <w:t>2023 EQUITY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(formerly known as the DRONEDEK Corporation 2023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April 27, 2023 and amended November 6, 2025)</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8"/>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150" w:type="dxa"/>
        <w:jc w:val="left"/>
        <w:tblInd w:w="0" w:type="dxa"/>
        <w:tblLayout w:type="fixed"/>
        <w:tblCellMar>
          <w:top w:w="0" w:type="dxa"/>
          <w:left w:w="0" w:type="dxa"/>
          <w:bottom w:w="0" w:type="dxa"/>
          <w:right w:w="0" w:type="dxa"/>
        </w:tblCellMar>
      </w:tblPr>
      <w:tblGrid>
        <w:gridCol w:w="1220"/>
        <w:gridCol w:w="1040"/>
        <w:gridCol w:w="5435"/>
        <w:gridCol w:w="455"/>
      </w:tblGrid>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tcBorders/>
            <w:vAlign w:val="center"/>
          </w:tcPr>
          <w:p>
            <w:pPr>
              <w:pStyle w:val="TableContents"/>
              <w:bidi w:val="0"/>
              <w:spacing w:before="0" w:after="283"/>
              <w:jc w:val="left"/>
              <w:rPr>
                <w:caps w:val="false"/>
                <w:smallCaps w:val="false"/>
              </w:rPr>
            </w:pPr>
            <w:r>
              <w:rPr>
                <w:caps w:val="false"/>
                <w:smallCaps w:val="false"/>
              </w:rPr>
              <w:t> </w:t>
            </w:r>
          </w:p>
        </w:tc>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OF PLAN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Administration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and Other Transactions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Decisions Final</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Delegation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Composition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SUBJECT TO PLAN AND LIMITATIONS THEREON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Grant and Award Limits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Offered</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Awards for Non-Employee Directors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tc>
        <w:tc>
          <w:tcPr>
            <w:tcW w:w="647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FOR AWARDS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p>
        </w:tc>
        <w:tc>
          <w:tcPr>
            <w:tcW w:w="647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Period</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Exercise of Option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Limitations on Incentive Share Options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 Agreements for Options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 and Payment</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Rights and Privileges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7.7</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in Substitution for Options Granted by Other Corporations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Prohibition Against Repricing</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7.9</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Disqualifying Dispositions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SHARE AWARDS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 Period</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Terms and Conditions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8.3</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Restricted Stock</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8.4</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 Agreements for Restricted Stock Awards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UNRESTRICTED SHARE AWARDS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SHARE UNIT AWARDS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and Conditions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Equivalents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r>
          </w:p>
        </w:tc>
        <w:tc>
          <w:tcPr>
            <w:tcW w:w="647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UNIT AWARDS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and Conditions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11.2</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w:t>
            </w:r>
          </w:p>
        </w:tc>
        <w:tc>
          <w:tcPr>
            <w:tcW w:w="647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APPRECIATION RIGHTS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and Conditions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12.2</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Tandem Share Appreciation Rights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bl>
    <w:p>
      <w:pPr>
        <w:pStyle w:val="TextBody"/>
        <w:bidi w:val="0"/>
        <w:jc w:val="center"/>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jc w:val="center"/>
        <w:rPr/>
      </w:pPr>
      <w:r>
        <w:rPr/>
        <w:t> </w:t>
      </w:r>
    </w:p>
    <w:tbl>
      <w:tblPr>
        <w:tblW w:w="7070" w:type="dxa"/>
        <w:jc w:val="left"/>
        <w:tblInd w:w="0" w:type="dxa"/>
        <w:tblLayout w:type="fixed"/>
        <w:tblCellMar>
          <w:top w:w="0" w:type="dxa"/>
          <w:left w:w="0" w:type="dxa"/>
          <w:bottom w:w="0" w:type="dxa"/>
          <w:right w:w="0" w:type="dxa"/>
        </w:tblCellMar>
      </w:tblPr>
      <w:tblGrid>
        <w:gridCol w:w="1400"/>
        <w:gridCol w:w="1625"/>
        <w:gridCol w:w="3800"/>
        <w:gridCol w:w="245"/>
      </w:tblGrid>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XIII</w:t>
            </w:r>
          </w:p>
        </w:tc>
        <w:tc>
          <w:tcPr>
            <w:tcW w:w="54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RECAPITALIZATION OR REORGANIZATION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Upon Changes in Common Stock</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13.2</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 Not Affected</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13.3</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Adjustment for Certain Awards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XIV</w:t>
            </w:r>
          </w:p>
        </w:tc>
        <w:tc>
          <w:tcPr>
            <w:tcW w:w="542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A CHANGE IN CONTROL</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14.2</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XV</w:t>
            </w:r>
          </w:p>
        </w:tc>
        <w:tc>
          <w:tcPr>
            <w:tcW w:w="542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LAWS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15.1</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Law Compliance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15.2</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16b-3</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15.3</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Obligation to Register Common Stock</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XVI</w:t>
            </w:r>
          </w:p>
        </w:tc>
        <w:tc>
          <w:tcPr>
            <w:tcW w:w="54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TRANSFER/OTHER PROVISIONS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16.1</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16.2</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Agreement</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16.3</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Lock-Up Agreement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16.4</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Clawback: Forfeiture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XVII</w:t>
            </w:r>
          </w:p>
        </w:tc>
        <w:tc>
          <w:tcPr>
            <w:tcW w:w="54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AND TERMINATION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of the Plan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17.2</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Contemplated Amendments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17.3</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Impairment of Rights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17.4</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of Awards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17.5</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Plan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XVIII </w:t>
            </w:r>
          </w:p>
        </w:tc>
        <w:tc>
          <w:tcPr>
            <w:tcW w:w="1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tc>
        <w:tc>
          <w:tcPr>
            <w:tcW w:w="38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Right to Award</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18.2</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Rights Conferred</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18.3</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Laws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18.4</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18.5</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 Obligations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18.6</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Restriction on Corporate Action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18.7</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Beneficiary Designations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18.8</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Provisions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18.9</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409A of the Code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18.10</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Plans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18.11</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Limits of Liability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18.12</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18.13</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18.14</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Non-Uniform Treatment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18.15</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Funding</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18.16</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18.17</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of Award Agreements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18.18</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18.19</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Sub-plans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bl>
    <w:p>
      <w:pPr>
        <w:pStyle w:val="TextBody"/>
        <w:bidi w:val="0"/>
        <w:spacing w:before="0" w:after="0"/>
        <w:ind w:left="0" w:right="0" w:hanging="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9"/>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br/>
        <w:t>2023 EQUITY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(formerly known as the DRONEDEK Corporation 2023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April 27, 2023 and amended November 6,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t>PURPOSE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Arrive AI Inc. 2023 Equity Incentive Plan (formerly known as the DRONEDEK Corporation 2023 Equity Incentive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is to benefit the shareholders of Arrive AI Inc., a Delaware corporation (formerly known as DRONEDEK Corporation and Arrive Technology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by assisting the Company and its Affiliates to attract, retain and provide incentives to key management employees and non-employee directors of, and non-employee consultants to, the Company and its Affiliates, and to align the interests of such employees, non-employee directors and non-employee consultants with those of the Company’s shareholders. Accordingly, the Plan provides for the granting of Distribution Equivalent Rights, Incentive Stock Options, Non-Qualified Stock Options, Performance Unit Awards, Restricted Stock Awards, Restricted Stock Unit Awards, Stock Appreciation Rights, Tandem Stock Appreciation Rights, Unrestricted Stock Awards or any combination of the foregoing, as may be best suited to the circumstances of the particular employee, director or consultant as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definitions shall be applicable throughout the Plan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mean any corporation or other entity that, directly or indirectly, is in control of, is controlled by, or is under common control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shall mean any right granted under the Plan, including any Distribution Equivalent Right, Option, Performance Unit Award, Restricted Stock Award, Restricted Stock Unit Award, Stock Appreciation Right or Unrestricted Stock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shall mean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shall mean the Board of Directors of the Company.</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30"/>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shall mean, unless the applicable Award Agreement provides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an Employee or Consultant, (i) if the Employee or Consultant is a party to an employment or service agreement with the Company or an Affiliate and such agreement provides for a definition of Cause, the definition contained therein, or (ii) if no such agreement exists, or if such agreement does not define Cause: (A) failure to perform such duties as are reasonably requested by the Board, (B) material breach of any agreement with the Company or an Affiliate, or a material violation of the Company’s or an Affiliate’s code of conduct or other written policy, (C) commission of, or plea of guilty or no contest to, a felony or a crime involving moral turpitude or the commission of any other act involving willful malfeasance or material fiduciary breach with respect to the Company or an Affiliate, (D) use of illegal drugs or abuse of alcohol that materially impairs the Participant’s ability to perform his or her duties to the Company or an Affiliate, or (E) gross negligence or willful misconduct with respect to the Company or an Affiliate.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any Director, a determination by a majority of the disinterested Board members that the Director has engaged in any of the following: (i) malfeasance in office, (ii) gross misconduct or neglect, (iii) false or fraudulent misrepresentation inducing the Director’s appointment, (iv) willful conversion of corporate funds, or (v) repeated failure to participate in Board meetings on a regular basis despite having received proper notice of the meetings in advance.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in its absolute discretion, shall determine the effect of all matters and questions relating to whether a Participant’s termination of employment or service is for Cause.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shall mean, unless the Committee determines otherwise with respect to an Award at the time the Award is granted or unless otherwise defined for purposes of an Award in the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One Person (or more than one Person acting as a group) acquires ownership of stock of the Company that, together with the stock held by such Person or group, constitutes more than 50% of the total fair market value or total voting power of the stock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 Change in Control shall not occur if any Person (or more than one Person acting as a group) owns more than 50% of the total fair market value or total voting power of the Company’s stock and acquires additional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One Person (or more than one Person acting as a group) acquires (or has acquired during the 12-month period ending on the date of the most recent acquisition) ownership of the Company’s stock possessing 30% or more of the total voting power of the stock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majority of the members of the Board is replaced during any 12-month period by directors whose appointment or election is not endorsed by a majority of the members of the Board before the date of appointment or election;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One Person (or more than one Person acting as a group), acquires (or has acquired during the 12-month period ending on the date of the most recent acquisition) assets from the Company that have a total gross fair market value equal to or more than 40% of the total gross fair market value of all of the assets of the Company immediately before such acquisition(s).</w:t>
      </w:r>
    </w:p>
    <w:p>
      <w:pPr>
        <w:pStyle w:val="TextBody"/>
        <w:bidi w:val="0"/>
        <w:spacing w:before="0" w:after="0"/>
        <w:ind w:left="72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31"/>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Change in Control shall not include a transaction undertaken for the principal purpose of restructuring the capital of the Company, including, but not limited to, reincorporating the Company in a different jurisdiction, converting the Company to a limited liability company or creating a holding company or any transaction that the Board determines is not a Change in Control for purposes of the Plan. Notwithstanding the foregoing, a “Change in Control” shall not be deemed to occur if the Company files for bankruptcy, liquidation or reorganization under the United States Bankruptcy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shall mean the Internal Revenue Code of 1986, as amended. Reference in the Plan to any section of the Code shall be deemed to include any amendments or successor provisions to such section and any regulation under such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shall mean a committee of Directors designated by the Board to administer the Plan or, if no such committee is appointed,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shall mean the common stock, par value $0.0002 per share,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mean Arrive AI Inc., a Delaware corporation, and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Consultant</w:t>
      </w:r>
      <w:r>
        <w:rPr>
          <w:rFonts w:ascii="Times New Roman;Times;Serif" w:hAnsi="Times New Roman;Times;Serif"/>
          <w:b w:val="false"/>
          <w:i w:val="false"/>
          <w:caps w:val="false"/>
          <w:smallCaps w:val="false"/>
          <w:sz w:val="20"/>
        </w:rPr>
        <w:t>” shall mean any individual non-Employee advisor to the Company or an Affiliate who has contracted directly with the Company or an Affiliate to render bona fide consulting or advisory services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Detrimental Activity</w:t>
      </w:r>
      <w:r>
        <w:rPr>
          <w:rFonts w:ascii="Times New Roman;Times;Serif" w:hAnsi="Times New Roman;Times;Serif"/>
          <w:b w:val="false"/>
          <w:i w:val="false"/>
          <w:caps w:val="false"/>
          <w:smallCaps w:val="false"/>
          <w:sz w:val="20"/>
        </w:rPr>
        <w:t>” shall mean any of the following: (i) unauthorized disclosure of any confidential or proprietary information of the Company or any of its Affiliates; (ii) any activity that would be grounds to terminate the Participant’s employment or service with the Company or any of its Affiliates for Cause; (iii) the breach of any non-competition, non-solicitation, non-disparagement or other agreement containing restrictive covenants, with the Company or its Affiliates; (iv) fraud or conduct contributing to any financial restatements or irregularities, as determined by the Committee in its sole discretion; or (v) any other conduct or act determined to be materially injurious, detrimental or prejudicial to any interest of the Company or any of its Affiliates, as determined by the Committee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shall mean a member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xml:space="preserve">” shall mean that the Participant is unable to engage in any substantial gainful activity by reason of any medically determinable physical or mental impairment;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purposes of determining the term of an Incentive Stock Option, the term Disability shall have the meaning ascribed to it under Section 22(e)(3) of the Code. The determination of whether an individual has a Disability shall be determined under procedures established by the Committee. Except in situations where the Committee is determining Disability for purposes of the term of an Incentive Stock Option within the meaning of Section 22(e)(3) of the Code, the Committee may rely on any determination that a Participant is disabled for purposes of benefits under any long-term disability plan maintained by the Company or any Affiliate in which a Participant participates.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32"/>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xml:space="preserve">” shall mean any individual, including an officer, who is employed by the Company or an Affiliate;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purposes of determining eligibility to receive an Incentive Stock Option, an Employee shall mean an employee of the Company or a “parent corporation” or “subsidiary corporation,” each within the meaning of Section 424(f)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 Reference in the Plan to any section of the Exchange Act shall be deemed to include any amendments or successor provisions to such section and any regulation under such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shall mean the price at which one share of Common Stock may be purchased upon the exercise of an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xml:space="preserve">” shall mean, as determined consistent with the applicable requirements of Section 409A or 422 of the Code, as of any specified date, the closing sales price per share of the Common Stock for such date (or, in the event that the Common Stock is not traded on such date, on the immediately preceding trading date) as reported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or a comparable reporting service. If the Common Stock is not listed on a national securities exchange, but is quoted on the OTC Markets OTC Link, the Fair Market Value of the Common Stock shall be the mean of the bid and asked prices per share of Common Stock for such date. If the Common Stock is not quoted or listed as set forth above, Fair Market Value shall be determined by the Committee in good faith by any fair and reasonable means (which means, with respect to a particular Award grant, may be set forth with greater specificity in the applicable Award Agreement) taking into consideration all factors which it deems appropriate, including, without limitation, Sections 409A or 422 of the Code. The Fair Market Value of property other than Common Stock shall be determined by the Committee in good faith by any fair and reasonable means taking into consideration all factors which it deems appropriate, including, without limitation, Sections 409A or 422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Family Member</w:t>
      </w:r>
      <w:r>
        <w:rPr>
          <w:rFonts w:ascii="Times New Roman;Times;Serif" w:hAnsi="Times New Roman;Times;Serif"/>
          <w:b w:val="false"/>
          <w:i w:val="false"/>
          <w:caps w:val="false"/>
          <w:smallCaps w:val="false"/>
          <w:sz w:val="20"/>
        </w:rPr>
        <w:t xml:space="preserve">” shall mean any child, stepchild, grandchild, parent, stepparent, spouse, former spouse, sibling, niece, nephew, mother-in-law, father-in-law, son-in-law, daughter-in-law, brother-in-law or sister-in-law, including adoptive relationships, any person sharing the Participant’s household (other than a tenant or employee of the Participant), a trust in which such persons have more than 50% of the beneficial interest, a foundation in which such persons (or the Participant) control the management of assets and any other entity in which such persons (or the Participant) own more than 50% of the voting interests;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otherwise determined by the Committee, no person shall be a Family Member unless (i) the Committee has been furnished with written notice of the proposed transfer to the Family Member and a copy of any evidence the Committee deems necessary to establish the validity of the transfer, (ii) the Family Member acknowledges and accepts in writing the terms and conditions of the Plan and the applicable Award Agreement, and (iii) if applicable, the Family Member executes, and becomes a party to, any agreement required by the Committee pursuant to </w:t>
      </w:r>
      <w:r>
        <w:rPr>
          <w:rFonts w:ascii="Times New Roman;Times;Serif" w:hAnsi="Times New Roman;Times;Serif"/>
          <w:b w:val="false"/>
          <w:i w:val="false"/>
          <w:caps w:val="false"/>
          <w:smallCaps w:val="false"/>
          <w:sz w:val="20"/>
          <w:u w:val="single"/>
        </w:rPr>
        <w:t>Section 16.2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16.3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shall mean, unless the applicable Award Agreement provides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Employee or Consultant is a party to an employment or service agreement with the Company or its Affiliates and such agreement provides for a definition of Good Reason, the definition contained therein; or</w:t>
      </w:r>
    </w:p>
    <w:p>
      <w:pPr>
        <w:pStyle w:val="TextBody"/>
        <w:bidi w:val="0"/>
        <w:spacing w:before="0" w:after="0"/>
        <w:ind w:left="72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33"/>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no such agreement exists or if such agreement does not define Good Reason, the occurrence of one or more of the following without the Participant’s express written consent, which circumstances are not remedied by the Company within 30 days of its receipt of a written notice from the Participant describing the applicable circumstances (which notice must be provided by the Participant within 90 days of the Participant’s knowledge of the applicable circumstances): (i) any material, adverse change in the Participant’s duties, responsibilities, authority, title, status or reporting structure; (ii) a material reduction in the Participant’s base salary or bonus opportunity (other than a general reduction in base salary or bonus opportunity, as the case may be, that affects all similarly situated Participants in substantially the same proportions); or (iii) a geographic relocation of the Participant’s principal place of employment or service by more than 50 miles.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Grant Date</w:t>
      </w:r>
      <w:r>
        <w:rPr>
          <w:rFonts w:ascii="Times New Roman;Times;Serif" w:hAnsi="Times New Roman;Times;Serif"/>
          <w:b w:val="false"/>
          <w:i w:val="false"/>
          <w:caps w:val="false"/>
          <w:smallCaps w:val="false"/>
          <w:sz w:val="20"/>
        </w:rPr>
        <w:t>” shall mean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Incentive Stock Option</w:t>
      </w:r>
      <w:r>
        <w:rPr>
          <w:rFonts w:ascii="Times New Roman;Times;Serif" w:hAnsi="Times New Roman;Times;Serif"/>
          <w:b w:val="false"/>
          <w:i w:val="false"/>
          <w:caps w:val="false"/>
          <w:smallCaps w:val="false"/>
          <w:sz w:val="20"/>
        </w:rPr>
        <w:t>” shall mean an Option which is intended to qualify as an “incentive stock option” within the meaning of Section 422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Non-Qualified Stock Option</w:t>
      </w:r>
      <w:r>
        <w:rPr>
          <w:rFonts w:ascii="Times New Roman;Times;Serif" w:hAnsi="Times New Roman;Times;Serif"/>
          <w:b w:val="false"/>
          <w:i w:val="false"/>
          <w:caps w:val="false"/>
          <w:smallCaps w:val="false"/>
          <w:sz w:val="20"/>
        </w:rPr>
        <w:t>” shall mean an Option that by its terms does not qualify or is not intended to qualify as an Incentive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xml:space="preserve">” shall mean an Award of a right to purchase shares of Common Stock, granted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which includes both an Incentive Stock Option and a Non-Qualified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shall mean an Employee, Director or Consultant who has been granted an Award or any such individual’s beneficiary, estate or representative, to the extent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Goals</w:t>
      </w:r>
      <w:r>
        <w:rPr>
          <w:rFonts w:ascii="Times New Roman;Times;Serif" w:hAnsi="Times New Roman;Times;Serif"/>
          <w:b w:val="false"/>
          <w:i w:val="false"/>
          <w:caps w:val="false"/>
          <w:smallCaps w:val="false"/>
          <w:sz w:val="20"/>
        </w:rPr>
        <w:t>” shall mean, for a Performance Period, one or more goals established by the Committee for the Performance Period based upon business criteria or other performance measures determined by the Committee in its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Period</w:t>
      </w:r>
      <w:r>
        <w:rPr>
          <w:rFonts w:ascii="Times New Roman;Times;Serif" w:hAnsi="Times New Roman;Times;Serif"/>
          <w:b w:val="false"/>
          <w:i w:val="false"/>
          <w:caps w:val="false"/>
          <w:smallCaps w:val="false"/>
          <w:sz w:val="20"/>
        </w:rPr>
        <w:t>” shall mean the one or more periods of time, as the Committee may select, over which the attainment of one or more Performance Goals will be measured for the purpose of determining a Participant’s right to and the payment of a Performance Unit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Unit</w:t>
      </w:r>
      <w:r>
        <w:rPr>
          <w:rFonts w:ascii="Times New Roman;Times;Serif" w:hAnsi="Times New Roman;Times;Serif"/>
          <w:b w:val="false"/>
          <w:i w:val="false"/>
          <w:caps w:val="false"/>
          <w:smallCaps w:val="false"/>
          <w:sz w:val="20"/>
        </w:rPr>
        <w:t>” shall mean a Unit awarded to a Participant pursuant to a Performance Unit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Unit Award</w:t>
      </w:r>
      <w:r>
        <w:rPr>
          <w:rFonts w:ascii="Times New Roman;Times;Serif" w:hAnsi="Times New Roman;Times;Serif"/>
          <w:b w:val="false"/>
          <w:i w:val="false"/>
          <w:caps w:val="false"/>
          <w:smallCaps w:val="false"/>
          <w:sz w:val="20"/>
        </w:rPr>
        <w:t xml:space="preserve">” shall mean an Award of Units under which, upon the satisfaction of predetermined individual and/or Company (and/or Affiliate) performance goals and/or objectives, a cash payment shall be made to the Participant, based on the number of Units awarded to the Participant, granted under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34"/>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any individual, entity or group (within the meaning of Section 13(d)(3) or 14(d)(2)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shall mean this Arrive AI Inc. 2023 Equity Incentive Plan,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Stock Award</w:t>
      </w:r>
      <w:r>
        <w:rPr>
          <w:rFonts w:ascii="Times New Roman;Times;Serif" w:hAnsi="Times New Roman;Times;Serif"/>
          <w:b w:val="false"/>
          <w:i w:val="false"/>
          <w:caps w:val="false"/>
          <w:smallCaps w:val="false"/>
          <w:sz w:val="20"/>
        </w:rPr>
        <w:t xml:space="preserve">” shall mean an Award of shares of Common Stock, the transferability of which by the Participant shall be subject to Restrictions, granted under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Stock Unit Award</w:t>
      </w:r>
      <w:r>
        <w:rPr>
          <w:rFonts w:ascii="Times New Roman;Times;Serif" w:hAnsi="Times New Roman;Times;Serif"/>
          <w:b w:val="false"/>
          <w:i w:val="false"/>
          <w:caps w:val="false"/>
          <w:smallCaps w:val="false"/>
          <w:sz w:val="20"/>
        </w:rPr>
        <w:t xml:space="preserve">” shall mean an Award of Units under which, upon the satisfaction of predetermined individual service-related vesting requirements, a payment in cash or shares of Common Stock shall be made to the Participant, based on the number of Units awarded to the Participant granted under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Restriction Period</w:t>
      </w:r>
      <w:r>
        <w:rPr>
          <w:rFonts w:ascii="Times New Roman;Times;Serif" w:hAnsi="Times New Roman;Times;Serif"/>
          <w:b w:val="false"/>
          <w:i w:val="false"/>
          <w:caps w:val="false"/>
          <w:smallCaps w:val="false"/>
          <w:sz w:val="20"/>
        </w:rPr>
        <w:t>” shall mean the period of time for which Common Stock subject to a Restricted Stock Award shall be subject to Restrictions, as set forth in the applicable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shall mean forfeiture, transfer and/or other restrictions applicable to Common Stock awarded to an Employee, Director or Consultant under the Plan pursuant to a Restricted Stock Award and set forth in an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shall mean Rule 16b-3 promulgated by the Securities and Exchange Commission under the Exchange Act, as such may be amended from time to time, and any successor rule, regulation or statute fulfilling the same or a substantially similar function.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 Reference in the Plan to any section of the Securities Act shall be deemed to include any amendments or successor provisions to such section and any regulation under such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 Appreciation Right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SAR</w:t>
      </w:r>
      <w:r>
        <w:rPr>
          <w:rFonts w:ascii="Times New Roman;Times;Serif" w:hAnsi="Times New Roman;Times;Serif"/>
          <w:b w:val="false"/>
          <w:i w:val="false"/>
          <w:caps w:val="false"/>
          <w:smallCaps w:val="false"/>
          <w:sz w:val="20"/>
        </w:rPr>
        <w:t xml:space="preserve">” shall mean an Award of a right, granted alone or in connection with a related Option, to receive a payment on the date of exercise, granted under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Tandem Stock Appreciation Right</w:t>
      </w:r>
      <w:r>
        <w:rPr>
          <w:rFonts w:ascii="Times New Roman;Times;Serif" w:hAnsi="Times New Roman;Times;Serif"/>
          <w:b w:val="false"/>
          <w:i w:val="false"/>
          <w:caps w:val="false"/>
          <w:smallCaps w:val="false"/>
          <w:sz w:val="20"/>
        </w:rPr>
        <w:t xml:space="preserve">” shall mean a Stock Appreciation Right granted in connection with a related Option, the exercise of which shall result in termination of the otherwise entitlement to purchase some or all of the Common Stock under the related Option, all as set forth in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 Percent Shareholder</w:t>
      </w:r>
      <w:r>
        <w:rPr>
          <w:rFonts w:ascii="Times New Roman;Times;Serif" w:hAnsi="Times New Roman;Times;Serif"/>
          <w:b w:val="false"/>
          <w:i w:val="false"/>
          <w:caps w:val="false"/>
          <w:smallCaps w:val="false"/>
          <w:sz w:val="20"/>
        </w:rPr>
        <w:t>” shall mean an Employee who, at the time an Option is granted to him or her, owns shares possessing more than 10% of the total combined voting power of all classes of shares of the Company or of any “parent corporation” or “subsidiary corporation” thereof (each as defined in Section 424 of the Code), within the meaning of Section 422(b)(6) of the Code.</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35"/>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w:t>
      </w:r>
      <w:r>
        <w:rPr>
          <w:rFonts w:ascii="Times New Roman;Times;Serif" w:hAnsi="Times New Roman;Times;Serif"/>
          <w:b w:val="false"/>
          <w:i w:val="false"/>
          <w:caps w:val="false"/>
          <w:smallCaps w:val="false"/>
          <w:sz w:val="20"/>
        </w:rPr>
        <w:t>” shall mean a bookkeeping unit, which represents such monetary amount as shall be designated by the Committee in the Award Agreement for each Performance Unit Award, or represents one (1) share of Common Stock for purposes of each Restricted Stock Unit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Stock Award</w:t>
      </w:r>
      <w:r>
        <w:rPr>
          <w:rFonts w:ascii="Times New Roman;Times;Serif" w:hAnsi="Times New Roman;Times;Serif"/>
          <w:b w:val="false"/>
          <w:i w:val="false"/>
          <w:caps w:val="false"/>
          <w:smallCaps w:val="false"/>
          <w:sz w:val="20"/>
        </w:rPr>
        <w:t xml:space="preserve">” shall mean an Award of shares of Common Stock which is not subject to Restrictions, granted under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DATE OF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 effective as of the date on which the Plan is adopted by the Board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If the shareholders of the Company do not approve the Plan within 12 months after the Board’s adoption of the Plan, any Incentive Stock Options granted under the Plan will be treated as Non-Qualified Stock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i w:val="false"/>
          <w:caps w:val="false"/>
          <w:smallCaps w:val="false"/>
          <w:sz w:val="20"/>
          <w:u w:val="single"/>
        </w:rPr>
        <w:t>Authority of the Committee</w:t>
      </w:r>
      <w:r>
        <w:rPr>
          <w:rFonts w:ascii="Times New Roman;Times;Serif" w:hAnsi="Times New Roman;Times;Serif"/>
          <w:b w:val="false"/>
          <w:i w:val="false"/>
          <w:caps w:val="false"/>
          <w:smallCaps w:val="false"/>
          <w:sz w:val="20"/>
        </w:rPr>
        <w:t>. The Plan shall be administered by the Committee or, in the Board’s sole discretion, by the Board. Subject to the provisions of the Plan, the Committee’s charter, and applicable law, and in addition to other express powers and authorization conferred by the Plan, the Committee shall have the authority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construe and interpret the Plan and apply its provisions;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promulgate, amend, and rescind rules and regulations relating to the administration of the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authorize any person to execute, on behalf of the Company, any instrument required to carry out the purposes of the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delegate its authority to one or more officers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determine when Awards are to be granted under the Plan and the applicable Grant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from time to time select, subject to the limitations set forth in this Plan, those Participants to whom Awards shall be granted;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determine the number of shares of Common Stock to be made subject to each Award;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determine whether each Option is to be an Incentive Stock Option or a Non-Qualified Stock Option;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prescribe the terms and conditions of each Award, including, without limitation, the Exercise Price and medium of payment and vesting provisions, and to specify the provisions of the Award Agreement relating to such grant;</w:t>
      </w:r>
    </w:p>
    <w:p>
      <w:pPr>
        <w:pStyle w:val="TextBody"/>
        <w:bidi w:val="0"/>
        <w:spacing w:before="0" w:after="0"/>
        <w:ind w:left="72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36"/>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amend any outstanding Awards, including for the purpose of modifying the time or manner of vesting, or the term of any outstanding Award;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make decisions with respect to outstanding Awards that may become necessary upon a change in corporate control or an event that triggers anti-dilution adjustments;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interpret, administer, reconcile any inconsistency in, correct any defect in and/or supply any omission in the Plan and any instrument or agreement relating to, or Award granted under, the Plan;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exercise discretion to make any and all other determinations which it determines to be necessary or advisable for the administration of the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i w:val="false"/>
          <w:caps w:val="false"/>
          <w:smallCaps w:val="false"/>
          <w:sz w:val="20"/>
          <w:u w:val="single"/>
        </w:rPr>
        <w:t>Acquisitions and Other Transactions</w:t>
      </w:r>
      <w:r>
        <w:rPr>
          <w:rFonts w:ascii="Times New Roman;Times;Serif" w:hAnsi="Times New Roman;Times;Serif"/>
          <w:b w:val="false"/>
          <w:i w:val="false"/>
          <w:caps w:val="false"/>
          <w:smallCaps w:val="false"/>
          <w:sz w:val="20"/>
        </w:rPr>
        <w:t>. The Committee may, from time to time, assume outstanding awards granted by another entity, whether in connection with an acquisition of such other entity or otherwise, by either (i) granting an Award under the Plan in replacement of or in substitution for the award assumed by the Company, or (ii) treating the assumed award as if it had been granted under the Plan if the terms of such assumed award could be applied to an Award granted under the Plan. Such assumed award shall be permissible if the holder of the assumed award would have been eligible to be granted an Award hereunder if the other entity had applied the rules of this Plan to such grant. The Committee may also grant Awards under the Plan in settlement of or in substitution for outstanding awards or obligations to grant future awards in connection with the Company or an Affiliate acquiring another entity, an interest in another entity, or an additional interest in an Affiliate whether by merger, stock purchase, asset purchase or other form of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i w:val="false"/>
          <w:caps w:val="false"/>
          <w:smallCaps w:val="false"/>
          <w:sz w:val="20"/>
          <w:u w:val="single"/>
        </w:rPr>
        <w:t>Committee Decisions Final</w:t>
      </w:r>
      <w:r>
        <w:rPr>
          <w:rFonts w:ascii="Times New Roman;Times;Serif" w:hAnsi="Times New Roman;Times;Serif"/>
          <w:b w:val="false"/>
          <w:i w:val="false"/>
          <w:caps w:val="false"/>
          <w:smallCaps w:val="false"/>
          <w:sz w:val="20"/>
        </w:rPr>
        <w:t>. All decisions made by the Committee pursuant to the provisions of the Plan shall be final and binding on the Company and the Participants, unless such decisions are determined by a court having jurisdiction to be arbitrary and capricious.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i w:val="false"/>
          <w:caps w:val="false"/>
          <w:smallCaps w:val="false"/>
          <w:sz w:val="20"/>
          <w:u w:val="single"/>
        </w:rPr>
        <w:t>Delegation</w:t>
      </w:r>
      <w:r>
        <w:rPr>
          <w:rFonts w:ascii="Times New Roman;Times;Serif" w:hAnsi="Times New Roman;Times;Serif"/>
          <w:b w:val="false"/>
          <w:i w:val="false"/>
          <w:caps w:val="false"/>
          <w:smallCaps w:val="false"/>
          <w:sz w:val="20"/>
        </w:rPr>
        <w:t>. The Committee, or if no Committee has been appointed, the Board, may delegate administration of the Plan to a committee or committees of one or more members of the Board, and the term “Committee”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37"/>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i w:val="false"/>
          <w:caps w:val="false"/>
          <w:smallCaps w:val="false"/>
          <w:sz w:val="20"/>
          <w:u w:val="single"/>
        </w:rPr>
        <w:t>Committee Composition</w:t>
      </w:r>
      <w:r>
        <w:rPr>
          <w:rFonts w:ascii="Times New Roman;Times;Serif" w:hAnsi="Times New Roman;Times;Serif"/>
          <w:b w:val="false"/>
          <w:i w:val="false"/>
          <w:caps w:val="false"/>
          <w:smallCaps w:val="false"/>
          <w:sz w:val="20"/>
        </w:rPr>
        <w:t>. Except as otherwise determined by the Board, the Committee shall consist solely of two or more Directors appointed to the Committee from time to time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i w:val="false"/>
          <w:caps w:val="false"/>
          <w:smallCaps w:val="false"/>
          <w:sz w:val="20"/>
          <w:u w:val="single"/>
        </w:rPr>
        <w:t>Indemnification</w:t>
      </w:r>
      <w:r>
        <w:rPr>
          <w:rFonts w:ascii="Times New Roman;Times;Serif" w:hAnsi="Times New Roman;Times;Serif"/>
          <w:b w:val="false"/>
          <w:i w:val="false"/>
          <w:caps w:val="false"/>
          <w:smallCaps w:val="false"/>
          <w:sz w:val="20"/>
        </w:rPr>
        <w:t>. In addition to such other rights of indemnification as they may have as Directors or members of the Committee, and to the extent allowed by applicable law,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within 60 days after institution of any such action, suit or proceeding, such Committee shall, in writing, offer the Company the opportunity at its own expense to handle and defend such action, suit or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SUBJECT TO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i w:val="false"/>
          <w:caps w:val="false"/>
          <w:smallCaps w:val="false"/>
          <w:sz w:val="20"/>
          <w:u w:val="single"/>
        </w:rPr>
        <w:t>Shares Subject to the Plan</w:t>
      </w:r>
      <w:r>
        <w:rPr>
          <w:rFonts w:ascii="Times New Roman;Times;Serif" w:hAnsi="Times New Roman;Times;Serif"/>
          <w:b w:val="false"/>
          <w:i w:val="false"/>
          <w:caps w:val="false"/>
          <w:smallCaps w:val="false"/>
          <w:sz w:val="20"/>
        </w:rPr>
        <w:t xml:space="preserve">. Subject to adjustment in accordance with </w:t>
      </w:r>
      <w:r>
        <w:rPr>
          <w:rFonts w:ascii="Times New Roman;Times;Serif" w:hAnsi="Times New Roman;Times;Serif"/>
          <w:b w:val="false"/>
          <w:i w:val="false"/>
          <w:caps w:val="false"/>
          <w:smallCaps w:val="false"/>
          <w:sz w:val="20"/>
          <w:u w:val="single"/>
        </w:rPr>
        <w:t>Article XIV</w:t>
      </w:r>
      <w:r>
        <w:rPr>
          <w:rFonts w:ascii="Times New Roman;Times;Serif" w:hAnsi="Times New Roman;Times;Serif"/>
          <w:b w:val="false"/>
          <w:i w:val="false"/>
          <w:caps w:val="false"/>
          <w:smallCaps w:val="false"/>
          <w:sz w:val="20"/>
        </w:rPr>
        <w:t>, a total of 7,000,000 shares of Common Stock shall be available for the grant of Awards under the Plan, all of which may be granted as Incentive Stock Options.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During the terms of the Awards, the Company shall keep available at all times the number of shares of Common Stock required to satisfy such Awards. Shares of Common Stock shall be deemed to have been issued under the Plan solely to the extent actually issued and delivered pursuant to an Award. To the extent that an Award lapses, expires, is canceled, is terminated unexercised or ceases to be exercisable for any reason, or the Participant’s rights terminate, any shares of Common Stock subject to such Award shall again be available for the grant of a new Award. Notwithstanding anything to the contrary contained herein, shares of Common Stock subject to an Award under the Plan shall not again be made available for issuance or delivery under the Plan if such shares are (i) tendered in payment of the exercise price of an Option, or (ii) delivered to or withheld by the Company to satisfy any tax withholding obligation. If the Committee authorizes the assumption of awards pursuant to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the assumption will reduce the number of shares of Common Stock available for issuance under the Plan in the same manner as if the assumed awards had been granted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Please refer to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for a schedule of the initial share reserve and any subsequent increases in the share reserve.</w:t>
      </w:r>
    </w:p>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38"/>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i w:val="false"/>
          <w:caps w:val="false"/>
          <w:smallCaps w:val="false"/>
          <w:sz w:val="20"/>
          <w:u w:val="single"/>
        </w:rPr>
        <w:t>Common Stock Offered.</w:t>
      </w:r>
      <w:r>
        <w:rPr>
          <w:rFonts w:ascii="Times New Roman;Times;Serif" w:hAnsi="Times New Roman;Times;Serif"/>
          <w:b w:val="false"/>
          <w:i w:val="false"/>
          <w:caps w:val="false"/>
          <w:smallCaps w:val="false"/>
          <w:sz w:val="20"/>
        </w:rPr>
        <w:t xml:space="preserve"> Shares of Common Stock to be offered pursuant to the grant of an Award may be authorized but unissued Common Stock or Common Stock previously issued and outstanding and reacquired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i w:val="false"/>
          <w:caps w:val="false"/>
          <w:smallCaps w:val="false"/>
          <w:sz w:val="20"/>
          <w:u w:val="single"/>
        </w:rPr>
        <w:t>Limitations on Awards for Non-Employee Directors</w:t>
      </w:r>
      <w:r>
        <w:rPr>
          <w:rFonts w:ascii="Times New Roman;Times;Serif" w:hAnsi="Times New Roman;Times;Serif"/>
          <w:b w:val="false"/>
          <w:i w:val="false"/>
          <w:caps w:val="false"/>
          <w:smallCaps w:val="false"/>
          <w:sz w:val="20"/>
        </w:rPr>
        <w:t>. Notwithstanding any provision to the contrary in the Plan, the aggregate Fair Market Value of equity-based Awards (such value computed as of the Grant Date in accordance with applicable financial accounting rules) and the amount of any cash-based compensation granted to a non-employee Director during any calendar year shall not exceed $</w:t>
      </w:r>
      <w:r>
        <w:rPr>
          <w:rFonts w:ascii="Times New Roman;Times;Serif" w:hAnsi="Times New Roman;Times;Serif"/>
          <w:b/>
          <w:i w:val="false"/>
          <w:caps w:val="false"/>
          <w:smallCaps w:val="false"/>
          <w:sz w:val="20"/>
        </w:rPr>
        <w:t>200,000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ELIGIBILITY FOR AWARDS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Committee may from time to time grant Awards to one or more Employees, Directors and/or Consultants determined by it to be eligible for participation in the Plan in accordance with the provisions of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Awards made under the Plan may be granted solely to persons who, at the time of grant, are Employees, Directors or Consultants (or any such person to whom an offer of employment or engagement with the Company or any Affiliate is extended). An eligible person must be a natural person and may only be granted an Award in connection with the provision of services to the Company or an Affiliate not related to capital raising or promoting or maintaining a market for shares of Common Stock. An Award may be granted on more than one occasion to the same Employee, Director or Consultant, and, subject to the limitations set forth in the Plan, such Award may include a Non-Qualified Stock Option, a Restricted Stock Award, a Restricted Stock Unit Award, an Unrestricted Stock Award, a Performance Unit Award, a Stock Appreciation Right, a Tandem Stock Appreciation Right, any combination thereof or, solely for Employees, an Incentive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i w:val="false"/>
          <w:caps w:val="false"/>
          <w:smallCaps w:val="false"/>
          <w:sz w:val="20"/>
          <w:u w:val="single"/>
        </w:rPr>
        <w:t>Option Period</w:t>
      </w:r>
      <w:r>
        <w:rPr>
          <w:rFonts w:ascii="Times New Roman;Times;Serif" w:hAnsi="Times New Roman;Times;Serif"/>
          <w:b w:val="false"/>
          <w:i w:val="false"/>
          <w:caps w:val="false"/>
          <w:smallCaps w:val="false"/>
          <w:sz w:val="20"/>
        </w:rPr>
        <w:t xml:space="preserve">. The term of each Option shall be as specified in the Award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except as set forth in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no Option shall be exercisable after the expiration of 10 years from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i w:val="false"/>
          <w:caps w:val="false"/>
          <w:smallCaps w:val="false"/>
          <w:sz w:val="20"/>
          <w:u w:val="single"/>
        </w:rPr>
        <w:t>Limitations on Exercise of Option</w:t>
      </w:r>
      <w:r>
        <w:rPr>
          <w:rFonts w:ascii="Times New Roman;Times;Serif" w:hAnsi="Times New Roman;Times;Serif"/>
          <w:b w:val="false"/>
          <w:i w:val="false"/>
          <w:caps w:val="false"/>
          <w:smallCaps w:val="false"/>
          <w:sz w:val="20"/>
        </w:rPr>
        <w:t>. An Option shall be exercisable in whole or in such installments and at such times as specified in the Award Agreement.</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39"/>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i w:val="false"/>
          <w:caps w:val="false"/>
          <w:smallCaps w:val="false"/>
          <w:sz w:val="20"/>
          <w:u w:val="single"/>
        </w:rPr>
        <w:t>Special Limitations on Incentive Share Options</w:t>
      </w:r>
      <w:r>
        <w:rPr>
          <w:rFonts w:ascii="Times New Roman;Times;Serif" w:hAnsi="Times New Roman;Times;Serif"/>
          <w:b w:val="false"/>
          <w:i w:val="false"/>
          <w:caps w:val="false"/>
          <w:smallCaps w:val="false"/>
          <w:sz w:val="20"/>
        </w:rPr>
        <w:t>. To the extent that the aggregate Fair Market Value (determined as of the Grant Date of the respective Incentive Stock Option) of shares of Common Stock with respect to which Incentive Stock Options are exercisable for the first time by an individual during any calendar year under all plans of the Company and any “parent corporation” or “subsidiary corporation” thereof (both as defined in Section 424 of the Code) exceeds $100,000 (or such other individual limit as may be in effect under the Code on the Grant Date), the portion of such Incentive Stock Options that exceeds such threshold shall be treated as a Non-Qualified Stock Option. Incentive Stock Options shall be granted to Employees only. The Committee shall determine, in accordance with applicable provisions of the Code, Treasury Regulations and other administrative pronouncements, which of a Participant’s Options, which were intended by the Committee to be Incentive Stock Options when granted to the Participant, will not constitute Incentive Stock Options because of such limitation, and shall notify the Participant of such determination as soon as practicable after such determination. No Incentive Stock Option shall be granted to an Employee if, at the time the Incentive Stock Option is granted, such Employee is a Ten Percent Shareholder, unless (i) at the time such Incentive Stock Option is granted the Exercise Price is at least 110% of the Fair Market Value of a share of Common Stock subject to the Incentive Stock Option, and (ii) such Incentive Stock Option by its terms is not exercisable after the expiration of five years from the Grant Date. No Incentive Stock Option shall be granted more than 10 years from the earlier of (x) the date on which the Plan is adopted by the Board, or (y) the date on which the Plan is approved by the Company’s shareholders. The designation by the Committee of an Option as an Incentive Stock Option shall not guarantee the Participant that the Option will satisfy the applicable requirements for “incentive stock option” status under Section 422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i w:val="false"/>
          <w:caps w:val="false"/>
          <w:smallCaps w:val="false"/>
          <w:sz w:val="20"/>
          <w:u w:val="single"/>
        </w:rPr>
        <w:t>Award Agreements for Options</w:t>
      </w:r>
      <w:r>
        <w:rPr>
          <w:rFonts w:ascii="Times New Roman;Times;Serif" w:hAnsi="Times New Roman;Times;Serif"/>
          <w:b w:val="false"/>
          <w:i w:val="false"/>
          <w:caps w:val="false"/>
          <w:smallCaps w:val="false"/>
          <w:sz w:val="20"/>
        </w:rPr>
        <w:t>. Each Option shall be evidenced by an Award Agreement in such form and containing such provisions not inconsistent with the provisions of the Plan as the Committee from time to time shall approve, including, but not limited to, provisions intended to qualify an Option as an Incentive Stock Option. An Award Agreement may provide for the payment of the Exercise Price, in whole or in part, by the delivery of a number of shares of Common Stock (plus cash if necessary) that have been owned by the Participant for at least six months and having a Fair Market Value equal to such Exercise Price, or such other forms or methods as the Committee may determine from time to time, in each case, subject to such rules and regulations as may be adopted by the Committee. Each Award Agreement shall specify the effect of termination of employment, Director status or Consultant status on the exercisability of the Option. Moreover, without limiting the generality of the foregoing, an Award Agreement may provide for a “cashless exercise” of the Option, in whole or in part, by (i) establishing procedures whereby the Participant, by a properly executed written notice, directs (A) an immediate market sale or margin loan as to all or a part of the shares of Common Stock to which the Participant is entitled to receive upon exercise of the Option, pursuant to an extension of credit by the Company to the Participant of the Exercise Price, (B) the delivery of the shares of Common Stock from the Company directly to a brokerage firm, and (C) the delivery of the Exercise Price from sale or margin loan proceeds from the brokerage firm directly to the Company, or (ii) reducing the number of shares of Common Stock to be issued upon exercise of the Option by the number of such shares having an aggregate Fair Market Value equal to the Exercise Price (or portion thereof to be so paid) as of the date of the Option’s exercise. An Award Agreement may also include provisions relating to (x) subject to the provisions hereof, accelerated vesting of Options, including, but not limited to, upon the occurrence of a Change in Control, (y) tax matters (including provisions covering any applicable withholding requirements), and (z) any other matters not inconsistent with the terms and provisions of the Plan that the Committee shall, in its sole discretion, determine. The terms and conditions of the respective Award Agreements need not be identical.</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40"/>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i w:val="false"/>
          <w:caps w:val="false"/>
          <w:smallCaps w:val="false"/>
          <w:sz w:val="20"/>
          <w:u w:val="single"/>
        </w:rPr>
        <w:t>Exercise Price and Payment</w:t>
      </w:r>
      <w:r>
        <w:rPr>
          <w:rFonts w:ascii="Times New Roman;Times;Serif" w:hAnsi="Times New Roman;Times;Serif"/>
          <w:b w:val="false"/>
          <w:i w:val="false"/>
          <w:caps w:val="false"/>
          <w:smallCaps w:val="false"/>
          <w:sz w:val="20"/>
        </w:rPr>
        <w:t xml:space="preserve">. The Exercise Price of an Option shall be determined by the Committee and shall not be less than the Fair Market Value of a share of Common Stock on the Grant Date of such Option;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such Exercise Price as determined by the Committee shall be subject to adjustment as provided in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xml:space="preserve">. The Exercise Price or portion thereof shall be paid in full in the manner prescribed by the Committee as set forth in the Plan and the applicable Award Agreement, which manner, with the consent of the Committee, may include the withholding of shares of Common Stock otherwise issuable in connection with the exercise of the Option, as provided in </w:t>
      </w:r>
      <w:r>
        <w:rPr>
          <w:rFonts w:ascii="Times New Roman;Times;Serif" w:hAnsi="Times New Roman;Times;Serif"/>
          <w:b w:val="false"/>
          <w:i w:val="false"/>
          <w:caps w:val="false"/>
          <w:smallCaps w:val="false"/>
          <w:sz w:val="20"/>
          <w:u w:val="single"/>
        </w:rPr>
        <w:t>Section 7.4(ii)</w:t>
      </w:r>
      <w:r>
        <w:rPr>
          <w:rFonts w:ascii="Times New Roman;Times;Serif" w:hAnsi="Times New Roman;Times;Serif"/>
          <w:b w:val="false"/>
          <w:i w:val="false"/>
          <w:caps w:val="false"/>
          <w:smallCaps w:val="false"/>
          <w:sz w:val="20"/>
        </w:rPr>
        <w:t>. To the extent that the Company issues certificates evidencing shares of Common Stock, separate certificates shall be issued for those shares of Common Stock acquired pursuant to the exercise of an Incentive Stock Option and for those shares of Common Stock acquired pursuant to the exercise of a Non-Qualified 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i w:val="false"/>
          <w:caps w:val="false"/>
          <w:smallCaps w:val="false"/>
          <w:sz w:val="20"/>
          <w:u w:val="single"/>
        </w:rPr>
        <w:t>Shareholder Rights and Privileges</w:t>
      </w:r>
      <w:r>
        <w:rPr>
          <w:rFonts w:ascii="Times New Roman;Times;Serif" w:hAnsi="Times New Roman;Times;Serif"/>
          <w:b w:val="false"/>
          <w:i w:val="false"/>
          <w:caps w:val="false"/>
          <w:smallCaps w:val="false"/>
          <w:sz w:val="20"/>
        </w:rPr>
        <w:t>. A Participant who holds an Option shall be entitled to all the privileges and rights of a shareholder of the Company solely with respect to such shares of Common Stock as have been purchased under the Option and for which the Company has recorded the Participant as the beneficial owner thereof on its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i w:val="false"/>
          <w:caps w:val="false"/>
          <w:smallCaps w:val="false"/>
          <w:sz w:val="20"/>
          <w:u w:val="single"/>
        </w:rPr>
        <w:t>Options in Substitution for Options Granted by Other Corporations</w:t>
      </w:r>
      <w:r>
        <w:rPr>
          <w:rFonts w:ascii="Times New Roman;Times;Serif" w:hAnsi="Times New Roman;Times;Serif"/>
          <w:b w:val="false"/>
          <w:i w:val="false"/>
          <w:caps w:val="false"/>
          <w:smallCaps w:val="false"/>
          <w:sz w:val="20"/>
        </w:rPr>
        <w:t xml:space="preserve">. Options may be granted under the Plan from time to time in substitution for stock or stock options held by individuals employed by entities who become Employees as a result of a merger or consolidation of the employing entity with the Company or an Affiliate, or the acquisition by the Company or an Affiliate of the assets of the employing entity or the acquisition by the Company or an Affiliate of stock or shares of the employing entity with the result that such employing entity becomes an Affiliate. Notwithstanding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the Committee may designate an Exercise Price below Fair Market Value on the Grant Date if the Option is granted in substitution for a stock option previously granted by an entity that is acquired by or merged with the Company or an Affiliate, provided that such Exercise Price complies with the applicable requirements of Section 409A or 424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i w:val="false"/>
          <w:caps w:val="false"/>
          <w:smallCaps w:val="false"/>
          <w:sz w:val="20"/>
          <w:u w:val="single"/>
        </w:rPr>
        <w:t>Prohibition Against Repricing</w:t>
      </w:r>
      <w:r>
        <w:rPr>
          <w:rFonts w:ascii="Times New Roman;Times;Serif" w:hAnsi="Times New Roman;Times;Serif"/>
          <w:b w:val="false"/>
          <w:i w:val="false"/>
          <w:caps w:val="false"/>
          <w:smallCaps w:val="false"/>
          <w:sz w:val="20"/>
        </w:rPr>
        <w:t xml:space="preserve">. Except to the extent (i) approved in advance by holders of a majority of the shares of the Company entitled to vote generally in the election of members of the Board, or (ii) as a result of any Change in Control or any adjustment as provided in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the Committee shall not have the power or authority to reduce, whether through amendment or otherwise, the Exercise Price under any outstanding Option or the Base Value under any outstanding Stock Appreciation Right, or to grant any new Award or make any payment of cash in substitution for or upon the cancellation of Options and/or Stock Appreciation Rights previously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i w:val="false"/>
          <w:caps w:val="false"/>
          <w:smallCaps w:val="false"/>
          <w:sz w:val="20"/>
          <w:u w:val="single"/>
        </w:rPr>
        <w:t>Disqualifying Dispositions</w:t>
      </w:r>
      <w:r>
        <w:rPr>
          <w:rFonts w:ascii="Times New Roman;Times;Serif" w:hAnsi="Times New Roman;Times;Serif"/>
          <w:b w:val="false"/>
          <w:i w:val="false"/>
          <w:caps w:val="false"/>
          <w:smallCaps w:val="false"/>
          <w:sz w:val="20"/>
        </w:rPr>
        <w:t>. Any Participant who makes a “disposition” (as defined in Section 424 of the Code) of all or any portion of shares of Common Stock acquired upon exercise of an Incentive Stock Option within two years from the Grant Date of such Incentive Stock Option or within one year after the issuance of the shares of Common Stock acquired upon exercise of such Incentive Stock Option shall be required to immediately notify the Company in writing as to the occurrence of the sale and the price realized upon the sale of such shares of Common Stock.</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41"/>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AWARDS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i w:val="false"/>
          <w:caps w:val="false"/>
          <w:smallCaps w:val="false"/>
          <w:sz w:val="20"/>
          <w:u w:val="single"/>
        </w:rPr>
        <w:t>Restriction Period</w:t>
      </w:r>
      <w:r>
        <w:rPr>
          <w:rFonts w:ascii="Times New Roman;Times;Serif" w:hAnsi="Times New Roman;Times;Serif"/>
          <w:b w:val="false"/>
          <w:i w:val="false"/>
          <w:caps w:val="false"/>
          <w:smallCaps w:val="false"/>
          <w:sz w:val="20"/>
        </w:rPr>
        <w:t xml:space="preserve">. At the time a Restricted Stock Award is granted, the Committee shall establish the Restriction Period applicable to such Award. Each Restricted Stock Award may have a different Restriction Period, in the discretion of the Committee. The Restriction Period applicable to a particular Restricted Stock Award shall not be changed except as permitted by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i w:val="false"/>
          <w:caps w:val="false"/>
          <w:smallCaps w:val="false"/>
          <w:sz w:val="20"/>
          <w:u w:val="single"/>
        </w:rPr>
        <w:t>Other Terms and Conditions</w:t>
      </w:r>
      <w:r>
        <w:rPr>
          <w:rFonts w:ascii="Times New Roman;Times;Serif" w:hAnsi="Times New Roman;Times;Serif"/>
          <w:b w:val="false"/>
          <w:i w:val="false"/>
          <w:caps w:val="false"/>
          <w:smallCaps w:val="false"/>
          <w:sz w:val="20"/>
        </w:rPr>
        <w:t>. Shares of Common Stock awarded pursuant to a Restricted Stock Award shall be recorded in the Company’s books and records in the name of the Participant of such Restricted Stock Award. If provided for under the Award Agreement for the Restricted Stock Award, the Participant shall have the right to vote shares of Common Stock subject thereto and to enjoy all other shareholder rights, including the entitlement to receive dividends on the shares of Common Stock during the Restriction Period, except that (i) the Participant shall not be entitled to delivery of a share certificate (if any) until the Restriction Period shall have expired, (ii) the Company shall retain custody of such share certificate (if any) during the Restriction Period (with a share power endorsed by the Participant in blank), (iii) the Participant may not sell, transfer, pledge, exchange, hypothecate or otherwise dispose of the shares of Common Stock during the Restriction Period, and (iv) a breach of the terms and conditions established by the Committee pursuant to the Award Agreement for the Restricted Stock Award shall cause a forfeiture of the Restricted Stock Award. At the time of such Award, the Committee may, in its sole discretion, prescribe additional terms and conditions or restrictions relating to Restricted Stock Award, including, but not limited to, rules pertaining to the effect of termination of employment, Director status or Consultant status prior to expiration of the Restriction Period. Such additional terms, conditions or restrictions shall be set forth in an Award Agreement for the Restricted Stock Award made in conjunction with the Award. Such Award Agreement for the Restricted Stock Award may also include provisions relating to (x) subject to the provisions hereof, accelerated vesting of Awards, including, but not limited to, accelerated vesting upon the occurrence of a Change in Control, (y) tax matters (including provisions covering any applicable withholding requirements), and (z) any other matters not inconsistent with the terms and provisions of the Plan that the Committee shall, in its sole discretion, determine. The terms and conditions of the respective Award Agreements for Restricted Stock Awards need not be identical.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8.3. </w:t>
      </w:r>
      <w:r>
        <w:rPr>
          <w:rFonts w:ascii="Times New Roman;Times;Serif" w:hAnsi="Times New Roman;Times;Serif"/>
          <w:b/>
          <w:i w:val="false"/>
          <w:caps w:val="false"/>
          <w:smallCaps w:val="false"/>
          <w:sz w:val="20"/>
          <w:u w:val="single"/>
        </w:rPr>
        <w:t>Payment for Restricted Stock</w:t>
      </w:r>
      <w:r>
        <w:rPr>
          <w:rFonts w:ascii="Times New Roman;Times;Serif" w:hAnsi="Times New Roman;Times;Serif"/>
          <w:b w:val="false"/>
          <w:i w:val="false"/>
          <w:caps w:val="false"/>
          <w:smallCaps w:val="false"/>
          <w:sz w:val="20"/>
        </w:rPr>
        <w:t xml:space="preserve">. The Committee shall determine the amount and form of payment (if any) from a Participant for shares of Common Stock received pursuant to a Restricted Stock Award;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absence of such a determination, a Participant shall not be required to make any payment for shares of Common Stock received pursuant to a Restricted Stock Award, except to the extent otherwise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8.4. </w:t>
      </w:r>
      <w:r>
        <w:rPr>
          <w:rFonts w:ascii="Times New Roman;Times;Serif" w:hAnsi="Times New Roman;Times;Serif"/>
          <w:b/>
          <w:i w:val="false"/>
          <w:caps w:val="false"/>
          <w:smallCaps w:val="false"/>
          <w:sz w:val="20"/>
          <w:u w:val="single"/>
        </w:rPr>
        <w:t>Award Agreements for Restricted Stock Awards</w:t>
      </w:r>
      <w:r>
        <w:rPr>
          <w:rFonts w:ascii="Times New Roman;Times;Serif" w:hAnsi="Times New Roman;Times;Serif"/>
          <w:b w:val="false"/>
          <w:i w:val="false"/>
          <w:caps w:val="false"/>
          <w:smallCaps w:val="false"/>
          <w:sz w:val="20"/>
        </w:rPr>
        <w:t xml:space="preserve">. At the time any Award is granted under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the Company and the Participant shall enter into an Award Agreement setting forth each of the matters contemplated hereby and such other provisions as the Committee may determine to be appropriate.</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42"/>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br/>
        <w:t>UNRESTRICTED STOCK AWARDS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applicable Award Agreement for an Unrestricted Stock Award, a Participant may be awarded (or sold) shares of Common Stock which are not subject to Restrictions, in consideration for past services rendered thereby to the Company or an Affiliate or for other valid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br/>
        <w:t>RESTRICTED STOCK UNIT AWARDS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i w:val="false"/>
          <w:caps w:val="false"/>
          <w:smallCaps w:val="false"/>
          <w:sz w:val="20"/>
          <w:u w:val="single"/>
        </w:rPr>
        <w:t>Terms and Conditions</w:t>
      </w:r>
      <w:r>
        <w:rPr>
          <w:rFonts w:ascii="Times New Roman;Times;Serif" w:hAnsi="Times New Roman;Times;Serif"/>
          <w:b w:val="false"/>
          <w:i w:val="false"/>
          <w:caps w:val="false"/>
          <w:smallCaps w:val="false"/>
          <w:sz w:val="20"/>
        </w:rPr>
        <w:t xml:space="preserve">. The Committee shall set forth in the applicable Award Agreement for a Restricted Stock Unit Award the individual service-based vesting requirement which the Participant would be required to satisfy before the Participant would become entitled to payment pursuant to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and the number of Units awarded to the Participant. At the time of such Award, the Committee may, in its sole discretion, prescribe additional terms and conditions or restrictions relating to Restricted Stock Unit Award, including, but not limited to, rules pertaining to the effect of termination of employment, Director status or Consultant status prior to expiration of the applicable vesting period. The terms and conditions of the respective Award Agreements for Restricted Stock Unit Awards need not be identical.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i w:val="false"/>
          <w:caps w:val="false"/>
          <w:smallCaps w:val="false"/>
          <w:sz w:val="20"/>
          <w:u w:val="single"/>
        </w:rPr>
        <w:t>Payments</w:t>
      </w:r>
      <w:r>
        <w:rPr>
          <w:rFonts w:ascii="Times New Roman;Times;Serif" w:hAnsi="Times New Roman;Times;Serif"/>
          <w:b w:val="false"/>
          <w:i w:val="false"/>
          <w:caps w:val="false"/>
          <w:smallCaps w:val="false"/>
          <w:sz w:val="20"/>
        </w:rPr>
        <w:t>. A Participant holding a Restricted Stock Unit Award shall be entitled to receive either a cash payment equal to the Fair Market Value of one share of Common Stock or one share of Common Stock, as determined in the sole discretion of the Committee and as set forth in the Award Agreement for the Restricted Stock Unit Award, for each Restricted Stock Unit subject to such Restricted Stock Unit Award, if the Participant satisfies the applicable vesting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i w:val="false"/>
          <w:caps w:val="false"/>
          <w:smallCaps w:val="false"/>
          <w:sz w:val="20"/>
          <w:u w:val="single"/>
        </w:rPr>
        <w:t>Dividend Equivalents</w:t>
      </w:r>
      <w:r>
        <w:rPr>
          <w:rFonts w:ascii="Times New Roman;Times;Serif" w:hAnsi="Times New Roman;Times;Serif"/>
          <w:b w:val="false"/>
          <w:i w:val="false"/>
          <w:caps w:val="false"/>
          <w:smallCaps w:val="false"/>
          <w:sz w:val="20"/>
        </w:rPr>
        <w:t>. To the extent provided in an Award Agreement, a Participant holding a Restricted Stock Unit Award shall be entitled to be credited with dividend equivalent payments (upon the payment by the Company of dividends on shares of Common Stock) either in cash or, at the sole discretion of the Committee, in shares of Common Stock having a Fair Market Value equal to the amount of such dividends (and interest may, at the sole discretion of the Committee, be credited on the amount of cash dividend equivalents at a rate and subject to such terms as provided by the Committee), which accumulated dividend equivalents (and interest thereon, if applicable) shall be payable to the Participant upon the release of restrictions on such Restricted Stock Units, and if such Restricted Stock Units are forfeited, the Participant shall have no right to such dividend equivalent payments.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43"/>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br/>
        <w:t>PERFORMANCE UNIT AWARDS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i w:val="false"/>
          <w:caps w:val="false"/>
          <w:smallCaps w:val="false"/>
          <w:sz w:val="20"/>
          <w:u w:val="single"/>
        </w:rPr>
        <w:t>Terms and Conditions</w:t>
      </w:r>
      <w:r>
        <w:rPr>
          <w:rFonts w:ascii="Times New Roman;Times;Serif" w:hAnsi="Times New Roman;Times;Serif"/>
          <w:b w:val="false"/>
          <w:i w:val="false"/>
          <w:caps w:val="false"/>
          <w:smallCaps w:val="false"/>
          <w:sz w:val="20"/>
        </w:rPr>
        <w:t xml:space="preserve">. The Committee shall set forth in the applicable Award Agreement for a Performance Unit Award the Performance Goals (and the Performance Period to which such Performance Goals shall apply) which the Participant and/or the Company would be required to satisfy before the Participant would become entitled to payment pursuant to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the number of Units awarded to the Participant and the dollar value assigned to each such Unit. At the time of such Award, the Committee may, in its sole discretion, prescribe additional terms and conditions or restrictions relating to Performance Unit Awards, including, but not limited to, rules pertaining to the effect of termination of employment, Director status or Consultant status prior to expiration of the applicable Performance Period. The terms and conditions of the respective Award Agreements for Performance Unit Awards need not be identical.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 </w:t>
      </w:r>
      <w:r>
        <w:rPr>
          <w:rFonts w:ascii="Times New Roman;Times;Serif" w:hAnsi="Times New Roman;Times;Serif"/>
          <w:b/>
          <w:i w:val="false"/>
          <w:caps w:val="false"/>
          <w:smallCaps w:val="false"/>
          <w:sz w:val="20"/>
          <w:u w:val="single"/>
        </w:rPr>
        <w:t>Payments</w:t>
      </w:r>
      <w:r>
        <w:rPr>
          <w:rFonts w:ascii="Times New Roman;Times;Serif" w:hAnsi="Times New Roman;Times;Serif"/>
          <w:b w:val="false"/>
          <w:i w:val="false"/>
          <w:caps w:val="false"/>
          <w:smallCaps w:val="false"/>
          <w:sz w:val="20"/>
        </w:rPr>
        <w:t>. A Participant holding a Performance Unit Award shall be entitled to receive a cash payment equal to the dollar value or number of shares of Common Stock assigned to such Unit under the applicable Award Agreement for the Performance Unit Award if the Participant and/or the Company satisfy (or partially satisfy, if applicable under the applicable Award Agreement for the Performance Unit Award) the Performance Goals set forth in such Award Agreement for the Performance Unit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w:t>
        <w:br/>
        <w:t>STOCK APPRECIATION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 </w:t>
      </w:r>
      <w:r>
        <w:rPr>
          <w:rFonts w:ascii="Times New Roman;Times;Serif" w:hAnsi="Times New Roman;Times;Serif"/>
          <w:b/>
          <w:i w:val="false"/>
          <w:caps w:val="false"/>
          <w:smallCaps w:val="false"/>
          <w:sz w:val="20"/>
          <w:u w:val="single"/>
        </w:rPr>
        <w:t>Terms and Conditions</w:t>
      </w:r>
      <w:r>
        <w:rPr>
          <w:rFonts w:ascii="Times New Roman;Times;Serif" w:hAnsi="Times New Roman;Times;Serif"/>
          <w:b w:val="false"/>
          <w:i w:val="false"/>
          <w:caps w:val="false"/>
          <w:smallCaps w:val="false"/>
          <w:sz w:val="20"/>
        </w:rPr>
        <w:t>. The Committee shall set forth in the applicable Award Agreement for a Stock Appreciation Right Award the terms and conditions of the Stock Appreciation Right, including (i) the base value (the “</w:t>
      </w:r>
      <w:r>
        <w:rPr>
          <w:rFonts w:ascii="Times New Roman;Times;Serif" w:hAnsi="Times New Roman;Times;Serif"/>
          <w:b w:val="false"/>
          <w:i w:val="false"/>
          <w:caps w:val="false"/>
          <w:smallCaps w:val="false"/>
          <w:sz w:val="20"/>
          <w:u w:val="single"/>
        </w:rPr>
        <w:t>Base Value</w:t>
      </w:r>
      <w:r>
        <w:rPr>
          <w:rFonts w:ascii="Times New Roman;Times;Serif" w:hAnsi="Times New Roman;Times;Serif"/>
          <w:b w:val="false"/>
          <w:i w:val="false"/>
          <w:caps w:val="false"/>
          <w:smallCaps w:val="false"/>
          <w:sz w:val="20"/>
        </w:rPr>
        <w:t xml:space="preserve">”) for the Stock Appreciation Right, which for purposes of a Stock Appreciation Right which is not a Tandem Stock Appreciation Right, shall be not less than the Fair Market Value of a share of Common Stock on the Grant Date of the Stock Appreciation Right (unless granted in substitution for an appreciation right previously granted by an entity that is acquired by or merged with the Company or an Affiliate), (ii) the number of shares of Common Stock subject to the Stock Appreciation Right, (iii) the period during which the Stock Appreciation Right may be exercised;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Stock Appreciation Right shall be exercisable after the expiration of 10 years from the Grant Date, and (iv) any other special rules and/or requirements which the Committee imposes upon the Stock Appreciation Right. Upon the exercise of all or a portion of a Stock Appreciation Right, the Participant shall receive a payment from the Company, either in cash or in the form of shares of Common Stock having an equivalent Fair Market Value or in a combination of both, as determined, in the sole discretion of the Committee, equal to the product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excess of (i) the Fair Market Value of a share of Common Stock on the date of exercise, over (ii) the Base Value, multiplied by;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number of shares of Common Stock with respect to which the Stock Appreciation Right is exercised.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12.2. </w:t>
      </w:r>
      <w:r>
        <w:rPr>
          <w:rFonts w:ascii="Times New Roman;Times;Serif" w:hAnsi="Times New Roman;Times;Serif"/>
          <w:b/>
          <w:i w:val="false"/>
          <w:caps w:val="false"/>
          <w:smallCaps w:val="false"/>
          <w:sz w:val="20"/>
          <w:u w:val="single"/>
        </w:rPr>
        <w:t>Tandem Stock Appreciation Rights</w:t>
      </w:r>
      <w:r>
        <w:rPr>
          <w:rFonts w:ascii="Times New Roman;Times;Serif" w:hAnsi="Times New Roman;Times;Serif"/>
          <w:b w:val="false"/>
          <w:i w:val="false"/>
          <w:caps w:val="false"/>
          <w:smallCaps w:val="false"/>
          <w:sz w:val="20"/>
        </w:rPr>
        <w:t>. If the Committee grants a Stock Appreciation Right which is intended to be a Tandem Stock Appreciation Right, the Tandem Stock Appreciation Right shall be granted at the same time as the related Option, and the following special rules shall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Base Value shall be equal to or greater than the Exercise Price under the related Option;</w:t>
      </w:r>
    </w:p>
    <w:p>
      <w:pPr>
        <w:pStyle w:val="TextBody"/>
        <w:bidi w:val="0"/>
        <w:spacing w:before="0" w:after="0"/>
        <w:ind w:left="72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44"/>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Tandem Stock Appreciation Right may be exercised for all or part of the shares of Common Stock which are subject to the related Option, but solely upon the surrender by the Participant of the Participant’s right to exercise the equivalent portion of the related Option (and when a share of Common Stock is purchased under the related Option, an equivalent portion of the related Tandem Stock Appreciation Right shall be cancelled);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Tandem Stock Appreciation Right shall expire no later than the date of the expiration of the related Option;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value of the payment with respect to the Tandem Stock Appreciation Right may be no more than 100% of the difference between the Exercise Price under the related Option and the Fair Market Value of a share of Common Stock subject to the related Option at the time the Tandem Stock Appreciation Right is exercised, multiplied by the number of shares of Common Stock with respect to which the Tandem Stock Appreciation Right is exercised;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Tandem Stock Appreciation Right may be exercised only when the Fair Market Value of a share of Common Stock subject to the related Option exceeds the Exercise Price under the related Option.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RECAPITALIZATION OR REORGANIZATION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 </w:t>
      </w:r>
      <w:r>
        <w:rPr>
          <w:rFonts w:ascii="Times New Roman;Times;Serif" w:hAnsi="Times New Roman;Times;Serif"/>
          <w:b/>
          <w:i w:val="false"/>
          <w:caps w:val="false"/>
          <w:smallCaps w:val="false"/>
          <w:sz w:val="20"/>
          <w:u w:val="single"/>
        </w:rPr>
        <w:t>Adjustments Upon Changes in Common Stock</w:t>
      </w:r>
      <w:r>
        <w:rPr>
          <w:rFonts w:ascii="Times New Roman;Times;Serif" w:hAnsi="Times New Roman;Times;Serif"/>
          <w:b w:val="false"/>
          <w:i w:val="false"/>
          <w:caps w:val="false"/>
          <w:smallCaps w:val="false"/>
          <w:sz w:val="20"/>
        </w:rPr>
        <w:t xml:space="preserve">.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the Base Value of Stock Appreciation Rights, and the maximum number of shares of Common Stock subject to Awards stated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will be equitably adjusted or substituted, as to the number, price or kind of a share of Common Stock or other consideration subject to such Awards to the extent necessary to preserve the economic intent of such Award. In the case of adjustments made pursuant to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unless the Committee specifically determines that such adjustment is in the best interests of the Company or its Affiliates, the Committee shall, in the case of Incentive Stock Options, ensure that any adjustments under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will not constitute a modification, extension or renewal of the Incentive Stock Options within the meaning of Section 424(h)(3) of the Code and in the case of Non-Qualified Stock Options, ensure that any adjustments under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will not constitute a modification of such Non-Qualified Stock Options within the meaning of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13.2. </w:t>
      </w:r>
      <w:r>
        <w:rPr>
          <w:rFonts w:ascii="Times New Roman;Times;Serif" w:hAnsi="Times New Roman;Times;Serif"/>
          <w:b/>
          <w:i w:val="false"/>
          <w:caps w:val="false"/>
          <w:smallCaps w:val="false"/>
          <w:sz w:val="20"/>
          <w:u w:val="single"/>
        </w:rPr>
        <w:t>Powers Not Affected</w:t>
      </w:r>
      <w:r>
        <w:rPr>
          <w:rFonts w:ascii="Times New Roman;Times;Serif" w:hAnsi="Times New Roman;Times;Serif"/>
          <w:b w:val="false"/>
          <w:i w:val="false"/>
          <w:caps w:val="false"/>
          <w:smallCaps w:val="false"/>
          <w:sz w:val="20"/>
        </w:rPr>
        <w:t>. The existence of the Plan and the Awards granted hereunder shall not affect in any way the right or power of the Board or of the shareholders of the Company to make or authorize any adjustment, recapitalization, reorganization or other change of the Company’s capital structure or business, any merger or consolidation of the Company, any issue of debt or equity securities ahead of or affecting Common Stock or the rights thereof, the dissolution or liquidation of the Company or any sale, lease, exchange or other disposition of all or any part of its assets or business or any other corporate act or proceeding.</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45"/>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13.3. </w:t>
      </w:r>
      <w:r>
        <w:rPr>
          <w:rFonts w:ascii="Times New Roman;Times;Serif" w:hAnsi="Times New Roman;Times;Serif"/>
          <w:b/>
          <w:i w:val="false"/>
          <w:caps w:val="false"/>
          <w:smallCaps w:val="false"/>
          <w:sz w:val="20"/>
          <w:u w:val="single"/>
        </w:rPr>
        <w:t>No Adjustment for Certain Awards</w:t>
      </w:r>
      <w:r>
        <w:rPr>
          <w:rFonts w:ascii="Times New Roman;Times;Serif" w:hAnsi="Times New Roman;Times;Serif"/>
          <w:b w:val="false"/>
          <w:i w:val="false"/>
          <w:caps w:val="false"/>
          <w:smallCaps w:val="false"/>
          <w:sz w:val="20"/>
        </w:rPr>
        <w:t>. Except as hereinabove expressly provided, the issuance by the Company of shares of any class or securities convertible into shares of any class, for cash, property, services, upon direct sale, upon the exercise of rights or warrants to subscribe therefor, or upon conversion of shares or obligations of the Company convertible into such shares or other securities, and in any case whether or not for fair value, shall not affect previously granted Awards, and no adjustment by reason thereof shall be made with respect to the number of shares of Common Stock subject to Awards theretofore granted or the purchase price per share of Common Stock,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A CHANGE IN CONTROL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 In the event of a Change in Control, the Committee may, but shall not be obligated to (i) accelerate, vest or cause the restrictions to lapse with respect to all or any portion of any Award, (ii) cancel Awards and cause to be paid to the holders of vested Awards the value of such Awards, if any, as determined by the Committee, in its sole discretion, it being understood that in the case of any Option with an Exercise Price that equals or exceeds the price paid for a share of Common Stock in connection with the Change in Control or any Stock Appreciation Right with a Base Value that equals or exceeds the price paid for a share of Common Stock in connection with the Change in Control, the Committee may cancel the Option or Stock Appreciation Right, as applicable, without the payment of consideration therefor, (iii) provide for the issuance of substitute Awards or the assumption or replacement of such Awards, or (iv) provide written notice to Participants that for a reasonable period prior to the Change in Control, such Awards shall be exercisable, to the extent applicable, as to all shares of Common Stock subject thereto and upon the occurrence of the Change in Control, any Awards not so exercised shall terminate and be of no further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14.2.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 and its Affiliates,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15.1. </w:t>
      </w:r>
      <w:r>
        <w:rPr>
          <w:rFonts w:ascii="Times New Roman;Times;Serif" w:hAnsi="Times New Roman;Times;Serif"/>
          <w:b/>
          <w:i w:val="false"/>
          <w:caps w:val="false"/>
          <w:smallCaps w:val="false"/>
          <w:sz w:val="20"/>
          <w:u w:val="single"/>
        </w:rPr>
        <w:t>Securities Law Compliance</w:t>
      </w:r>
      <w:r>
        <w:rPr>
          <w:rFonts w:ascii="Times New Roman;Times;Serif" w:hAnsi="Times New Roman;Times;Serif"/>
          <w:b w:val="false"/>
          <w:i w:val="false"/>
          <w:caps w:val="false"/>
          <w:smallCaps w:val="false"/>
          <w:sz w:val="20"/>
        </w:rPr>
        <w:t>. No shares of Common Stock will be issued or transferred pursuant to an Award unless and until all then applicable requirements imposed by Federal and state securities and other laws, rules and regulations and by any regulatory agencies having jurisdiction, and by any exchanges upon which the shares of Common Stock may be listed, have been fully met. As a condition precedent to the issuance of shares of Common Stock pursuant to the grant or exercise of an Award, the Company may require the Participant to take any reasonable action to meet such requirements. The Committee may impose such conditions on any shares of Common Stock issuable under the Plan as it may deem advisable, including, without limitation, restrictions under the Securities Act, under the requirements of any exchange upon which such shares of the same class are then listed, and under any blue sky or other securities laws applicable to such shares. The Committee may also require the Participant to represent and warrant at the time of issuance or transfer that the shares of Common Stock are being acquired only for investment purposes and without any current intention to sell or distribute such shares. Certificates (if any) representing shares of Common Stock acquired pursuant to an Award may bear such legend as the Company may consider appropriate under the circumstances.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46"/>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15.2. </w:t>
      </w:r>
      <w:r>
        <w:rPr>
          <w:rFonts w:ascii="Times New Roman;Times;Serif" w:hAnsi="Times New Roman;Times;Serif"/>
          <w:b/>
          <w:i w:val="false"/>
          <w:caps w:val="false"/>
          <w:smallCaps w:val="false"/>
          <w:sz w:val="20"/>
          <w:u w:val="single"/>
        </w:rPr>
        <w:t>Rule 16b-3</w:t>
      </w:r>
      <w:r>
        <w:rPr>
          <w:rFonts w:ascii="Times New Roman;Times;Serif" w:hAnsi="Times New Roman;Times;Serif"/>
          <w:b w:val="false"/>
          <w:i w:val="false"/>
          <w:caps w:val="false"/>
          <w:smallCaps w:val="false"/>
          <w:sz w:val="20"/>
        </w:rPr>
        <w:t>. It is intended that the Plan and any Award made to a person subject to Section 16 of the Exchange Act shall meet all of the requirements of Rule 16b-3. If any provision of the Plan or of any such Award would disqualify the Plan or such Award under, or would otherwise not comply with the requirements of, Rule 16b-3, such provision or Award shall be construed or deemed to have been amended as necessary to conform to the requirements of Rule 16b-3.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15.3. </w:t>
      </w:r>
      <w:r>
        <w:rPr>
          <w:rFonts w:ascii="Times New Roman;Times;Serif" w:hAnsi="Times New Roman;Times;Serif"/>
          <w:b/>
          <w:i w:val="false"/>
          <w:caps w:val="false"/>
          <w:smallCaps w:val="false"/>
          <w:sz w:val="20"/>
          <w:u w:val="single"/>
        </w:rPr>
        <w:t>No Obligation to Register Common Stock</w:t>
      </w:r>
      <w:r>
        <w:rPr>
          <w:rFonts w:ascii="Times New Roman;Times;Serif" w:hAnsi="Times New Roman;Times;Serif"/>
          <w:b w:val="false"/>
          <w:i w:val="false"/>
          <w:caps w:val="false"/>
          <w:smallCaps w:val="false"/>
          <w:sz w:val="20"/>
        </w:rPr>
        <w:t>. Notwithstanding any provision of the Plan or any Award Agreement to the contrary, the Company is under no obligation to register offers or sales of shares of Common Stock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ON TRANSFER/OTHER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16.1. </w:t>
      </w:r>
      <w:r>
        <w:rPr>
          <w:rFonts w:ascii="Times New Roman;Times;Serif" w:hAnsi="Times New Roman;Times;Serif"/>
          <w:b/>
          <w:i w:val="false"/>
          <w:caps w:val="false"/>
          <w:smallCaps w:val="false"/>
          <w:sz w:val="20"/>
          <w:u w:val="single"/>
        </w:rPr>
        <w:t>General</w:t>
      </w:r>
      <w:r>
        <w:rPr>
          <w:rFonts w:ascii="Times New Roman;Times;Serif" w:hAnsi="Times New Roman;Times;Serif"/>
          <w:b w:val="false"/>
          <w:i w:val="false"/>
          <w:caps w:val="false"/>
          <w:smallCaps w:val="false"/>
          <w:sz w:val="20"/>
        </w:rPr>
        <w:t xml:space="preserve">. No Award under the Plan or any Award Agreement and no rights or interests herein or therein, shall or may be assigned, transferred, sold, exchanged, encumbered, pledged or otherwise hypothecated or disposed of by a Participant except (i) by will or by the laws of descent and distribution, or (ii) except for an Incentive Stock Option, in the sole discretion of the Committee, by gift to any Family Member of the Participant. An Award may be exercisable during the lifetime of the Participant only by such Participant or by the Participant’s guardian or legal representative unless it has been transferred by gift to a Family Member of the Participant, in which case it shall be exercisable solely by such transferee. Notwithstanding any such transfer, the Participant shall continue to be subject to the tax withholding obligations set forth in </w:t>
      </w:r>
      <w:r>
        <w:rPr>
          <w:rFonts w:ascii="Times New Roman;Times;Serif" w:hAnsi="Times New Roman;Times;Serif"/>
          <w:b w:val="false"/>
          <w:i w:val="false"/>
          <w:caps w:val="false"/>
          <w:smallCaps w:val="false"/>
          <w:sz w:val="20"/>
          <w:u w:val="single"/>
        </w:rPr>
        <w:t>Section 18.5</w:t>
      </w:r>
      <w:r>
        <w:rPr>
          <w:rFonts w:ascii="Times New Roman;Times;Serif" w:hAnsi="Times New Roman;Times;Serif"/>
          <w:b w:val="false"/>
          <w:i w:val="false"/>
          <w:caps w:val="false"/>
          <w:smallCaps w:val="false"/>
          <w:sz w:val="20"/>
        </w:rPr>
        <w:t xml:space="preserve"> and in the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16.2. </w:t>
      </w:r>
      <w:r>
        <w:rPr>
          <w:rFonts w:ascii="Times New Roman;Times;Serif" w:hAnsi="Times New Roman;Times;Serif"/>
          <w:b/>
          <w:i w:val="false"/>
          <w:caps w:val="false"/>
          <w:smallCaps w:val="false"/>
          <w:sz w:val="20"/>
          <w:u w:val="single"/>
        </w:rPr>
        <w:t>Other Agreements</w:t>
      </w:r>
      <w:r>
        <w:rPr>
          <w:rFonts w:ascii="Times New Roman;Times;Serif" w:hAnsi="Times New Roman;Times;Serif"/>
          <w:b w:val="false"/>
          <w:i w:val="false"/>
          <w:caps w:val="false"/>
          <w:smallCaps w:val="false"/>
          <w:sz w:val="20"/>
        </w:rPr>
        <w:t>. In connection with the grant, vesting and/or exercise of any Award under the Plan, the Committee may require a Participant to execute such other agreements that the Committee, in its discretion, may require as a condition of such grant, vesting and/or exercise. Such agreements may set forth certain restrictions on the transferability of the shares of Common Stock, including a right of first refusal of the Company with respect to such shares, the right of the Company to re-purchase shares of Common Stock after a Participant’s termination of employment, and drag-along rights of the Company and certain investors and such other terms as the Board or Committee shall from time to time establish.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16.3. </w:t>
      </w:r>
      <w:r>
        <w:rPr>
          <w:rFonts w:ascii="Times New Roman;Times;Serif" w:hAnsi="Times New Roman;Times;Serif"/>
          <w:b/>
          <w:i w:val="false"/>
          <w:caps w:val="false"/>
          <w:smallCaps w:val="false"/>
          <w:sz w:val="20"/>
          <w:u w:val="single"/>
        </w:rPr>
        <w:t>Lock-Up Agreement</w:t>
      </w:r>
      <w:r>
        <w:rPr>
          <w:rFonts w:ascii="Times New Roman;Times;Serif" w:hAnsi="Times New Roman;Times;Serif"/>
          <w:b w:val="false"/>
          <w:i w:val="false"/>
          <w:caps w:val="false"/>
          <w:smallCaps w:val="false"/>
          <w:sz w:val="20"/>
        </w:rPr>
        <w:t>. In the event that the Company files a registration statement under the Securities Act with respect to an underwritten public offering of any shares of Common Stock, the Company (or a representative of the underwriters) may require that a Participant not sell or otherwise transfer or dispose of any shares of Common Stock during such period (not to exceed 180 days) following the effective date of the registration statement. The Company may impose stop-transfer instructions with respect to securities subject to these restrictions until the end of such period.</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47"/>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16.4. </w:t>
      </w:r>
      <w:r>
        <w:rPr>
          <w:rFonts w:ascii="Times New Roman;Times;Serif" w:hAnsi="Times New Roman;Times;Serif"/>
          <w:b/>
          <w:i w:val="false"/>
          <w:caps w:val="false"/>
          <w:smallCaps w:val="false"/>
          <w:sz w:val="20"/>
          <w:u w:val="single"/>
        </w:rPr>
        <w:t>Clawback; Forfeiture</w:t>
      </w:r>
      <w:r>
        <w:rPr>
          <w:rFonts w:ascii="Times New Roman;Times;Serif" w:hAnsi="Times New Roman;Times;Serif"/>
          <w:b w:val="false"/>
          <w:i w:val="false"/>
          <w:caps w:val="false"/>
          <w:smallCaps w:val="false"/>
          <w:sz w:val="20"/>
        </w:rPr>
        <w:t>. Notwithstanding anything to the contrary contained herein, the Committee may, in its sole discretion, cancel an Award if the Participant has engaged in or engages in any Detrimental Activity. In addition, (i) if the Participant has engaged in or engages in Detrimental Activity, the Participant will forfeit any gain realized on the vesting, exercise or settlement of any Award, and must repay the gain to the Company, and (ii) if the Participant receives any amount in excess of what the Participant should have received under the terms of the Award for any reason (including, without limitation, by reason of a financial restatement, mistake in calculations or other administrative error), then the Participant shall be required to repay any such excess amount to the Company, in each case as determined by the Committee in its sole discretion. Without limiting the foregoing, all Awards shall be subject to reduction, cancellation, forfeiture or recoupment to the extent necessary to comply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XVII</w:t>
        <w:br/>
        <w:t>AMENDMENT AND 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 </w:t>
      </w:r>
      <w:r>
        <w:rPr>
          <w:rFonts w:ascii="Times New Roman;Times;Serif" w:hAnsi="Times New Roman;Times;Serif"/>
          <w:b/>
          <w:i w:val="false"/>
          <w:caps w:val="false"/>
          <w:smallCaps w:val="false"/>
          <w:sz w:val="20"/>
          <w:u w:val="single"/>
        </w:rPr>
        <w:t>Amendment of the Plan</w:t>
      </w:r>
      <w:r>
        <w:rPr>
          <w:rFonts w:ascii="Times New Roman;Times;Serif" w:hAnsi="Times New Roman;Times;Serif"/>
          <w:b w:val="false"/>
          <w:i w:val="false"/>
          <w:caps w:val="false"/>
          <w:smallCaps w:val="false"/>
          <w:sz w:val="20"/>
        </w:rPr>
        <w:t xml:space="preserve">. The Board may, at any time and from time to time, amend or modify the Plan. However, except as provided in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(relating to adjustments upon changes in Common Stock) and </w:t>
      </w:r>
      <w:r>
        <w:rPr>
          <w:rFonts w:ascii="Times New Roman;Times;Serif" w:hAnsi="Times New Roman;Times;Serif"/>
          <w:b w:val="false"/>
          <w:i w:val="false"/>
          <w:caps w:val="false"/>
          <w:smallCaps w:val="false"/>
          <w:sz w:val="20"/>
          <w:u w:val="single"/>
        </w:rPr>
        <w:t>Section 17.2</w:t>
      </w:r>
      <w:r>
        <w:rPr>
          <w:rFonts w:ascii="Times New Roman;Times;Serif" w:hAnsi="Times New Roman;Times;Serif"/>
          <w:b w:val="false"/>
          <w:i w:val="false"/>
          <w:caps w:val="false"/>
          <w:smallCaps w:val="false"/>
          <w:sz w:val="20"/>
        </w:rPr>
        <w:t>, no amendment shall be effective unless approved by the shareholders of the Company to the extent shareholder approval is necessary to satisfy any applicable laws. At the time of such amendment, the Board shall determine, upon advice from counsel, whether such amendment will be contingent on shareholder approval. The Board may, in its sole discretion, submit any other amendment to the Plan for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17.2. </w:t>
      </w:r>
      <w:r>
        <w:rPr>
          <w:rFonts w:ascii="Times New Roman;Times;Serif" w:hAnsi="Times New Roman;Times;Serif"/>
          <w:b/>
          <w:i w:val="false"/>
          <w:caps w:val="false"/>
          <w:smallCaps w:val="false"/>
          <w:sz w:val="20"/>
          <w:u w:val="single"/>
        </w:rPr>
        <w:t>Contemplated Amendments</w:t>
      </w:r>
      <w:r>
        <w:rPr>
          <w:rFonts w:ascii="Times New Roman;Times;Serif" w:hAnsi="Times New Roman;Times;Serif"/>
          <w:b w:val="false"/>
          <w:i w:val="false"/>
          <w:caps w:val="false"/>
          <w:smallCaps w:val="false"/>
          <w:sz w:val="20"/>
        </w:rPr>
        <w:t>. It is expressly contemplated that the Board may amend the Plan in any respect that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17.3. </w:t>
      </w:r>
      <w:r>
        <w:rPr>
          <w:rFonts w:ascii="Times New Roman;Times;Serif" w:hAnsi="Times New Roman;Times;Serif"/>
          <w:b/>
          <w:i w:val="false"/>
          <w:caps w:val="false"/>
          <w:smallCaps w:val="false"/>
          <w:sz w:val="20"/>
          <w:u w:val="single"/>
        </w:rPr>
        <w:t>No Impairment of Rights</w:t>
      </w:r>
      <w:r>
        <w:rPr>
          <w:rFonts w:ascii="Times New Roman;Times;Serif" w:hAnsi="Times New Roman;Times;Serif"/>
          <w:b w:val="false"/>
          <w:i w:val="false"/>
          <w:caps w:val="false"/>
          <w:smallCaps w:val="false"/>
          <w:sz w:val="20"/>
        </w:rPr>
        <w:t>. Rights under any Award granted before amendment of the Plan shall not be impaired by any amendment of the Plan unless the Participant consents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17.4. </w:t>
      </w:r>
      <w:r>
        <w:rPr>
          <w:rFonts w:ascii="Times New Roman;Times;Serif" w:hAnsi="Times New Roman;Times;Serif"/>
          <w:b/>
          <w:i w:val="false"/>
          <w:caps w:val="false"/>
          <w:smallCaps w:val="false"/>
          <w:sz w:val="20"/>
          <w:u w:val="single"/>
        </w:rPr>
        <w:t>Amendment of Awards</w:t>
      </w:r>
      <w:r>
        <w:rPr>
          <w:rFonts w:ascii="Times New Roman;Times;Serif" w:hAnsi="Times New Roman;Times;Serif"/>
          <w:b w:val="false"/>
          <w:i w:val="false"/>
          <w:caps w:val="false"/>
          <w:smallCaps w:val="false"/>
          <w:sz w:val="20"/>
        </w:rPr>
        <w:t xml:space="preserve">. The Committee may, at any time and from time to time, amend the terms of any one or more Awards;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Committee may not affect any amendment which would otherwise constitute an impairment of the rights under any Award unless the Participant consents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17.5. </w:t>
      </w:r>
      <w:r>
        <w:rPr>
          <w:rFonts w:ascii="Times New Roman;Times;Serif" w:hAnsi="Times New Roman;Times;Serif"/>
          <w:b/>
          <w:i w:val="false"/>
          <w:caps w:val="false"/>
          <w:smallCaps w:val="false"/>
          <w:sz w:val="20"/>
          <w:u w:val="single"/>
        </w:rPr>
        <w:t>Termination of Plan</w:t>
      </w:r>
      <w:r>
        <w:rPr>
          <w:rFonts w:ascii="Times New Roman;Times;Serif" w:hAnsi="Times New Roman;Times;Serif"/>
          <w:b w:val="false"/>
          <w:i w:val="false"/>
          <w:caps w:val="false"/>
          <w:smallCaps w:val="false"/>
          <w:sz w:val="20"/>
        </w:rPr>
        <w:t xml:space="preserve">. The Plan shall continue in effect, unless sooner terminated pursuant to this </w:t>
      </w:r>
      <w:r>
        <w:rPr>
          <w:rFonts w:ascii="Times New Roman;Times;Serif" w:hAnsi="Times New Roman;Times;Serif"/>
          <w:b w:val="false"/>
          <w:i w:val="false"/>
          <w:caps w:val="false"/>
          <w:smallCaps w:val="false"/>
          <w:sz w:val="20"/>
          <w:u w:val="single"/>
        </w:rPr>
        <w:t>Article XVII</w:t>
      </w:r>
      <w:r>
        <w:rPr>
          <w:rFonts w:ascii="Times New Roman;Times;Serif" w:hAnsi="Times New Roman;Times;Serif"/>
          <w:b w:val="false"/>
          <w:i w:val="false"/>
          <w:caps w:val="false"/>
          <w:smallCaps w:val="false"/>
          <w:sz w:val="20"/>
        </w:rPr>
        <w:t>, until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of the earlier of (i) the date on which it is adopted by the Board, or (ii) the date on which the Board approved the most recent increase in the number of shares of Common Stock reserved under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that was also approved by the Company’s shareholders (in either case, except as to Awards outstanding on such date). The Board, in its discretion, may terminate the Plan at any time with respect to any shares of Common Stock for which Awards have not theretofore been granted;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Plan’s termination shall not materially and adversely impair the rights of a Participant with respect to any Award theretofore granted without the written consent of the Participant.</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48"/>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XVIII</w:t>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 </w:t>
      </w:r>
      <w:r>
        <w:rPr>
          <w:rFonts w:ascii="Times New Roman;Times;Serif" w:hAnsi="Times New Roman;Times;Serif"/>
          <w:b/>
          <w:i w:val="false"/>
          <w:caps w:val="false"/>
          <w:smallCaps w:val="false"/>
          <w:sz w:val="20"/>
          <w:u w:val="single"/>
        </w:rPr>
        <w:t>No Right to Award</w:t>
      </w:r>
      <w:r>
        <w:rPr>
          <w:rFonts w:ascii="Times New Roman;Times;Serif" w:hAnsi="Times New Roman;Times;Serif"/>
          <w:b w:val="false"/>
          <w:i w:val="false"/>
          <w:caps w:val="false"/>
          <w:smallCaps w:val="false"/>
          <w:sz w:val="20"/>
        </w:rPr>
        <w:t>. Neither the adoption of the Plan by the Company nor any action of the Board or the Committee shall be deemed to give an Employee, Director or Consultant any right to an Award except as may be evidenced by an Award Agreement duly executed on behalf of the Company, and then solely to the extent and on the terms and conditions expressly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18.2. </w:t>
      </w:r>
      <w:r>
        <w:rPr>
          <w:rFonts w:ascii="Times New Roman;Times;Serif" w:hAnsi="Times New Roman;Times;Serif"/>
          <w:b/>
          <w:i w:val="false"/>
          <w:caps w:val="false"/>
          <w:smallCaps w:val="false"/>
          <w:sz w:val="20"/>
          <w:u w:val="single"/>
        </w:rPr>
        <w:t>No Rights Conferred</w:t>
      </w:r>
      <w:r>
        <w:rPr>
          <w:rFonts w:ascii="Times New Roman;Times;Serif" w:hAnsi="Times New Roman;Times;Serif"/>
          <w:b w:val="false"/>
          <w:i w:val="false"/>
          <w:caps w:val="false"/>
          <w:smallCaps w:val="false"/>
          <w:sz w:val="20"/>
        </w:rPr>
        <w:t>. Nothing contained in the Plan shall (i) confer upon any Employee any right with respect to continuation of employment with the Company or any Affiliate, (ii) interfere in any way with any right of the Company or any Affiliate to terminate the employment of an Employee at any time, (iii) confer upon any Director any right with respect to continuation of such Director’s membership on the Board, (iv) interfere in any way with any right of the Company or an Affiliate to terminate a Director’s membership on the Board at any time, (v) confer upon any Consultant any right with respect to continuation of such Consultant’s consulting engagement with the Company or any Affiliate, or (vi) interfere in any way with any right of the Company or an Affiliate to terminate a Consultant’s consulting engagement with the Company or an Affiliate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18.3. </w:t>
      </w:r>
      <w:r>
        <w:rPr>
          <w:rFonts w:ascii="Times New Roman;Times;Serif" w:hAnsi="Times New Roman;Times;Serif"/>
          <w:b/>
          <w:i w:val="false"/>
          <w:caps w:val="false"/>
          <w:smallCaps w:val="false"/>
          <w:sz w:val="20"/>
          <w:u w:val="single"/>
        </w:rPr>
        <w:t>Other Laws</w:t>
      </w:r>
      <w:r>
        <w:rPr>
          <w:rFonts w:ascii="Times New Roman;Times;Serif" w:hAnsi="Times New Roman;Times;Serif"/>
          <w:b w:val="false"/>
          <w:i w:val="false"/>
          <w:caps w:val="false"/>
          <w:smallCaps w:val="false"/>
          <w:sz w:val="20"/>
        </w:rPr>
        <w:t>. The Company shall not be obligated by virtue of any provision of the Plan to recognize the exercise of any Award or to otherwise sell or issue shares of Common Stock in violation of any laws, rules or regulations, and any postponement of the exercise or settlement of any Award under this provision shall not extend the term of such Award. Neither the Company nor its directors or officers shall have any obligation or liability to a Participant with respect to any Award (or shares of Common Stock issuable thereunder) (i) that shall lapse because of such postponement, or (ii) for any failure to comply with the requirements of any applicable law, rules or regulations, including, but not limited to, any failure to comply with the requirements of Section 409A of this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18.4. </w:t>
      </w:r>
      <w:r>
        <w:rPr>
          <w:rFonts w:ascii="Times New Roman;Times;Serif" w:hAnsi="Times New Roman;Times;Serif"/>
          <w:b/>
          <w:i w:val="false"/>
          <w:caps w:val="false"/>
          <w:smallCaps w:val="false"/>
          <w:sz w:val="20"/>
          <w:u w:val="single"/>
        </w:rPr>
        <w:t>No Fractional Shares</w:t>
      </w:r>
      <w:r>
        <w:rPr>
          <w:rFonts w:ascii="Times New Roman;Times;Serif" w:hAnsi="Times New Roman;Times;Serif"/>
          <w:b w:val="false"/>
          <w:i w:val="false"/>
          <w:caps w:val="false"/>
          <w:smallCaps w:val="false"/>
          <w:sz w:val="20"/>
        </w:rPr>
        <w:t>. No fractional shares of Common Stock shall be delivered or issued pursuant to the Plan, nor shall any cash in lieu of fractional shares of Common Stock be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18.5. </w:t>
      </w:r>
      <w:r>
        <w:rPr>
          <w:rFonts w:ascii="Times New Roman;Times;Serif" w:hAnsi="Times New Roman;Times;Serif"/>
          <w:b/>
          <w:i w:val="false"/>
          <w:caps w:val="false"/>
          <w:smallCaps w:val="false"/>
          <w:sz w:val="20"/>
          <w:u w:val="single"/>
        </w:rPr>
        <w:t>Withholding Obligations</w:t>
      </w:r>
      <w:r>
        <w:rPr>
          <w:rFonts w:ascii="Times New Roman;Times;Serif" w:hAnsi="Times New Roman;Times;Serif"/>
          <w:b w:val="false"/>
          <w:i w:val="false"/>
          <w:caps w:val="false"/>
          <w:smallCaps w:val="false"/>
          <w:sz w:val="20"/>
        </w:rPr>
        <w:t xml:space="preserve">. The Company shall have the right to deduct in cash (whether pursuant to payments made under the Plan or from compensation paid to the Participant by the Company or an Affiliate) in connection with all Awards any taxes required by law to be withheld and to require any payments required to enable it to satisfy its withholding obligations. In the case of any Award satisfied in the form of shares of Common Stock, no shares of Common Stock shall be issued unless and until arrangements satisfactory to the Company shall have been made to satisfy any tax withholding obligations applicable with respect to such Award. To the extent provided by the terms of an Award Agreement and subject to the discretion of the Committee, the Participant may satisfy any federal, state or local tax withholding obligation relating to the exercise or acquisition of shares of Common Stock under an Award by any of the following means (i) tendering a cash payment, (ii) authorizing the Company to withhold shares of Common Stock from the shares of Common Stock otherwise issuable to the Participant as a result of the exercise or acquisition of shares of Common Stock under the Award;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shares of Common Stock shall be withheld with a value exceeding the minimum amount of tax required to be withheld by law, or (iii) delivering to the Company previously owned and unencumbered shares of Common Stock.</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49"/>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18.6. </w:t>
      </w:r>
      <w:r>
        <w:rPr>
          <w:rFonts w:ascii="Times New Roman;Times;Serif" w:hAnsi="Times New Roman;Times;Serif"/>
          <w:b/>
          <w:i w:val="false"/>
          <w:caps w:val="false"/>
          <w:smallCaps w:val="false"/>
          <w:sz w:val="20"/>
          <w:u w:val="single"/>
        </w:rPr>
        <w:t>No Restriction on Corporate Action</w:t>
      </w:r>
      <w:r>
        <w:rPr>
          <w:rFonts w:ascii="Times New Roman;Times;Serif" w:hAnsi="Times New Roman;Times;Serif"/>
          <w:b w:val="false"/>
          <w:i w:val="false"/>
          <w:caps w:val="false"/>
          <w:smallCaps w:val="false"/>
          <w:sz w:val="20"/>
        </w:rPr>
        <w:t>. Nothing contained in the Plan or any Award Agreement shall be construed to prevent the Company or any Affiliate from taking any corporate action which is deemed by the Company or such Affiliate to be appropriate or in its best interest, whether or not such action would have an adverse effect on the Plan or any Award made under the Plan. No Employee, Director, Consultant, beneficiary or other person shall have any claim against the Company or any Affiliate as a result of any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18.7. </w:t>
      </w:r>
      <w:r>
        <w:rPr>
          <w:rFonts w:ascii="Times New Roman;Times;Serif" w:hAnsi="Times New Roman;Times;Serif"/>
          <w:b/>
          <w:i w:val="false"/>
          <w:caps w:val="false"/>
          <w:smallCaps w:val="false"/>
          <w:sz w:val="20"/>
          <w:u w:val="single"/>
        </w:rPr>
        <w:t>Beneficiary Designations</w:t>
      </w:r>
      <w:r>
        <w:rPr>
          <w:rFonts w:ascii="Times New Roman;Times;Serif" w:hAnsi="Times New Roman;Times;Serif"/>
          <w:b w:val="false"/>
          <w:i w:val="false"/>
          <w:caps w:val="false"/>
          <w:smallCaps w:val="false"/>
          <w:sz w:val="20"/>
        </w:rPr>
        <w:t>. The Committee may establish procedures as it deems appropriate for a Participant to designate a person or persons, as beneficiary or beneficiaries, to exercise the rights of the Participant and receive any property distributable with respect to any Award in the event of the Participant’s death. Each designation will revoke all prior designations by the same Participant, shall be in a form reasonably prescribed by the Committee and shall be effective only when filed by the Participant in writing with the Company during the Participant’s lifetime. In the absence of any such written beneficiary designation or if the designated beneficiary predeceases the Participant, for purposes of the Plan, the Participant’s beneficiary shall be the Participant’s estate.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18.8. </w:t>
      </w:r>
      <w:r>
        <w:rPr>
          <w:rFonts w:ascii="Times New Roman;Times;Serif" w:hAnsi="Times New Roman;Times;Serif"/>
          <w:b/>
          <w:i w:val="false"/>
          <w:caps w:val="false"/>
          <w:smallCaps w:val="false"/>
          <w:sz w:val="20"/>
          <w:u w:val="single"/>
        </w:rPr>
        <w:t>Other Provisions</w:t>
      </w:r>
      <w:r>
        <w:rPr>
          <w:rFonts w:ascii="Times New Roman;Times;Serif" w:hAnsi="Times New Roman;Times;Serif"/>
          <w:b w:val="false"/>
          <w:i w:val="false"/>
          <w:caps w:val="false"/>
          <w:smallCaps w:val="false"/>
          <w:sz w:val="20"/>
        </w:rPr>
        <w:t>. The Award Agreements authorized under the Plan may contain such other provisions not inconsistent with the Plan including, without limitation, restrictions upon the exercise of Awards, as the Committee may deem advisable.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18.9. </w:t>
      </w:r>
      <w:r>
        <w:rPr>
          <w:rFonts w:ascii="Times New Roman;Times;Serif" w:hAnsi="Times New Roman;Times;Serif"/>
          <w:b/>
          <w:i w:val="false"/>
          <w:caps w:val="false"/>
          <w:smallCaps w:val="false"/>
          <w:sz w:val="20"/>
          <w:u w:val="single"/>
        </w:rPr>
        <w:t>Section 409A of the Code</w:t>
      </w:r>
      <w:r>
        <w:rPr>
          <w:rFonts w:ascii="Times New Roman;Times;Serif" w:hAnsi="Times New Roman;Times;Serif"/>
          <w:b w:val="false"/>
          <w:i w:val="false"/>
          <w:caps w:val="false"/>
          <w:smallCaps w:val="false"/>
          <w:sz w:val="20"/>
        </w:rPr>
        <w:t>. The Plan and the Awards granted hereunder are intended to comply with Section 409A of the Code to the extent subject thereto, and, accordingly, to the maximum extent permitted, the Plan and Award Agreements shall be interpreted and administered to be in compliance therewith. Any payments described in the Plan that are due within the “short-term deferral period” as defined in Section 409A of the Code shall not be treated as deferred compensation unless applicable law requires otherwise. Notwithstanding anything to the contrary in the Plan or any Award Agreement, to the extent required to avoid accelerated taxation and tax penalties under Section 409A of the Code, amounts that would otherwise be payable and benefits that would otherwise be provided pursuant to the Plan during the six-month period immediately following the “separation from service” (within the meaning of Section 409A of the Code) of a Participant who is a “specified employee” (within the meaning of Section 409A of the Code) shall instead be paid on the first payroll date after the six-month anniversary of such Participant’s separation from service (or such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00125" cy="3048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50"/>
                    <a:stretch>
                      <a:fillRect/>
                    </a:stretch>
                  </pic:blipFill>
                  <pic:spPr bwMode="auto">
                    <a:xfrm>
                      <a:off x="0" y="0"/>
                      <a:ext cx="1000125" cy="30480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18.10. </w:t>
      </w:r>
      <w:r>
        <w:rPr>
          <w:rFonts w:ascii="Times New Roman;Times;Serif" w:hAnsi="Times New Roman;Times;Serif"/>
          <w:b/>
          <w:i w:val="false"/>
          <w:caps w:val="false"/>
          <w:smallCaps w:val="false"/>
          <w:sz w:val="20"/>
          <w:u w:val="single"/>
        </w:rPr>
        <w:t>Other Plans</w:t>
      </w:r>
      <w:r>
        <w:rPr>
          <w:rFonts w:ascii="Times New Roman;Times;Serif" w:hAnsi="Times New Roman;Times;Serif"/>
          <w:b w:val="false"/>
          <w:i w:val="false"/>
          <w:caps w:val="false"/>
          <w:smallCaps w:val="false"/>
          <w:sz w:val="20"/>
        </w:rPr>
        <w:t>. No Award, payment or amount received hereunder shall be taken into account in computing an Employee’s salary or compensation for the purposes of determining any benefits under any pension, retirement, life insurance or other benefit plan of the Company or any Affiliate, unless such other plan specifically provides for the inclusion of such Award, payment or amount received. Nothing in the Plan shall be construed to limit the right of the Company to establish other plans or to pay compensation to its employees, directors and other service providers, in cash or property, in a manner which is not expressly authorized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18.11. </w:t>
      </w:r>
      <w:r>
        <w:rPr>
          <w:rFonts w:ascii="Times New Roman;Times;Serif" w:hAnsi="Times New Roman;Times;Serif"/>
          <w:b/>
          <w:i w:val="false"/>
          <w:caps w:val="false"/>
          <w:smallCaps w:val="false"/>
          <w:sz w:val="20"/>
          <w:u w:val="single"/>
        </w:rPr>
        <w:t>Limits of Liability</w:t>
      </w:r>
      <w:r>
        <w:rPr>
          <w:rFonts w:ascii="Times New Roman;Times;Serif" w:hAnsi="Times New Roman;Times;Serif"/>
          <w:b w:val="false"/>
          <w:i w:val="false"/>
          <w:caps w:val="false"/>
          <w:smallCaps w:val="false"/>
          <w:sz w:val="20"/>
        </w:rPr>
        <w:t>. Any liability of the Company with respect to an Award shall be based solely upon the contractual obligations created under the Plan and the Award Agreement. None of the Company, any member of the Board nor any member of the Committee shall have any liability to any party for any action taken or not taken, in good faith, in connection with or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18.12.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Except as otherwise provided herein, the Plan and Award Agreements shall be construed and interpreted in accordance with the laws of the State of Delaware, without regard to its conflict of laws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18.13.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 If any provision of the Plan or any Award Agreement is held invalid, illegal, or unenforceable, whether in whole or in part, such shall be deemed modified to the extent, but only to the extent, of such invalidity, illegality, or unenforceability, and the remaining provisions shall not be affected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18.14. </w:t>
      </w:r>
      <w:r>
        <w:rPr>
          <w:rFonts w:ascii="Times New Roman;Times;Serif" w:hAnsi="Times New Roman;Times;Serif"/>
          <w:b/>
          <w:i w:val="false"/>
          <w:caps w:val="false"/>
          <w:smallCaps w:val="false"/>
          <w:sz w:val="20"/>
          <w:u w:val="single"/>
        </w:rPr>
        <w:t>Non-Uniform Treatment</w:t>
      </w:r>
      <w:r>
        <w:rPr>
          <w:rFonts w:ascii="Times New Roman;Times;Serif" w:hAnsi="Times New Roman;Times;Serif"/>
          <w:b w:val="false"/>
          <w:i w:val="false"/>
          <w:caps w:val="false"/>
          <w:smallCaps w:val="false"/>
          <w:sz w:val="20"/>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18.15. </w:t>
      </w:r>
      <w:r>
        <w:rPr>
          <w:rFonts w:ascii="Times New Roman;Times;Serif" w:hAnsi="Times New Roman;Times;Serif"/>
          <w:b/>
          <w:i w:val="false"/>
          <w:caps w:val="false"/>
          <w:smallCaps w:val="false"/>
          <w:sz w:val="20"/>
          <w:u w:val="single"/>
        </w:rPr>
        <w:t>No Funding</w:t>
      </w:r>
      <w:r>
        <w:rPr>
          <w:rFonts w:ascii="Times New Roman;Times;Serif" w:hAnsi="Times New Roman;Times;Serif"/>
          <w:b w:val="false"/>
          <w:i w:val="false"/>
          <w:caps w:val="false"/>
          <w:smallCaps w:val="false"/>
          <w:sz w:val="20"/>
        </w:rPr>
        <w:t>. The Plan shall be unfunded. The Company shall not be required to establish any special or separate fund or to make any other segregation of funds or assets to ensure the payment of any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18.16.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Headings used throughout the Plan are for convenience only and shall not be given legal significance.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18.17. </w:t>
      </w:r>
      <w:r>
        <w:rPr>
          <w:rFonts w:ascii="Times New Roman;Times;Serif" w:hAnsi="Times New Roman;Times;Serif"/>
          <w:b/>
          <w:i w:val="false"/>
          <w:caps w:val="false"/>
          <w:smallCaps w:val="false"/>
          <w:sz w:val="20"/>
          <w:u w:val="single"/>
        </w:rPr>
        <w:t>Terms of Award Agreements</w:t>
      </w:r>
      <w:r>
        <w:rPr>
          <w:rFonts w:ascii="Times New Roman;Times;Serif" w:hAnsi="Times New Roman;Times;Serif"/>
          <w:b w:val="false"/>
          <w:i w:val="false"/>
          <w:caps w:val="false"/>
          <w:smallCaps w:val="false"/>
          <w:sz w:val="20"/>
        </w:rPr>
        <w:t>. Each Award shall be evidenced by an Award Agreement. The terms of the Award Agreements utilized under the Plan need not be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18.18.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The costs of administering the Plan shall be paid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18.19. </w:t>
      </w:r>
      <w:r>
        <w:rPr>
          <w:rFonts w:ascii="Times New Roman;Times;Serif" w:hAnsi="Times New Roman;Times;Serif"/>
          <w:b/>
          <w:i w:val="false"/>
          <w:caps w:val="false"/>
          <w:smallCaps w:val="false"/>
          <w:sz w:val="20"/>
          <w:u w:val="single"/>
        </w:rPr>
        <w:t>Sub-plans</w:t>
      </w:r>
      <w:r>
        <w:rPr>
          <w:rFonts w:ascii="Times New Roman;Times;Serif" w:hAnsi="Times New Roman;Times;Serif"/>
          <w:b w:val="false"/>
          <w:i w:val="false"/>
          <w:caps w:val="false"/>
          <w:smallCaps w:val="false"/>
          <w:sz w:val="20"/>
        </w:rPr>
        <w:t>. The Committee may from time to time establish sub-plans under the Plan for purposes of satisfying blue sky,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adopted by the Board on November 6,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approved by the shareholders of the Company on November 6, 2025.</w:t>
      </w:r>
    </w:p>
    <w:p>
      <w:pPr>
        <w:pStyle w:val="TextBody"/>
        <w:bidi w:val="0"/>
        <w:spacing w:before="0" w:after="0"/>
        <w:ind w:left="0" w:right="0" w:firstLine="72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Shares of Common Stock Reserved for Issuance under the Plan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74"/>
        <w:gridCol w:w="60"/>
        <w:gridCol w:w="2692"/>
        <w:gridCol w:w="60"/>
        <w:gridCol w:w="2270"/>
        <w:gridCol w:w="60"/>
        <w:gridCol w:w="153"/>
        <w:gridCol w:w="2533"/>
        <w:gridCol w:w="203"/>
      </w:tblGrid>
      <w:tr>
        <w:trPr/>
        <w:tc>
          <w:tcPr>
            <w:tcW w:w="2174" w:type="dxa"/>
            <w:tcBorders>
              <w:bottom w:val="single" w:sz="8" w:space="0" w:color="000000"/>
            </w:tcBorders>
            <w:vAlign w:val="center"/>
          </w:tcPr>
          <w:p>
            <w:pPr>
              <w:pStyle w:val="TableContents"/>
              <w:bidi w:val="0"/>
              <w:spacing w:before="0" w:after="283"/>
              <w:jc w:val="center"/>
              <w:rPr>
                <w:b/>
              </w:rPr>
            </w:pPr>
            <w:r>
              <w:rPr>
                <w:b/>
              </w:rPr>
              <w:t>Date of Board Approval</w:t>
            </w:r>
          </w:p>
        </w:tc>
        <w:tc>
          <w:tcPr>
            <w:tcW w:w="60" w:type="dxa"/>
            <w:tcBorders/>
            <w:tcMar>
              <w:bottom w:w="0" w:type="dxa"/>
            </w:tcMar>
            <w:vAlign w:val="center"/>
          </w:tcPr>
          <w:p>
            <w:pPr>
              <w:pStyle w:val="TableContents"/>
              <w:bidi w:val="0"/>
              <w:spacing w:before="0" w:after="283"/>
              <w:jc w:val="center"/>
              <w:rPr/>
            </w:pPr>
            <w:r>
              <w:rPr/>
              <w:t> </w:t>
            </w:r>
          </w:p>
        </w:tc>
        <w:tc>
          <w:tcPr>
            <w:tcW w:w="2692" w:type="dxa"/>
            <w:tcBorders>
              <w:bottom w:val="single" w:sz="8" w:space="0" w:color="000000"/>
            </w:tcBorders>
            <w:vAlign w:val="center"/>
          </w:tcPr>
          <w:p>
            <w:pPr>
              <w:pStyle w:val="TableContents"/>
              <w:bidi w:val="0"/>
              <w:spacing w:before="0" w:after="283"/>
              <w:jc w:val="center"/>
              <w:rPr>
                <w:b/>
              </w:rPr>
            </w:pPr>
            <w:r>
              <w:rPr>
                <w:b/>
              </w:rPr>
              <w:t>Date of Shareholder Approval</w:t>
            </w:r>
          </w:p>
        </w:tc>
        <w:tc>
          <w:tcPr>
            <w:tcW w:w="60" w:type="dxa"/>
            <w:tcBorders/>
            <w:tcMar>
              <w:bottom w:w="0" w:type="dxa"/>
            </w:tcMar>
            <w:vAlign w:val="center"/>
          </w:tcPr>
          <w:p>
            <w:pPr>
              <w:pStyle w:val="TableContents"/>
              <w:bidi w:val="0"/>
              <w:spacing w:before="0" w:after="283"/>
              <w:jc w:val="center"/>
              <w:rPr/>
            </w:pPr>
            <w:r>
              <w:rPr/>
              <w:t> </w:t>
            </w:r>
          </w:p>
        </w:tc>
        <w:tc>
          <w:tcPr>
            <w:tcW w:w="2270" w:type="dxa"/>
            <w:tcBorders>
              <w:bottom w:val="single" w:sz="8" w:space="0" w:color="000000"/>
            </w:tcBorders>
            <w:vAlign w:val="center"/>
          </w:tcPr>
          <w:p>
            <w:pPr>
              <w:pStyle w:val="TableContents"/>
              <w:bidi w:val="0"/>
              <w:spacing w:before="0" w:after="283"/>
              <w:jc w:val="center"/>
              <w:rPr>
                <w:b/>
              </w:rPr>
            </w:pPr>
            <w:r>
              <w:rPr>
                <w:b/>
              </w:rPr>
              <w:t>Number of Shares Added</w:t>
            </w:r>
          </w:p>
        </w:tc>
        <w:tc>
          <w:tcPr>
            <w:tcW w:w="60" w:type="dxa"/>
            <w:tcBorders/>
            <w:tcMar>
              <w:bottom w:w="0" w:type="dxa"/>
            </w:tcMar>
            <w:vAlign w:val="center"/>
          </w:tcPr>
          <w:p>
            <w:pPr>
              <w:pStyle w:val="TableContents"/>
              <w:bidi w:val="0"/>
              <w:spacing w:before="0" w:after="283"/>
              <w:jc w:val="center"/>
              <w:rPr/>
            </w:pPr>
            <w:r>
              <w:rPr/>
              <w:t> </w:t>
            </w:r>
          </w:p>
        </w:tc>
        <w:tc>
          <w:tcPr>
            <w:tcW w:w="2686" w:type="dxa"/>
            <w:gridSpan w:val="2"/>
            <w:tcBorders>
              <w:bottom w:val="single" w:sz="8" w:space="0" w:color="000000"/>
            </w:tcBorders>
            <w:vAlign w:val="center"/>
          </w:tcPr>
          <w:p>
            <w:pPr>
              <w:pStyle w:val="TableContents"/>
              <w:bidi w:val="0"/>
              <w:spacing w:before="0" w:after="283"/>
              <w:jc w:val="center"/>
              <w:rPr>
                <w:b/>
              </w:rPr>
            </w:pPr>
            <w:r>
              <w:rPr>
                <w:b/>
              </w:rPr>
              <w:t>Cumulative Number of Shares</w:t>
            </w:r>
          </w:p>
        </w:tc>
        <w:tc>
          <w:tcPr>
            <w:tcW w:w="203" w:type="dxa"/>
            <w:tcBorders/>
            <w:tcMar>
              <w:bottom w:w="0" w:type="dxa"/>
            </w:tcMar>
            <w:vAlign w:val="center"/>
          </w:tcPr>
          <w:p>
            <w:pPr>
              <w:pStyle w:val="TableContents"/>
              <w:bidi w:val="0"/>
              <w:spacing w:before="0" w:after="283"/>
              <w:jc w:val="center"/>
              <w:rPr/>
            </w:pPr>
            <w:r>
              <w:rPr/>
              <w:t> </w:t>
            </w:r>
          </w:p>
        </w:tc>
      </w:tr>
      <w:tr>
        <w:trPr/>
        <w:tc>
          <w:tcPr>
            <w:tcW w:w="2174" w:type="dxa"/>
            <w:tcBorders/>
            <w:shd w:fill="CCEEFF" w:val="clear"/>
            <w:tcMar>
              <w:bottom w:w="0" w:type="dxa"/>
            </w:tcMar>
            <w:vAlign w:val="center"/>
          </w:tcPr>
          <w:p>
            <w:pPr>
              <w:pStyle w:val="TableContents"/>
              <w:bidi w:val="0"/>
              <w:spacing w:before="0" w:after="283"/>
              <w:jc w:val="center"/>
              <w:rPr/>
            </w:pPr>
            <w:r>
              <w:rPr/>
              <w:t>April 27,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2" w:type="dxa"/>
            <w:tcBorders/>
            <w:shd w:fill="CCEEFF" w:val="clear"/>
            <w:tcMar>
              <w:bottom w:w="0" w:type="dxa"/>
            </w:tcMar>
            <w:vAlign w:val="center"/>
          </w:tcPr>
          <w:p>
            <w:pPr>
              <w:pStyle w:val="TableContents"/>
              <w:bidi w:val="0"/>
              <w:spacing w:before="0" w:after="283"/>
              <w:jc w:val="center"/>
              <w:rPr/>
            </w:pPr>
            <w:r>
              <w:rPr/>
              <w:t>April 27,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center"/>
              <w:rPr/>
            </w:pPr>
            <w:r>
              <w:rPr/>
              <w:t>Not Applicable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2533" w:type="dxa"/>
            <w:tcBorders/>
            <w:shd w:fill="CCEEFF" w:val="clear"/>
            <w:tcMar>
              <w:bottom w:w="0" w:type="dxa"/>
            </w:tcMar>
            <w:vAlign w:val="center"/>
          </w:tcPr>
          <w:p>
            <w:pPr>
              <w:pStyle w:val="TableContents"/>
              <w:bidi w:val="0"/>
              <w:spacing w:before="0" w:after="283"/>
              <w:jc w:val="right"/>
              <w:rPr/>
            </w:pPr>
            <w:r>
              <w:rPr/>
              <w:t>6,000,000</w:t>
            </w:r>
          </w:p>
        </w:tc>
        <w:tc>
          <w:tcPr>
            <w:tcW w:w="203" w:type="dxa"/>
            <w:tcBorders/>
            <w:shd w:fill="CCEEFF" w:val="clear"/>
            <w:tcMar>
              <w:bottom w:w="0" w:type="dxa"/>
            </w:tcMar>
            <w:vAlign w:val="center"/>
          </w:tcPr>
          <w:p>
            <w:pPr>
              <w:pStyle w:val="TableContents"/>
              <w:bidi w:val="0"/>
              <w:spacing w:before="0" w:after="283"/>
              <w:jc w:val="left"/>
              <w:rPr/>
            </w:pPr>
            <w:r>
              <w:rPr/>
              <w:t> </w:t>
            </w:r>
          </w:p>
        </w:tc>
      </w:tr>
      <w:tr>
        <w:trPr/>
        <w:tc>
          <w:tcPr>
            <w:tcW w:w="2174" w:type="dxa"/>
            <w:tcBorders/>
            <w:shd w:fill="FFFFFF" w:val="clear"/>
            <w:tcMar>
              <w:bottom w:w="0" w:type="dxa"/>
            </w:tcMar>
            <w:vAlign w:val="center"/>
          </w:tcPr>
          <w:p>
            <w:pPr>
              <w:pStyle w:val="TableContents"/>
              <w:bidi w:val="0"/>
              <w:spacing w:before="0" w:after="283"/>
              <w:jc w:val="center"/>
              <w:rPr/>
            </w:pPr>
            <w:r>
              <w:rPr/>
              <w:t>November 25,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92" w:type="dxa"/>
            <w:tcBorders/>
            <w:shd w:fill="FFFFFF" w:val="clear"/>
            <w:tcMar>
              <w:bottom w:w="0" w:type="dxa"/>
            </w:tcMar>
            <w:vAlign w:val="center"/>
          </w:tcPr>
          <w:p>
            <w:pPr>
              <w:pStyle w:val="TableContents"/>
              <w:bidi w:val="0"/>
              <w:spacing w:before="0" w:after="283"/>
              <w:jc w:val="center"/>
              <w:rPr/>
            </w:pPr>
            <w:r>
              <w:rPr/>
              <w:t>November 25,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0" w:type="dxa"/>
            <w:tcBorders/>
            <w:shd w:fill="FFFFFF" w:val="clear"/>
            <w:tcMar>
              <w:bottom w:w="0" w:type="dxa"/>
            </w:tcMar>
            <w:vAlign w:val="center"/>
          </w:tcPr>
          <w:p>
            <w:pPr>
              <w:pStyle w:val="TableContents"/>
              <w:bidi w:val="0"/>
              <w:spacing w:before="0" w:after="283"/>
              <w:jc w:val="center"/>
              <w:rPr/>
            </w:pPr>
            <w:r>
              <w:rPr/>
              <w:t>Not Applicable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2533" w:type="dxa"/>
            <w:tcBorders/>
            <w:shd w:fill="FFFFFF" w:val="clear"/>
            <w:tcMar>
              <w:bottom w:w="0" w:type="dxa"/>
            </w:tcMar>
            <w:vAlign w:val="center"/>
          </w:tcPr>
          <w:p>
            <w:pPr>
              <w:pStyle w:val="TableContents"/>
              <w:bidi w:val="0"/>
              <w:spacing w:before="0" w:after="283"/>
              <w:jc w:val="right"/>
              <w:rPr/>
            </w:pPr>
            <w:r>
              <w:rPr/>
              <w:t>1,500,000</w:t>
            </w:r>
          </w:p>
        </w:tc>
        <w:tc>
          <w:tcPr>
            <w:tcW w:w="203" w:type="dxa"/>
            <w:tcBorders/>
            <w:shd w:fill="FFFFFF" w:val="clear"/>
            <w:tcMar>
              <w:bottom w:w="0" w:type="dxa"/>
            </w:tcMar>
            <w:vAlign w:val="center"/>
          </w:tcPr>
          <w:p>
            <w:pPr>
              <w:pStyle w:val="TableContents"/>
              <w:bidi w:val="0"/>
              <w:spacing w:before="0" w:after="283"/>
              <w:jc w:val="left"/>
              <w:rPr/>
            </w:pPr>
            <w:r>
              <w:rPr>
                <w:position w:val="8"/>
                <w:sz w:val="19"/>
              </w:rPr>
              <w:t>2</w:t>
            </w:r>
            <w:r>
              <w:rPr/>
              <w:t> </w:t>
            </w:r>
          </w:p>
        </w:tc>
      </w:tr>
      <w:tr>
        <w:trPr/>
        <w:tc>
          <w:tcPr>
            <w:tcW w:w="2174" w:type="dxa"/>
            <w:tcBorders/>
            <w:shd w:fill="CCEEFF" w:val="clear"/>
            <w:tcMar>
              <w:bottom w:w="0" w:type="dxa"/>
            </w:tcMar>
            <w:vAlign w:val="center"/>
          </w:tcPr>
          <w:p>
            <w:pPr>
              <w:pStyle w:val="TableContents"/>
              <w:bidi w:val="0"/>
              <w:spacing w:before="0" w:after="283"/>
              <w:jc w:val="center"/>
              <w:rPr/>
            </w:pPr>
            <w:r>
              <w:rPr/>
              <w:t>November 6,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92" w:type="dxa"/>
            <w:tcBorders/>
            <w:shd w:fill="CCEEFF" w:val="clear"/>
            <w:tcMar>
              <w:bottom w:w="0" w:type="dxa"/>
            </w:tcMar>
            <w:vAlign w:val="center"/>
          </w:tcPr>
          <w:p>
            <w:pPr>
              <w:pStyle w:val="TableContents"/>
              <w:bidi w:val="0"/>
              <w:spacing w:before="0" w:after="283"/>
              <w:jc w:val="center"/>
              <w:rPr/>
            </w:pPr>
            <w:r>
              <w:rPr/>
              <w:t>November 6,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center"/>
              <w:rPr/>
            </w:pPr>
            <w:r>
              <w:rPr/>
              <w:t>5,500,000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2533" w:type="dxa"/>
            <w:tcBorders/>
            <w:shd w:fill="CCEEFF" w:val="clear"/>
            <w:tcMar>
              <w:bottom w:w="0" w:type="dxa"/>
            </w:tcMar>
            <w:vAlign w:val="center"/>
          </w:tcPr>
          <w:p>
            <w:pPr>
              <w:pStyle w:val="TableContents"/>
              <w:bidi w:val="0"/>
              <w:spacing w:before="0" w:after="283"/>
              <w:jc w:val="right"/>
              <w:rPr/>
            </w:pPr>
            <w:r>
              <w:rPr/>
              <w:t>7,000,000</w:t>
            </w:r>
          </w:p>
        </w:tc>
        <w:tc>
          <w:tcPr>
            <w:tcW w:w="20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Reflects a 1-for-4 reverse split of shares of Common Stock effected on November 25, 2024.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1027" w:name="ex14-1.htm"/>
      <w:bookmarkStart w:id="1028" w:name="ksex141"/>
      <w:bookmarkEnd w:id="1027"/>
      <w:bookmarkEnd w:id="10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14.1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1428750" cy="4095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51"/>
                    <a:stretch>
                      <a:fillRect/>
                    </a:stretch>
                  </pic:blipFill>
                  <pic:spPr bwMode="auto">
                    <a:xfrm>
                      <a:off x="0" y="0"/>
                      <a:ext cx="1428750" cy="4095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155"/>
        <w:gridCol w:w="1100"/>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11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tc>
      </w:tr>
    </w:tbl>
    <w:p>
      <w:pPr>
        <w:pStyle w:val="TextBody"/>
        <w:bidi w:val="0"/>
        <w:spacing w:before="0" w:after="0"/>
        <w:ind w:left="43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Arrive AI Inc. (“Arrive”, “Arrive AI”, “the Company”), a microcap hard technology company committed to innovation in Autonomous Logistics, Artificial Intelligence (“AI”) and Internet of Things (“IoT”) technologies, we uphold the highest standards of integrity, honesty, and professionalism. This Code of Ethics outlines our commitment to ethical business practices and compliance with all applicable laws, including those enforced by the SEC and NASDAQ. It applies to all directors, officers, employees, and contractors (collectively, “Covered Persons”) and serves as a cornerstone of our corporate culture.</w:t>
      </w:r>
    </w:p>
    <w:p>
      <w:pPr>
        <w:pStyle w:val="TextBody"/>
        <w:bidi w:val="0"/>
        <w:spacing w:before="0" w:after="0"/>
        <w:ind w:left="0" w:right="0" w:hanging="0"/>
        <w:jc w:val="both"/>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230"/>
        <w:gridCol w:w="725"/>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w:t>
            </w:r>
          </w:p>
        </w:tc>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tc>
      </w:tr>
    </w:tbl>
    <w:p>
      <w:pPr>
        <w:pStyle w:val="TextBody"/>
        <w:bidi w:val="0"/>
        <w:spacing w:before="0" w:after="0"/>
        <w:ind w:left="43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Code is to:</w:t>
      </w:r>
    </w:p>
    <w:p>
      <w:pPr>
        <w:pStyle w:val="TextBody"/>
        <w:bidi w:val="0"/>
        <w:spacing w:before="0" w:after="0"/>
        <w:ind w:left="788" w:right="0" w:hanging="35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Promote honest and ethical conduct, including the handling of conflicts of interest.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Ensure full, fair, accurate, timely, and understandable disclosure in financial reports and public communications.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Encourage compliance with all applicable laws, rules, and regulations, including those governing AI, IoT, and insider trading.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mechanisms for reporting unethical or illegal behavior without fear of retaliation.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 wrongdoing and foster a culture of accountability.</w:t>
            </w:r>
          </w:p>
        </w:tc>
      </w:tr>
    </w:tbl>
    <w:p>
      <w:pPr>
        <w:pStyle w:val="TextBody"/>
        <w:bidi w:val="0"/>
        <w:spacing w:before="0" w:after="0"/>
        <w:ind w:left="43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Code meets the requirements of SEC Regulation S-K Item 406 and NASDAQ Listing Rule 5610, ensuring that our principal executive officer, principal financial officer, principal accounting officer or controller (or persons performing similar functions), and all other Covered Persons adhere to these standards.</w:t>
      </w:r>
    </w:p>
    <w:p>
      <w:pPr>
        <w:pStyle w:val="TextBody"/>
        <w:bidi w:val="0"/>
        <w:spacing w:before="0" w:after="0"/>
        <w:ind w:left="0" w:right="0" w:hanging="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185"/>
        <w:gridCol w:w="396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39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Laws, Rules, and Regulations</w:t>
            </w:r>
          </w:p>
        </w:tc>
      </w:tr>
    </w:tbl>
    <w:p>
      <w:pPr>
        <w:pStyle w:val="TextBody"/>
        <w:bidi w:val="0"/>
        <w:spacing w:before="0" w:after="0"/>
        <w:ind w:left="72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Covered Persons must comply with federal, state, and local laws, including securities laws, intellectual property laws, data privacy regulations (e.g., GDPR, CCPA), and regulations specific to AI and IoT technologies.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prohibit insider trading, bribery, and any form of corruption, including violations of the U.S. Foreign Corrupt Practices Act (FCPA).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AI-Specific Compliance: Ensure AI systems comply with ethical guidelines, such as avoiding bias, ensuring transparency, and adhering to applicable AI governance frameworks.</w:t>
            </w:r>
          </w:p>
        </w:tc>
      </w:tr>
    </w:tbl>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3620"/>
        <w:gridCol w:w="155"/>
      </w:tblGrid>
      <w:tr>
        <w:trPr/>
        <w:tc>
          <w:tcPr>
            <w:tcW w:w="3620" w:type="dxa"/>
            <w:tcBorders/>
            <w:vAlign w:val="center"/>
          </w:tcPr>
          <w:p>
            <w:pPr>
              <w:pStyle w:val="TableContents"/>
              <w:bidi w:val="0"/>
              <w:spacing w:before="0" w:after="283"/>
              <w:jc w:val="left"/>
              <w:rPr/>
            </w:pPr>
            <w:r>
              <w:rPr/>
              <w:t>Arrive AI Inc.</w:t>
            </w:r>
          </w:p>
        </w:tc>
        <w:tc>
          <w:tcPr>
            <w:tcW w:w="155" w:type="dxa"/>
            <w:tcBorders/>
            <w:vAlign w:val="center"/>
          </w:tcPr>
          <w:p>
            <w:pPr>
              <w:pStyle w:val="TableContents"/>
              <w:bidi w:val="0"/>
              <w:spacing w:before="0" w:after="283"/>
              <w:jc w:val="right"/>
              <w:rPr/>
            </w:pPr>
            <w:r>
              <w:rPr/>
              <w:t>1</w:t>
            </w:r>
          </w:p>
        </w:tc>
      </w:tr>
      <w:tr>
        <w:trPr/>
        <w:tc>
          <w:tcPr>
            <w:tcW w:w="3620" w:type="dxa"/>
            <w:tcBorders/>
            <w:vAlign w:val="center"/>
          </w:tcPr>
          <w:p>
            <w:pPr>
              <w:pStyle w:val="TableContents"/>
              <w:bidi w:val="0"/>
              <w:spacing w:before="0" w:after="283"/>
              <w:jc w:val="left"/>
              <w:rPr/>
            </w:pPr>
            <w:r>
              <w:rPr/>
              <w:t>Code of Business Conduct and Ethics</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Effective as of 4/15/2025</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IoT-Specific Compliance: Adhere to cybersecurity standards (e.g., NIST, ISO 27001) and regulations protecting connected devices and user data.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unsure about the legality of an action, consult your supervisor or the Compliance Officer immediately.</w:t>
            </w:r>
          </w:p>
        </w:tc>
      </w:tr>
    </w:tbl>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185"/>
        <w:gridCol w:w="239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3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Honest and Ethical Conduct</w:t>
            </w:r>
          </w:p>
        </w:tc>
      </w:tr>
    </w:tbl>
    <w:p>
      <w:pPr>
        <w:pStyle w:val="TextBody"/>
        <w:bidi w:val="0"/>
        <w:spacing w:before="0" w:after="0"/>
        <w:ind w:left="72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 with integrity in all business dealings, avoiding actions that could harm Arrive’s reputation or stakeholders.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decisions in the best interest of the company, not for personal gain or based on personal relationships.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and IoT Ethics: Design and deploy AI and IoT solutions responsibly, prioritizing user safety, privacy, and societal benefit over profit motives.</w:t>
            </w:r>
          </w:p>
        </w:tc>
      </w:tr>
    </w:tbl>
    <w:p>
      <w:pPr>
        <w:pStyle w:val="TextBody"/>
        <w:bidi w:val="0"/>
        <w:spacing w:before="0" w:after="0"/>
        <w:ind w:left="0" w:right="0" w:hanging="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185"/>
        <w:gridCol w:w="168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6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Conflicts of Interest</w:t>
            </w:r>
          </w:p>
        </w:tc>
      </w:tr>
    </w:tbl>
    <w:p>
      <w:pPr>
        <w:pStyle w:val="TextBody"/>
        <w:bidi w:val="0"/>
        <w:spacing w:before="0" w:after="0"/>
        <w:ind w:left="720" w:right="0" w:hanging="360"/>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conflict of interest occurs when personal interests interfere with the company’s interests. Examples include:</w:t>
            </w:r>
          </w:p>
        </w:tc>
      </w:tr>
    </w:tbl>
    <w:p>
      <w:pPr>
        <w:pStyle w:val="TextBody"/>
        <w:bidi w:val="0"/>
        <w:spacing w:before="0" w:after="0"/>
        <w:ind w:left="721" w:right="0" w:hanging="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Accepting gifts or favors exceeding $100 in value from vendors or clients without prior approval.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in outside employment or business ventures that compete with Arrive.</w:t>
            </w:r>
          </w:p>
        </w:tc>
      </w:tr>
    </w:tbl>
    <w:p>
      <w:pPr>
        <w:pStyle w:val="TextBody"/>
        <w:bidi w:val="0"/>
        <w:spacing w:before="0" w:after="0"/>
        <w:ind w:left="1080" w:right="0" w:hanging="35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 any potential conflicts to your supervisor or the Compliance Officer promptly. The company will determine if the conflict can be pursued and under what conditions.</w:t>
            </w:r>
          </w:p>
        </w:tc>
      </w:tr>
    </w:tbl>
    <w:p>
      <w:pPr>
        <w:pStyle w:val="TextBody"/>
        <w:bidi w:val="0"/>
        <w:spacing w:before="0" w:after="0"/>
        <w:ind w:left="0" w:right="0" w:hanging="0"/>
        <w:jc w:val="both"/>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185"/>
        <w:gridCol w:w="303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Reporting and Disclosure</w:t>
            </w:r>
          </w:p>
        </w:tc>
      </w:tr>
    </w:tbl>
    <w:p>
      <w:pPr>
        <w:pStyle w:val="TextBody"/>
        <w:bidi w:val="0"/>
        <w:spacing w:before="0" w:after="0"/>
        <w:ind w:left="72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reports and public communications must be full, fair, accurate, timely, and understandable, in compliance with SEC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financial officers (e.g., CEO, CFO, and Controller) are responsible for ensuring the integrity of financial records and disclosures.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 falsify records, mislead auditors, or withhold information that could affect financial reporting.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Insider Trading Prohibition: Do not buy, sell, or recommend company securities based on material non-public information (e.g., upcoming product launches, contracts, or financial results). Consult the Insider Trading Policy for blackout periods and pre-clearance requirements.</w:t>
            </w:r>
          </w:p>
        </w:tc>
      </w:tr>
    </w:tbl>
    <w:p>
      <w:pPr>
        <w:pStyle w:val="TextBody"/>
        <w:bidi w:val="0"/>
        <w:spacing w:before="0" w:after="0"/>
        <w:ind w:left="0" w:right="0" w:hanging="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3620"/>
        <w:gridCol w:w="155"/>
      </w:tblGrid>
      <w:tr>
        <w:trPr/>
        <w:tc>
          <w:tcPr>
            <w:tcW w:w="3620" w:type="dxa"/>
            <w:tcBorders/>
            <w:vAlign w:val="center"/>
          </w:tcPr>
          <w:p>
            <w:pPr>
              <w:pStyle w:val="TableContents"/>
              <w:bidi w:val="0"/>
              <w:spacing w:before="0" w:after="283"/>
              <w:jc w:val="left"/>
              <w:rPr/>
            </w:pPr>
            <w:r>
              <w:rPr/>
              <w:t>Arrive AI Inc.</w:t>
            </w:r>
          </w:p>
        </w:tc>
        <w:tc>
          <w:tcPr>
            <w:tcW w:w="155" w:type="dxa"/>
            <w:tcBorders/>
            <w:vAlign w:val="center"/>
          </w:tcPr>
          <w:p>
            <w:pPr>
              <w:pStyle w:val="TableContents"/>
              <w:bidi w:val="0"/>
              <w:spacing w:before="0" w:after="283"/>
              <w:jc w:val="right"/>
              <w:rPr/>
            </w:pPr>
            <w:r>
              <w:rPr/>
              <w:t>2</w:t>
            </w:r>
          </w:p>
        </w:tc>
      </w:tr>
      <w:tr>
        <w:trPr/>
        <w:tc>
          <w:tcPr>
            <w:tcW w:w="3620" w:type="dxa"/>
            <w:tcBorders/>
            <w:vAlign w:val="center"/>
          </w:tcPr>
          <w:p>
            <w:pPr>
              <w:pStyle w:val="TableContents"/>
              <w:bidi w:val="0"/>
              <w:spacing w:before="0" w:after="283"/>
              <w:jc w:val="left"/>
              <w:rPr/>
            </w:pPr>
            <w:r>
              <w:rPr/>
              <w:t>Code of Business Conduct and Ethics</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Effective as of 4/15/2025</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185"/>
        <w:gridCol w:w="13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Confidentiality</w:t>
            </w:r>
          </w:p>
        </w:tc>
      </w:tr>
    </w:tbl>
    <w:p>
      <w:pPr>
        <w:pStyle w:val="TextBody"/>
        <w:bidi w:val="0"/>
        <w:spacing w:before="0" w:after="0"/>
        <w:ind w:left="248" w:right="0" w:hanging="2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 confidential information, including trade secrets, proprietary technology (e.g., AI algorithms, device designs), customer data, and non-public financial details.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and IoT Data: Safeguard data collected or processed by AI systems and IoT devices, ensuring compliance with data protection laws and ethical use standards.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Do not disclose confidential information unless authorized by the company or </w:t>
            </w:r>
            <w:r>
              <w:rPr>
                <w:rFonts w:ascii="Times New Roman;Times;Serif" w:hAnsi="Times New Roman;Times;Serif"/>
                <w:b/>
                <w:i w:val="false"/>
                <w:caps w:val="false"/>
                <w:smallCaps w:val="false"/>
                <w:sz w:val="20"/>
              </w:rPr>
              <w:t xml:space="preserve">required </w:t>
            </w:r>
            <w:r>
              <w:rPr>
                <w:rFonts w:ascii="Times New Roman;Times;Serif" w:hAnsi="Times New Roman;Times;Serif"/>
                <w:b w:val="false"/>
                <w:i w:val="false"/>
                <w:caps w:val="false"/>
                <w:smallCaps w:val="false"/>
                <w:sz w:val="20"/>
              </w:rPr>
              <w:t>by law.</w:t>
            </w:r>
          </w:p>
        </w:tc>
      </w:tr>
    </w:tbl>
    <w:p>
      <w:pPr>
        <w:pStyle w:val="TextBody"/>
        <w:bidi w:val="0"/>
        <w:spacing w:before="0" w:after="0"/>
        <w:ind w:left="0" w:right="0" w:hanging="0"/>
        <w:jc w:val="both"/>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185"/>
        <w:gridCol w:w="111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1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Dealing</w:t>
            </w:r>
          </w:p>
        </w:tc>
      </w:tr>
    </w:tbl>
    <w:p>
      <w:pPr>
        <w:pStyle w:val="TextBody"/>
        <w:bidi w:val="0"/>
        <w:spacing w:before="0" w:after="0"/>
        <w:ind w:left="248" w:right="0" w:hanging="2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 customers, suppliers, competitors, and colleagues fairly and respectfully.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Avoid manipulation, misrepresentation, or unfair advantage through abuse of privileged information, including misuse of AI-generated insights or IoT data.</w:t>
            </w:r>
          </w:p>
        </w:tc>
      </w:tr>
    </w:tbl>
    <w:p>
      <w:pPr>
        <w:pStyle w:val="TextBody"/>
        <w:bidi w:val="0"/>
        <w:spacing w:before="0" w:after="0"/>
        <w:ind w:left="0" w:right="0" w:hanging="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85"/>
        <w:gridCol w:w="326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3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Protection and Use of Company Assets</w:t>
            </w:r>
          </w:p>
        </w:tc>
      </w:tr>
    </w:tbl>
    <w:p>
      <w:pPr>
        <w:pStyle w:val="TextBody"/>
        <w:bidi w:val="0"/>
        <w:spacing w:before="0" w:after="0"/>
        <w:ind w:left="72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company resources, including intellectual property, AI models, hardware, and equipment, responsibly and solely for legitimate business purposes.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Safeguard company assets against theft, loss, or misuse, including cyberattacks targeting AI or IoT systems.</w:t>
            </w:r>
          </w:p>
        </w:tc>
      </w:tr>
    </w:tbl>
    <w:p>
      <w:pPr>
        <w:pStyle w:val="TextBody"/>
        <w:bidi w:val="0"/>
        <w:spacing w:before="0" w:after="0"/>
        <w:ind w:left="0" w:right="0" w:hanging="0"/>
        <w:jc w:val="both"/>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185"/>
        <w:gridCol w:w="197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9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tc>
      </w:tr>
    </w:tbl>
    <w:p>
      <w:pPr>
        <w:pStyle w:val="TextBody"/>
        <w:bidi w:val="0"/>
        <w:spacing w:before="0" w:after="0"/>
        <w:ind w:left="72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 Insider trading involves trading company stock or tipping others based on material, non-public information gained through your role at Arrive.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Examples of Material Information: technology breakthroughs, partnership agreements, funding rounds, or significant financial updates.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Rules:</w:t>
            </w:r>
          </w:p>
        </w:tc>
      </w:tr>
    </w:tbl>
    <w:p>
      <w:pPr>
        <w:pStyle w:val="TextBody"/>
        <w:bidi w:val="0"/>
        <w:spacing w:before="0" w:after="0"/>
        <w:ind w:left="720" w:right="0" w:hanging="360"/>
        <w:jc w:val="both"/>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75"/>
        <w:gridCol w:w="170"/>
        <w:gridCol w:w="9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Refrain from trading during designated blackout periods or without pre-clearance from the Compliance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any inadvertent exposure to material non-public information immediately.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Violations may result in termination and referral to the SEC for civil or criminal penalties.</w:t>
            </w:r>
          </w:p>
        </w:tc>
      </w:tr>
    </w:tbl>
    <w:p>
      <w:pPr>
        <w:pStyle w:val="TextBody"/>
        <w:bidi w:val="0"/>
        <w:spacing w:before="0" w:after="0"/>
        <w:ind w:left="0" w:right="0" w:hanging="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185"/>
        <w:gridCol w:w="324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3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 and IoT-Specific Ethical Standards</w:t>
            </w:r>
          </w:p>
        </w:tc>
      </w:tr>
    </w:tbl>
    <w:p>
      <w:pPr>
        <w:pStyle w:val="TextBody"/>
        <w:bidi w:val="0"/>
        <w:spacing w:before="0" w:after="0"/>
        <w:ind w:left="248" w:right="0" w:hanging="2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Responsibility: Ensure AI systems are transparent, auditable, and free from unintended bias or harm. Document AI decision-making processes where required by law or industry standards.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IoT Security and Privacy: Design IoT devices with robust security features to protect against breaches and respect user privacy by default (e.g., opt-in data collection).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Accountability: Employees working on AI or IoT projects must report any ethical concerns (e.g., potential misuse of technology) to the Compliance Officer.</w:t>
            </w:r>
          </w:p>
        </w:tc>
      </w:tr>
    </w:tbl>
    <w:p>
      <w:pPr>
        <w:pStyle w:val="TextBody"/>
        <w:bidi w:val="0"/>
        <w:spacing w:before="0" w:after="0"/>
        <w:ind w:left="0" w:right="0" w:hanging="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3620"/>
        <w:gridCol w:w="155"/>
      </w:tblGrid>
      <w:tr>
        <w:trPr/>
        <w:tc>
          <w:tcPr>
            <w:tcW w:w="3620" w:type="dxa"/>
            <w:tcBorders/>
            <w:vAlign w:val="center"/>
          </w:tcPr>
          <w:p>
            <w:pPr>
              <w:pStyle w:val="TableContents"/>
              <w:bidi w:val="0"/>
              <w:spacing w:before="0" w:after="283"/>
              <w:jc w:val="left"/>
              <w:rPr/>
            </w:pPr>
            <w:r>
              <w:rPr/>
              <w:t>Arrive AI Inc.</w:t>
            </w:r>
          </w:p>
        </w:tc>
        <w:tc>
          <w:tcPr>
            <w:tcW w:w="155" w:type="dxa"/>
            <w:tcBorders/>
            <w:vAlign w:val="center"/>
          </w:tcPr>
          <w:p>
            <w:pPr>
              <w:pStyle w:val="TableContents"/>
              <w:bidi w:val="0"/>
              <w:spacing w:before="0" w:after="283"/>
              <w:jc w:val="right"/>
              <w:rPr/>
            </w:pPr>
            <w:r>
              <w:rPr/>
              <w:t>3</w:t>
            </w:r>
          </w:p>
        </w:tc>
      </w:tr>
      <w:tr>
        <w:trPr/>
        <w:tc>
          <w:tcPr>
            <w:tcW w:w="3620" w:type="dxa"/>
            <w:tcBorders/>
            <w:vAlign w:val="center"/>
          </w:tcPr>
          <w:p>
            <w:pPr>
              <w:pStyle w:val="TableContents"/>
              <w:bidi w:val="0"/>
              <w:spacing w:before="0" w:after="283"/>
              <w:jc w:val="left"/>
              <w:rPr/>
            </w:pPr>
            <w:r>
              <w:rPr/>
              <w:t>Code of Business Conduct and Ethics</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Effective as of 4/15/2025</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290"/>
        <w:gridCol w:w="34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34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 Violations and Accountability</w:t>
            </w:r>
          </w:p>
        </w:tc>
      </w:tr>
    </w:tbl>
    <w:p>
      <w:pPr>
        <w:pStyle w:val="TextBody"/>
        <w:bidi w:val="0"/>
        <w:spacing w:before="0" w:after="0"/>
        <w:ind w:left="377" w:right="0" w:hanging="37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Report any known or suspected violations of this Code, laws, or company policies— including ethics breaches, security lapses, or insider trading—to your supervisor, the Compliance Officer, or via our confidential Ethics Hotline at </w:t>
            </w:r>
            <w:r>
              <w:rPr>
                <w:rFonts w:ascii="Times New Roman;Times;Serif" w:hAnsi="Times New Roman;Times;Serif"/>
                <w:b w:val="false"/>
                <w:i w:val="false"/>
                <w:caps w:val="false"/>
                <w:smallCaps w:val="false"/>
                <w:sz w:val="20"/>
                <w:u w:val="single"/>
              </w:rPr>
              <w:t>ethics@arriveai.com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may be anonymous, and retaliation against whistleblowers is strictly prohibited.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Violations will be investigated promptly by the Audit Committee or designated personnel. Disciplinary actions for non-compliance may include reprimands, suspension, termination, or legal action, depending on the severity.</w:t>
            </w:r>
          </w:p>
        </w:tc>
      </w:tr>
    </w:tbl>
    <w:p>
      <w:pPr>
        <w:pStyle w:val="TextBody"/>
        <w:bidi w:val="0"/>
        <w:spacing w:before="0" w:after="0"/>
        <w:ind w:left="0" w:right="0" w:hanging="0"/>
        <w:jc w:val="both"/>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290"/>
        <w:gridCol w:w="75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Waivers</w:t>
            </w:r>
          </w:p>
        </w:tc>
      </w:tr>
    </w:tbl>
    <w:p>
      <w:pPr>
        <w:pStyle w:val="TextBody"/>
        <w:bidi w:val="0"/>
        <w:spacing w:before="0" w:after="0"/>
        <w:ind w:left="377" w:right="0" w:hanging="37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Waivers of this Code for directors or executive officers may only be granted by the Board of Directors and must be disclosed in a Form 8-K filing with the SEC within four business days, per NASDAQ and SEC rules.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Waivers for other employees may be approved by the Compliance Officer.</w:t>
            </w:r>
          </w:p>
        </w:tc>
      </w:tr>
    </w:tbl>
    <w:p>
      <w:pPr>
        <w:pStyle w:val="TextBody"/>
        <w:bidi w:val="0"/>
        <w:spacing w:before="0" w:after="0"/>
        <w:ind w:left="0" w:right="0" w:hanging="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290"/>
        <w:gridCol w:w="275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27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Administration and Compliance</w:t>
            </w:r>
          </w:p>
        </w:tc>
      </w:tr>
    </w:tbl>
    <w:p>
      <w:pPr>
        <w:pStyle w:val="TextBody"/>
        <w:bidi w:val="0"/>
        <w:spacing w:before="0" w:after="0"/>
        <w:ind w:left="377" w:right="0" w:hanging="37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Compliance Officer, appointed by the Board, oversees adherence to this Code and provides guidance on ethical issues, including AI, IoT, and insider trading matters.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Covered Persons must acknowledge receipt and understanding of this Code annually, either electronically or in writing.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provide training and resources on ethics, security, insider trading prevention, and general compliance to ensure adherence to this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720" w:right="0" w:hanging="36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75"/>
        <w:gridCol w:w="170"/>
        <w:gridCol w:w="46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Compliance Officer: Todd Pepmeier, </w:t>
            </w:r>
            <w:r>
              <w:rPr>
                <w:rFonts w:ascii="Times New Roman;Times;Serif" w:hAnsi="Times New Roman;Times;Serif"/>
                <w:b w:val="false"/>
                <w:i w:val="false"/>
                <w:caps w:val="false"/>
                <w:smallCaps w:val="false"/>
                <w:sz w:val="20"/>
                <w:u w:val="single"/>
              </w:rPr>
              <w:t>todd@arriveai.com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Ethics Hotline: </w:t>
            </w:r>
            <w:r>
              <w:rPr>
                <w:rFonts w:ascii="Times New Roman;Times;Serif" w:hAnsi="Times New Roman;Times;Serif"/>
                <w:b w:val="false"/>
                <w:i w:val="false"/>
                <w:caps w:val="false"/>
                <w:smallCaps w:val="false"/>
                <w:sz w:val="20"/>
                <w:u w:val="single"/>
              </w:rPr>
              <w:t>ethics@arriveai.com</w:t>
            </w:r>
            <w:r>
              <w:rPr>
                <w:rFonts w:ascii="Times New Roman;Times;Serif" w:hAnsi="Times New Roman;Times;Serif"/>
                <w:b w:val="false"/>
                <w:i w:val="false"/>
                <w:caps w:val="false"/>
                <w:smallCaps w:val="false"/>
                <w:sz w:val="20"/>
              </w:rPr>
              <w:t>, available 24/7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 Certification</w:t>
      </w:r>
    </w:p>
    <w:p>
      <w:pPr>
        <w:pStyle w:val="TextBody"/>
        <w:bidi w:val="0"/>
        <w:spacing w:before="0" w:after="0"/>
        <w:ind w:left="721"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received a copy of and read the Code of Business Conduct and Ethics of Arrive AI Inc. and its subsidiaries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 understand and agree to comply with the policies and procedures set forth in the Code of Business Conduct and Ethics.</w:t>
      </w:r>
    </w:p>
    <w:p>
      <w:pPr>
        <w:pStyle w:val="TextBody"/>
        <w:bidi w:val="0"/>
        <w:spacing w:before="0" w:after="0"/>
        <w:ind w:left="11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understand and agree that my failure to comply with this policy in all respects may constitute a basis for the termination for cause of my employment by or other service relationship with the Company, or other appropriate disciplinary action, and potential legal consequences.</w:t>
      </w:r>
    </w:p>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920"/>
        <w:gridCol w:w="60"/>
        <w:gridCol w:w="60"/>
        <w:gridCol w:w="3320"/>
      </w:tblGrid>
      <w:tr>
        <w:trPr/>
        <w:tc>
          <w:tcPr>
            <w:tcW w:w="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Signature: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 /_____(mm/dd/yyyy)</w:t>
            </w:r>
          </w:p>
        </w:tc>
      </w:tr>
    </w:tbl>
    <w:p>
      <w:pPr>
        <w:pStyle w:val="TextBody"/>
        <w:bidi w:val="0"/>
        <w:spacing w:before="0" w:after="283"/>
        <w:jc w:val="left"/>
        <w:rPr/>
      </w:pPr>
      <w:r>
        <w:rPr/>
        <w:t> </w:t>
      </w:r>
    </w:p>
    <w:tbl>
      <w:tblPr>
        <w:tblW w:w="1130" w:type="dxa"/>
        <w:jc w:val="left"/>
        <w:tblInd w:w="0" w:type="dxa"/>
        <w:tblLayout w:type="fixed"/>
        <w:tblCellMar>
          <w:top w:w="0" w:type="dxa"/>
          <w:left w:w="0" w:type="dxa"/>
          <w:bottom w:w="0" w:type="dxa"/>
          <w:right w:w="0" w:type="dxa"/>
        </w:tblCellMar>
      </w:tblPr>
      <w:tblGrid>
        <w:gridCol w:w="995"/>
        <w:gridCol w:w="60"/>
        <w:gridCol w:w="75"/>
      </w:tblGrid>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3775" w:type="dxa"/>
        <w:jc w:val="left"/>
        <w:tblInd w:w="0" w:type="dxa"/>
        <w:tblLayout w:type="fixed"/>
        <w:tblCellMar>
          <w:top w:w="0" w:type="dxa"/>
          <w:left w:w="0" w:type="dxa"/>
          <w:bottom w:w="0" w:type="dxa"/>
          <w:right w:w="0" w:type="dxa"/>
        </w:tblCellMar>
      </w:tblPr>
      <w:tblGrid>
        <w:gridCol w:w="3620"/>
        <w:gridCol w:w="155"/>
      </w:tblGrid>
      <w:tr>
        <w:trPr/>
        <w:tc>
          <w:tcPr>
            <w:tcW w:w="3620" w:type="dxa"/>
            <w:tcBorders/>
            <w:vAlign w:val="center"/>
          </w:tcPr>
          <w:p>
            <w:pPr>
              <w:pStyle w:val="TableContents"/>
              <w:bidi w:val="0"/>
              <w:spacing w:before="0" w:after="283"/>
              <w:jc w:val="left"/>
              <w:rPr/>
            </w:pPr>
            <w:r>
              <w:rPr/>
              <w:t>Arrive AI Inc.</w:t>
            </w:r>
          </w:p>
        </w:tc>
        <w:tc>
          <w:tcPr>
            <w:tcW w:w="155" w:type="dxa"/>
            <w:tcBorders/>
            <w:vAlign w:val="center"/>
          </w:tcPr>
          <w:p>
            <w:pPr>
              <w:pStyle w:val="TableContents"/>
              <w:bidi w:val="0"/>
              <w:spacing w:before="0" w:after="283"/>
              <w:jc w:val="right"/>
              <w:rPr/>
            </w:pPr>
            <w:r>
              <w:rPr/>
              <w:t>4</w:t>
            </w:r>
          </w:p>
        </w:tc>
      </w:tr>
      <w:tr>
        <w:trPr/>
        <w:tc>
          <w:tcPr>
            <w:tcW w:w="3620" w:type="dxa"/>
            <w:tcBorders/>
            <w:vAlign w:val="center"/>
          </w:tcPr>
          <w:p>
            <w:pPr>
              <w:pStyle w:val="TableContents"/>
              <w:bidi w:val="0"/>
              <w:spacing w:before="0" w:after="283"/>
              <w:jc w:val="left"/>
              <w:rPr/>
            </w:pPr>
            <w:r>
              <w:rPr/>
              <w:t>Code of Business Conduct and Ethics</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Effective as of 4/15/2025</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1029" w:name="ex19-1.htm"/>
      <w:bookmarkStart w:id="1030" w:name="ksex191"/>
      <w:bookmarkEnd w:id="1029"/>
      <w:bookmarkEnd w:id="103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914400" cy="2413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52"/>
                    <a:stretch>
                      <a:fillRect/>
                    </a:stretch>
                  </pic:blipFill>
                  <pic:spPr bwMode="auto">
                    <a:xfrm>
                      <a:off x="0" y="0"/>
                      <a:ext cx="914400" cy="2413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185"/>
        <w:gridCol w:w="19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9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this Policy.</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performing your duties for Arrive AI Inc., you may from time to time receive or become aware of material nonpublic information (“</w:t>
      </w:r>
      <w:r>
        <w:rPr>
          <w:rFonts w:ascii="Times New Roman;Times;Serif" w:hAnsi="Times New Roman;Times;Serif"/>
          <w:b/>
          <w:i w:val="false"/>
          <w:caps w:val="false"/>
          <w:smallCaps w:val="false"/>
          <w:sz w:val="20"/>
        </w:rPr>
        <w:t>MNPI</w:t>
      </w:r>
      <w:r>
        <w:rPr>
          <w:rFonts w:ascii="Times New Roman;Times;Serif" w:hAnsi="Times New Roman;Times;Serif"/>
          <w:b w:val="false"/>
          <w:i w:val="false"/>
          <w:caps w:val="false"/>
          <w:smallCaps w:val="false"/>
          <w:sz w:val="20"/>
        </w:rPr>
        <w:t>”) about the Company and its subsidiaries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or other companies that do business with the Company. This Insider Trading Policy (the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 furnishes guidelines concerning information that may be “material” and “nonpublic” and your legal obligations and obligations to the Company relating to the use or disclosure of MNPI regarding the Company or such other companies.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this Policy to promote compliance with applicable securities laws, known as “insider trading” laws, which prohibit persons who receive or become aware of MNPI about the Company (or other companies that do business with the Company) from trading in the Company’s (or such other company’s) securities or providing MNPI to others who may trade in the Company’s (or such other company’s) securities on the basis of that information.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Insider trading laws can impose legal liability not only on individuals who fail to comply with these laws, but also to the Company as the employer of individuals who violate these laws. Accordingly, the Company has adopted this Policy not only to guide the individuals associated with the Company who are covered by the Policy, but also to protect the Company from legal liability and promote its business interest in maintaining an impeccable reputation for integrity.</w:t>
      </w:r>
    </w:p>
    <w:p>
      <w:pPr>
        <w:pStyle w:val="TextBody"/>
        <w:bidi w:val="0"/>
        <w:spacing w:before="0" w:after="0"/>
        <w:ind w:left="360" w:right="0" w:hanging="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185"/>
        <w:gridCol w:w="231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23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Effectiveness of this Policy.</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is effective as of the date set forth at the top of this page and supersedes any previous insider trading policy of the Company. In the event of any conflict or inconsistency between this Policy and any other materials previously distributed by the Company, this Policy shall govern. In addition, each Covered Person (as defined below) is responsible for complying with applicable law as then in force and effect. Accordingly, in the event of any conflict or inconsistency between this Policy and applicable law, or any omission from this Policy, Covered Persons are not excused from complying with applicable law.</w:t>
      </w:r>
    </w:p>
    <w:p>
      <w:pPr>
        <w:pStyle w:val="TextBody"/>
        <w:bidi w:val="0"/>
        <w:spacing w:before="0" w:after="0"/>
        <w:ind w:left="360" w:right="0" w:hanging="0"/>
        <w:jc w:val="both"/>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185"/>
        <w:gridCol w:w="29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29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Officer for this Policy.</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Financial Officer, Todd Pepmeier, is the compliance officer (the “</w:t>
      </w:r>
      <w:r>
        <w:rPr>
          <w:rFonts w:ascii="Times New Roman;Times;Serif" w:hAnsi="Times New Roman;Times;Serif"/>
          <w:b/>
          <w:i w:val="false"/>
          <w:caps w:val="false"/>
          <w:smallCaps w:val="false"/>
          <w:sz w:val="20"/>
        </w:rPr>
        <w:t>Compliance Officer</w:t>
      </w:r>
      <w:r>
        <w:rPr>
          <w:rFonts w:ascii="Times New Roman;Times;Serif" w:hAnsi="Times New Roman;Times;Serif"/>
          <w:b w:val="false"/>
          <w:i w:val="false"/>
          <w:caps w:val="false"/>
          <w:smallCaps w:val="false"/>
          <w:sz w:val="20"/>
        </w:rPr>
        <w:t>”) for this Policy. The Compliance Officer, or the Board of Directors of the Company, may designate additional officers of the Company to serve as Compliance Officer for this Policy from time to time. Any questions concerning this Policy should be directed to, and all interpretations of this Policy shall be made by, a duly designated Compliance Officer.</w:t>
      </w:r>
    </w:p>
    <w:p>
      <w:pPr>
        <w:pStyle w:val="TextBody"/>
        <w:bidi w:val="0"/>
        <w:spacing w:before="0" w:after="0"/>
        <w:ind w:left="360" w:right="0" w:hanging="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4325"/>
        <w:gridCol w:w="155"/>
      </w:tblGrid>
      <w:tr>
        <w:trPr/>
        <w:tc>
          <w:tcPr>
            <w:tcW w:w="4325" w:type="dxa"/>
            <w:tcBorders/>
            <w:vAlign w:val="center"/>
          </w:tcPr>
          <w:p>
            <w:pPr>
              <w:pStyle w:val="TableContents"/>
              <w:bidi w:val="0"/>
              <w:jc w:val="left"/>
              <w:rPr/>
            </w:pPr>
            <w:r>
              <w:rPr/>
              <w:t>Arrive AI Inc.</w:t>
            </w:r>
          </w:p>
          <w:p>
            <w:pPr>
              <w:pStyle w:val="TableContents"/>
              <w:bidi w:val="0"/>
              <w:jc w:val="left"/>
              <w:rPr/>
            </w:pPr>
            <w:r>
              <w:rPr/>
              <w:t>Insider Trading Policy</w:t>
            </w:r>
          </w:p>
          <w:p>
            <w:pPr>
              <w:pStyle w:val="TableContents"/>
              <w:bidi w:val="0"/>
              <w:spacing w:before="0" w:after="283"/>
              <w:jc w:val="left"/>
              <w:rPr/>
            </w:pPr>
            <w:r>
              <w:rPr/>
              <w:t>Effective as of 4/15/2025, Revised 2/11/2026</w:t>
            </w:r>
          </w:p>
        </w:tc>
        <w:tc>
          <w:tcPr>
            <w:tcW w:w="155"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185"/>
        <w:gridCol w:w="257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5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Whom This Policy Applies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is applicable to all directors, officers and employees of the Company, whether located in or outside of the United States, as well as family members and other members of their respective households, partnerships in which any such person is a general partner, trusts of which any such person is a trustee, estates of which any such person is an administrator or executor and other legal entities that any such person controls (the “</w:t>
      </w:r>
      <w:r>
        <w:rPr>
          <w:rFonts w:ascii="Times New Roman;Times;Serif" w:hAnsi="Times New Roman;Times;Serif"/>
          <w:b/>
          <w:i w:val="false"/>
          <w:caps w:val="false"/>
          <w:smallCaps w:val="false"/>
          <w:sz w:val="20"/>
        </w:rPr>
        <w:t>Covered Persons</w:t>
      </w:r>
      <w:r>
        <w:rPr>
          <w:rFonts w:ascii="Times New Roman;Times;Serif" w:hAnsi="Times New Roman;Times;Serif"/>
          <w:b w:val="false"/>
          <w:i w:val="false"/>
          <w:caps w:val="false"/>
          <w:smallCaps w:val="false"/>
          <w:sz w:val="20"/>
        </w:rPr>
        <w:t>”). The Compliance Officer may also determine from time to time that other persons who may have access to MNPI due to their activities with the Company shall be subject to this Policy. Any persons so identified by the Compliance Officer shall also be “Covered Persons” for purposes of this Policy.</w:t>
      </w:r>
    </w:p>
    <w:p>
      <w:pPr>
        <w:pStyle w:val="TextBody"/>
        <w:bidi w:val="0"/>
        <w:spacing w:before="0" w:after="0"/>
        <w:ind w:left="360" w:right="0" w:hanging="0"/>
        <w:jc w:val="both"/>
        <w:rPr>
          <w:caps w:val="false"/>
          <w:smallCaps w:val="false"/>
        </w:rPr>
      </w:pPr>
      <w:r>
        <w:rPr>
          <w:caps w:val="false"/>
          <w:smallCaps w:val="false"/>
        </w:rPr>
        <w:t> </w:t>
      </w:r>
    </w:p>
    <w:tbl>
      <w:tblPr>
        <w:tblW w:w="805" w:type="dxa"/>
        <w:jc w:val="left"/>
        <w:tblInd w:w="0" w:type="dxa"/>
        <w:tblLayout w:type="fixed"/>
        <w:tblCellMar>
          <w:top w:w="0" w:type="dxa"/>
          <w:left w:w="0" w:type="dxa"/>
          <w:bottom w:w="0" w:type="dxa"/>
          <w:right w:w="0" w:type="dxa"/>
        </w:tblCellMar>
      </w:tblPr>
      <w:tblGrid>
        <w:gridCol w:w="185"/>
        <w:gridCol w:w="62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Covered Person is in possession of MNPI relating to the Company, that person may not, directly or indirectly, buy, sell or engage in other transactions in securities of the Company (to be broadly construed to include equity, debt and convertible securities of the Company, and derivatives (whether or not issued by the Company) linked to or exercisable for securities of the Company (the “</w:t>
      </w:r>
      <w:r>
        <w:rPr>
          <w:rFonts w:ascii="Times New Roman;Times;Serif" w:hAnsi="Times New Roman;Times;Serif"/>
          <w:b/>
          <w:i w:val="false"/>
          <w:caps w:val="false"/>
          <w:smallCaps w:val="false"/>
          <w:sz w:val="20"/>
        </w:rPr>
        <w:t>Company Securities</w:t>
      </w:r>
      <w:r>
        <w:rPr>
          <w:rFonts w:ascii="Times New Roman;Times;Serif" w:hAnsi="Times New Roman;Times;Serif"/>
          <w:b w:val="false"/>
          <w:i w:val="false"/>
          <w:caps w:val="false"/>
          <w:smallCaps w:val="false"/>
          <w:sz w:val="20"/>
        </w:rPr>
        <w:t>”), except as set forth in Section (8) below, or engage, directly or indirectly, in any other action to disclose to others (‘tipping”) or benefit from or take advantage of that information (for example, recommending transactions in Company Securities).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also applies to MNPI relating to any other company with publicly-traded securities, including the Company’s customers, suppliers or other business relations, obtained in the course of the Covered Person’s employment by, service to or other relationship with the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restrictions on buying, selling or engaging in other transactions in Company Securities apply to directors, executive officers and Section 16 Officers (as defined below) of the Company, as described in Section 9. below.</w:t>
      </w:r>
    </w:p>
    <w:p>
      <w:pPr>
        <w:pStyle w:val="TextBody"/>
        <w:bidi w:val="0"/>
        <w:spacing w:before="0" w:after="0"/>
        <w:ind w:left="36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5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Explanations.</w:t>
            </w:r>
          </w:p>
        </w:tc>
      </w:tr>
    </w:tbl>
    <w:p>
      <w:pPr>
        <w:pStyle w:val="TextBody"/>
        <w:bidi w:val="0"/>
        <w:spacing w:before="0" w:after="0"/>
        <w:ind w:left="360" w:right="0" w:hanging="360"/>
        <w:jc w:val="both"/>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29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8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Information is “Material”.</w:t>
            </w:r>
          </w:p>
        </w:tc>
      </w:tr>
    </w:tbl>
    <w:p>
      <w:pPr>
        <w:pStyle w:val="TextBody"/>
        <w:bidi w:val="0"/>
        <w:spacing w:before="0" w:after="0"/>
        <w:ind w:left="720" w:right="0" w:hanging="504"/>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determine whether information is material, it must be evaluated in the context of all facts and circumstances at play at the time. Information is considered “material” if:</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reasonable investor would consider the information important in making a decision to buy, sell or hold Company Securities;</w:t>
            </w:r>
          </w:p>
        </w:tc>
      </w:tr>
    </w:tbl>
    <w:p>
      <w:pPr>
        <w:pStyle w:val="TextBody"/>
        <w:bidi w:val="0"/>
        <w:spacing w:before="0" w:after="0"/>
        <w:ind w:left="1224" w:right="0" w:hanging="36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4325"/>
        <w:gridCol w:w="155"/>
      </w:tblGrid>
      <w:tr>
        <w:trPr/>
        <w:tc>
          <w:tcPr>
            <w:tcW w:w="4325" w:type="dxa"/>
            <w:tcBorders/>
            <w:vAlign w:val="center"/>
          </w:tcPr>
          <w:p>
            <w:pPr>
              <w:pStyle w:val="TableContents"/>
              <w:bidi w:val="0"/>
              <w:jc w:val="left"/>
              <w:rPr/>
            </w:pPr>
            <w:r>
              <w:rPr/>
              <w:t>Arrive AI Inc.</w:t>
            </w:r>
          </w:p>
          <w:p>
            <w:pPr>
              <w:pStyle w:val="TableContents"/>
              <w:bidi w:val="0"/>
              <w:jc w:val="left"/>
              <w:rPr/>
            </w:pPr>
            <w:r>
              <w:rPr/>
              <w:t>Insider Trading Policy</w:t>
            </w:r>
          </w:p>
          <w:p>
            <w:pPr>
              <w:pStyle w:val="TableContents"/>
              <w:bidi w:val="0"/>
              <w:spacing w:before="0" w:after="283"/>
              <w:jc w:val="left"/>
              <w:rPr/>
            </w:pPr>
            <w:r>
              <w:rPr/>
              <w:t>Effective as of 4/15/2025, Revised 2/11/2026</w:t>
            </w:r>
          </w:p>
        </w:tc>
        <w:tc>
          <w:tcPr>
            <w:tcW w:w="155"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of the information could produce a qualitative change to the package of information disclosed to the public by the Company; or</w:t>
            </w:r>
          </w:p>
        </w:tc>
      </w:tr>
    </w:tbl>
    <w:p>
      <w:pPr>
        <w:pStyle w:val="TextBody"/>
        <w:bidi w:val="0"/>
        <w:spacing w:before="0" w:after="0"/>
        <w:ind w:left="1224" w:right="0" w:hanging="360"/>
        <w:jc w:val="both"/>
        <w:rPr>
          <w:caps w:val="false"/>
          <w:smallCaps w:val="false"/>
        </w:rPr>
      </w:pPr>
      <w:r>
        <w:rPr>
          <w:caps w:val="false"/>
          <w:smallCaps w:val="false"/>
        </w:rPr>
        <w:t> </w:t>
      </w:r>
    </w:p>
    <w:tbl>
      <w:tblPr>
        <w:tblW w:w="10203" w:type="dxa"/>
        <w:jc w:val="left"/>
        <w:tblInd w:w="0" w:type="dxa"/>
        <w:tblLayout w:type="fixed"/>
        <w:tblCellMar>
          <w:top w:w="0" w:type="dxa"/>
          <w:left w:w="0" w:type="dxa"/>
          <w:bottom w:w="0" w:type="dxa"/>
          <w:right w:w="0" w:type="dxa"/>
        </w:tblCellMar>
      </w:tblPr>
      <w:tblGrid>
        <w:gridCol w:w="38"/>
        <w:gridCol w:w="170"/>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disclosure of the information would be likely to have a significant effect on the market price of Company Securities.</w:t>
            </w:r>
          </w:p>
        </w:tc>
      </w:tr>
    </w:tbl>
    <w:p>
      <w:pPr>
        <w:pStyle w:val="TextBody"/>
        <w:bidi w:val="0"/>
        <w:spacing w:before="0" w:after="0"/>
        <w:ind w:left="1224"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information can be positive or negative and can relate to virtually any aspect of the Company’s business. Information that is or may be material includes (but is not limited to) the following, depending upon all facts and circumstances at the time of assessment:</w:t>
      </w:r>
    </w:p>
    <w:p>
      <w:pPr>
        <w:pStyle w:val="TextBody"/>
        <w:bidi w:val="0"/>
        <w:spacing w:before="0" w:after="0"/>
        <w:ind w:left="720" w:right="0" w:hanging="0"/>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17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unpublished financial or operating results, positive or negative;</w:t>
            </w:r>
          </w:p>
        </w:tc>
      </w:tr>
    </w:tbl>
    <w:p>
      <w:pPr>
        <w:pStyle w:val="TextBody"/>
        <w:bidi w:val="0"/>
        <w:spacing w:before="0" w:after="0"/>
        <w:ind w:left="1224" w:right="0" w:hanging="360"/>
        <w:jc w:val="both"/>
        <w:rPr>
          <w:caps w:val="false"/>
          <w:smallCaps w:val="false"/>
        </w:rPr>
      </w:pPr>
      <w:r>
        <w:rPr>
          <w:caps w:val="false"/>
          <w:smallCaps w:val="false"/>
        </w:rPr>
        <w:t> </w:t>
      </w:r>
    </w:p>
    <w:tbl>
      <w:tblPr>
        <w:tblW w:w="7818" w:type="dxa"/>
        <w:jc w:val="left"/>
        <w:tblInd w:w="0" w:type="dxa"/>
        <w:tblLayout w:type="fixed"/>
        <w:tblCellMar>
          <w:top w:w="0" w:type="dxa"/>
          <w:left w:w="0" w:type="dxa"/>
          <w:bottom w:w="0" w:type="dxa"/>
          <w:right w:w="0" w:type="dxa"/>
        </w:tblCellMar>
      </w:tblPr>
      <w:tblGrid>
        <w:gridCol w:w="38"/>
        <w:gridCol w:w="170"/>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projections or changes in projections of financial or operating results, upwards or downwards;</w:t>
            </w:r>
          </w:p>
        </w:tc>
      </w:tr>
    </w:tbl>
    <w:p>
      <w:pPr>
        <w:pStyle w:val="TextBody"/>
        <w:bidi w:val="0"/>
        <w:spacing w:before="0" w:after="0"/>
        <w:ind w:left="1224" w:right="0" w:hanging="360"/>
        <w:jc w:val="both"/>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17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pending or proposed corporate transaction involving the Company, such as merger, acquisition or divestiture;</w:t>
            </w:r>
          </w:p>
        </w:tc>
      </w:tr>
    </w:tbl>
    <w:p>
      <w:pPr>
        <w:pStyle w:val="TextBody"/>
        <w:bidi w:val="0"/>
        <w:spacing w:before="0" w:after="0"/>
        <w:ind w:left="122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pending or proposed public offering or private placement of securities of the Company or other financing for the Company outside of the ordinary course of business;</w:t>
            </w:r>
          </w:p>
        </w:tc>
      </w:tr>
    </w:tbl>
    <w:p>
      <w:pPr>
        <w:pStyle w:val="TextBody"/>
        <w:bidi w:val="0"/>
        <w:spacing w:before="0" w:after="0"/>
        <w:ind w:left="1224" w:right="0" w:hanging="360"/>
        <w:jc w:val="both"/>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38"/>
        <w:gridCol w:w="170"/>
        <w:gridCol w:w="5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pending or proposed repurchase or redemption of Company Securities;</w:t>
            </w:r>
          </w:p>
        </w:tc>
      </w:tr>
    </w:tbl>
    <w:p>
      <w:pPr>
        <w:pStyle w:val="TextBody"/>
        <w:bidi w:val="0"/>
        <w:spacing w:before="0" w:after="0"/>
        <w:ind w:left="1224" w:right="0" w:hanging="360"/>
        <w:jc w:val="both"/>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17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or loss of a significant customer or supplier;</w:t>
            </w:r>
          </w:p>
        </w:tc>
      </w:tr>
    </w:tbl>
    <w:p>
      <w:pPr>
        <w:pStyle w:val="TextBody"/>
        <w:bidi w:val="0"/>
        <w:spacing w:before="0" w:after="0"/>
        <w:ind w:left="1224" w:right="0" w:hanging="360"/>
        <w:jc w:val="both"/>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
        <w:gridCol w:w="170"/>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senior management;</w:t>
            </w:r>
          </w:p>
        </w:tc>
      </w:tr>
    </w:tbl>
    <w:p>
      <w:pPr>
        <w:pStyle w:val="TextBody"/>
        <w:bidi w:val="0"/>
        <w:spacing w:before="0" w:after="0"/>
        <w:ind w:left="1224" w:right="0" w:hanging="360"/>
        <w:jc w:val="both"/>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17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of a business contract that is important to the Company financially, strategically or otherwise;</w:t>
            </w:r>
          </w:p>
        </w:tc>
      </w:tr>
    </w:tbl>
    <w:p>
      <w:pPr>
        <w:pStyle w:val="TextBody"/>
        <w:bidi w:val="0"/>
        <w:spacing w:before="0" w:after="0"/>
        <w:ind w:left="1224" w:right="0" w:hanging="360"/>
        <w:jc w:val="both"/>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17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regulatory approvals or challenges;</w:t>
            </w:r>
          </w:p>
        </w:tc>
      </w:tr>
    </w:tbl>
    <w:p>
      <w:pPr>
        <w:pStyle w:val="TextBody"/>
        <w:bidi w:val="0"/>
        <w:spacing w:before="0" w:after="0"/>
        <w:ind w:left="122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threatened litigation of potential significance to the Company, or settlement or other resolution of ongoing litigation;</w:t>
            </w:r>
          </w:p>
        </w:tc>
      </w:tr>
    </w:tbl>
    <w:p>
      <w:pPr>
        <w:pStyle w:val="TextBody"/>
        <w:bidi w:val="0"/>
        <w:spacing w:before="0" w:after="0"/>
        <w:ind w:left="1224" w:right="0" w:hanging="360"/>
        <w:jc w:val="both"/>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17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Company’s independent registered public accounting firm;</w:t>
            </w:r>
          </w:p>
        </w:tc>
      </w:tr>
    </w:tbl>
    <w:p>
      <w:pPr>
        <w:pStyle w:val="TextBody"/>
        <w:bidi w:val="0"/>
        <w:spacing w:before="0" w:after="0"/>
        <w:ind w:left="1224" w:right="0" w:hanging="360"/>
        <w:jc w:val="both"/>
        <w:rPr>
          <w:caps w:val="false"/>
          <w:smallCaps w:val="false"/>
        </w:rPr>
      </w:pPr>
      <w:r>
        <w:rPr>
          <w:caps w:val="false"/>
          <w:smallCaps w:val="false"/>
        </w:rPr>
        <w:t> </w:t>
      </w:r>
    </w:p>
    <w:tbl>
      <w:tblPr>
        <w:tblW w:w="3438" w:type="dxa"/>
        <w:jc w:val="left"/>
        <w:tblInd w:w="0" w:type="dxa"/>
        <w:tblLayout w:type="fixed"/>
        <w:tblCellMar>
          <w:top w:w="0" w:type="dxa"/>
          <w:left w:w="0" w:type="dxa"/>
          <w:bottom w:w="0" w:type="dxa"/>
          <w:right w:w="0" w:type="dxa"/>
        </w:tblCellMar>
      </w:tblPr>
      <w:tblGrid>
        <w:gridCol w:w="38"/>
        <w:gridCol w:w="17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restate financial statements;</w:t>
            </w:r>
          </w:p>
        </w:tc>
      </w:tr>
    </w:tbl>
    <w:p>
      <w:pPr>
        <w:pStyle w:val="TextBody"/>
        <w:bidi w:val="0"/>
        <w:spacing w:before="0" w:after="0"/>
        <w:ind w:left="1224" w:right="0" w:hanging="360"/>
        <w:jc w:val="both"/>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38"/>
        <w:gridCol w:w="17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impending bankruptcy or liquidity problems; and</w:t>
            </w:r>
          </w:p>
        </w:tc>
      </w:tr>
    </w:tbl>
    <w:p>
      <w:pPr>
        <w:pStyle w:val="TextBody"/>
        <w:bidi w:val="0"/>
        <w:spacing w:before="0" w:after="0"/>
        <w:ind w:left="122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material events or developments that the Company is required to disclose in a Form 8-K to be filed with the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w:t>
            </w:r>
          </w:p>
        </w:tc>
      </w:tr>
    </w:tbl>
    <w:p>
      <w:pPr>
        <w:pStyle w:val="TextBody"/>
        <w:bidi w:val="0"/>
        <w:spacing w:before="0" w:after="0"/>
        <w:ind w:left="1224" w:right="0" w:hanging="36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4325"/>
        <w:gridCol w:w="155"/>
      </w:tblGrid>
      <w:tr>
        <w:trPr/>
        <w:tc>
          <w:tcPr>
            <w:tcW w:w="4325" w:type="dxa"/>
            <w:tcBorders/>
            <w:vAlign w:val="center"/>
          </w:tcPr>
          <w:p>
            <w:pPr>
              <w:pStyle w:val="TableContents"/>
              <w:bidi w:val="0"/>
              <w:jc w:val="left"/>
              <w:rPr/>
            </w:pPr>
            <w:r>
              <w:rPr/>
              <w:t>Arrive AI Inc.</w:t>
            </w:r>
          </w:p>
          <w:p>
            <w:pPr>
              <w:pStyle w:val="TableContents"/>
              <w:bidi w:val="0"/>
              <w:jc w:val="left"/>
              <w:rPr/>
            </w:pPr>
            <w:r>
              <w:rPr/>
              <w:t>Insider Trading Policy</w:t>
            </w:r>
          </w:p>
          <w:p>
            <w:pPr>
              <w:pStyle w:val="TableContents"/>
              <w:bidi w:val="0"/>
              <w:spacing w:before="0" w:after="283"/>
              <w:jc w:val="left"/>
              <w:rPr/>
            </w:pPr>
            <w:r>
              <w:rPr/>
              <w:t>Effective as of 4/15/2025, Revised 2/11/2026</w:t>
            </w:r>
          </w:p>
        </w:tc>
        <w:tc>
          <w:tcPr>
            <w:tcW w:w="155"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9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Information is “Nonpublic”.</w:t>
            </w:r>
          </w:p>
        </w:tc>
      </w:tr>
    </w:tbl>
    <w:p>
      <w:pPr>
        <w:pStyle w:val="TextBody"/>
        <w:bidi w:val="0"/>
        <w:spacing w:before="0" w:after="0"/>
        <w:ind w:left="720" w:right="0" w:hanging="504"/>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is “nonpublic” if it has not been disclosed to the public. In order for information to be considered public, it must be widely disseminated; for example, through:</w:t>
      </w:r>
    </w:p>
    <w:p>
      <w:pPr>
        <w:pStyle w:val="TextBody"/>
        <w:bidi w:val="0"/>
        <w:spacing w:before="0" w:after="0"/>
        <w:ind w:left="720" w:right="0" w:hanging="0"/>
        <w:jc w:val="both"/>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17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newswire releases;</w:t>
            </w:r>
          </w:p>
        </w:tc>
      </w:tr>
    </w:tbl>
    <w:p>
      <w:pPr>
        <w:pStyle w:val="TextBody"/>
        <w:bidi w:val="0"/>
        <w:spacing w:before="0" w:after="0"/>
        <w:ind w:left="1224" w:right="0" w:hanging="360"/>
        <w:jc w:val="both"/>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170"/>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widely available broadcasts on television and radio;</w:t>
            </w:r>
          </w:p>
        </w:tc>
      </w:tr>
    </w:tbl>
    <w:p>
      <w:pPr>
        <w:pStyle w:val="TextBody"/>
        <w:bidi w:val="0"/>
        <w:spacing w:before="0" w:after="0"/>
        <w:ind w:left="1224" w:right="0" w:hanging="360"/>
        <w:jc w:val="both"/>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in widely available newspapers or news websites; or</w:t>
            </w:r>
          </w:p>
        </w:tc>
      </w:tr>
    </w:tbl>
    <w:p>
      <w:pPr>
        <w:pStyle w:val="TextBody"/>
        <w:bidi w:val="0"/>
        <w:spacing w:before="0" w:after="0"/>
        <w:ind w:left="1224" w:right="0" w:hanging="360"/>
        <w:jc w:val="both"/>
        <w:rPr>
          <w:caps w:val="false"/>
          <w:smallCaps w:val="false"/>
        </w:rPr>
      </w:pPr>
      <w:r>
        <w:rPr>
          <w:caps w:val="false"/>
          <w:smallCaps w:val="false"/>
        </w:rPr>
        <w:t> </w:t>
      </w:r>
    </w:p>
    <w:tbl>
      <w:tblPr>
        <w:tblW w:w="5448" w:type="dxa"/>
        <w:jc w:val="left"/>
        <w:tblInd w:w="0" w:type="dxa"/>
        <w:tblLayout w:type="fixed"/>
        <w:tblCellMar>
          <w:top w:w="0" w:type="dxa"/>
          <w:left w:w="0" w:type="dxa"/>
          <w:bottom w:w="0" w:type="dxa"/>
          <w:right w:w="0" w:type="dxa"/>
        </w:tblCellMar>
      </w:tblPr>
      <w:tblGrid>
        <w:gridCol w:w="38"/>
        <w:gridCol w:w="17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in the Company’s periodic reports filed with the SEC.</w:t>
            </w:r>
          </w:p>
        </w:tc>
      </w:tr>
    </w:tbl>
    <w:p>
      <w:pPr>
        <w:pStyle w:val="TextBody"/>
        <w:bidi w:val="0"/>
        <w:spacing w:before="0" w:after="0"/>
        <w:ind w:left="1224"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on the Company’s website can also contribute to wide dissemination of information (and may itself constitute wide dissemination depending upon the extent to which the Company has established its website as a vehicle for timely release of important Company information in accordance with SEC guidance).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 wide dissemination of material information, a reasonable period of time must elapse for the investing public to process the information. As a rule of thumb, one full trading day following wide dissemination is regarded as a reasonable waiting period before such information is deemed to be “public” and no longer “nonpublic” for purposes of this Policy. The Compliance Officer may determine that a different waiting period is appropriate with respect to particular Company disclosures based upon prevailing facts and circumstances. For the avoidance of doubt, Covered Persons should consult the Compliance Officer when contemplating transactions in Company Securities shortly after public disclosures by the Company.</w:t>
      </w:r>
    </w:p>
    <w:p>
      <w:pPr>
        <w:pStyle w:val="TextBody"/>
        <w:bidi w:val="0"/>
        <w:spacing w:before="0" w:after="0"/>
        <w:ind w:left="720" w:right="0" w:hanging="0"/>
        <w:jc w:val="both"/>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38"/>
        <w:gridCol w:w="275"/>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53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 Mindful of How a Transaction May be Viewed in Hindsight.</w:t>
            </w:r>
          </w:p>
        </w:tc>
      </w:tr>
    </w:tbl>
    <w:p>
      <w:pPr>
        <w:pStyle w:val="TextBody"/>
        <w:bidi w:val="0"/>
        <w:spacing w:before="0" w:after="0"/>
        <w:ind w:left="720" w:right="0" w:hanging="504"/>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particular transaction (or group of transactions) is challenged by enforcement authorities, it will be viewed with the benefit of hindsight. As a result, before engaging in any transaction, a Covered Person should give careful thought to whether any facts and circumstances exist that could raise suspicions about the propriety of the proposed transaction after the fact; for example, as to whether information that the Covered Person has become aware of may be construed as “material” and “nonpublic.” Again, in the event of any doubt, Covered Persons should consult the Compliance Officer when contemplating transactions in Company Securities.</w:t>
      </w:r>
    </w:p>
    <w:p>
      <w:pPr>
        <w:pStyle w:val="TextBody"/>
        <w:bidi w:val="0"/>
        <w:spacing w:before="0" w:after="0"/>
        <w:ind w:left="720" w:right="0" w:hanging="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4325"/>
        <w:gridCol w:w="155"/>
      </w:tblGrid>
      <w:tr>
        <w:trPr/>
        <w:tc>
          <w:tcPr>
            <w:tcW w:w="4325" w:type="dxa"/>
            <w:tcBorders/>
            <w:vAlign w:val="center"/>
          </w:tcPr>
          <w:p>
            <w:pPr>
              <w:pStyle w:val="TableContents"/>
              <w:bidi w:val="0"/>
              <w:jc w:val="left"/>
              <w:rPr/>
            </w:pPr>
            <w:r>
              <w:rPr/>
              <w:t>Arrive AI Inc.</w:t>
            </w:r>
          </w:p>
          <w:p>
            <w:pPr>
              <w:pStyle w:val="TableContents"/>
              <w:bidi w:val="0"/>
              <w:jc w:val="left"/>
              <w:rPr/>
            </w:pPr>
            <w:r>
              <w:rPr/>
              <w:t>Insider Trading Policy</w:t>
            </w:r>
          </w:p>
          <w:p>
            <w:pPr>
              <w:pStyle w:val="TableContents"/>
              <w:bidi w:val="0"/>
              <w:spacing w:before="0" w:after="283"/>
              <w:jc w:val="left"/>
              <w:rPr/>
            </w:pPr>
            <w:r>
              <w:rPr/>
              <w:t>Effective as of 4/15/2025, Revised 2/11/2026</w:t>
            </w:r>
          </w:p>
        </w:tc>
        <w:tc>
          <w:tcPr>
            <w:tcW w:w="155" w:type="dxa"/>
            <w:tcBorders/>
            <w:vAlign w:val="center"/>
          </w:tcPr>
          <w:p>
            <w:pPr>
              <w:pStyle w:val="TableContents"/>
              <w:bidi w:val="0"/>
              <w:spacing w:before="0" w:after="283"/>
              <w:jc w:val="right"/>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185"/>
        <w:gridCol w:w="98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9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Guidelines.</w:t>
            </w:r>
          </w:p>
        </w:tc>
      </w:tr>
    </w:tbl>
    <w:p>
      <w:pPr>
        <w:pStyle w:val="TextBody"/>
        <w:bidi w:val="0"/>
        <w:spacing w:before="0" w:after="0"/>
        <w:ind w:left="360" w:right="0" w:hanging="360"/>
        <w:jc w:val="both"/>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38"/>
        <w:gridCol w:w="290"/>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491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Non-disclosure of Material Nonpublic Information (MNPI)</w:t>
            </w:r>
          </w:p>
        </w:tc>
      </w:tr>
    </w:tbl>
    <w:p>
      <w:pPr>
        <w:pStyle w:val="TextBody"/>
        <w:bidi w:val="0"/>
        <w:spacing w:before="0" w:after="0"/>
        <w:ind w:left="720" w:right="0" w:hanging="504"/>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MNPI must not be disclosed to anyone unless it has first been widely disseminated to the public as described above, except to other Company personnel who have a need to know the information and are bound by a confidentiality obligation to the Company and covered by this Policy, or third party agents of the Company (such as accountants, investment bankers or outside legal counsel) whose positions require them to have access to such information, but who are bound by a professional obligation to protect its confidentiality.</w:t>
      </w:r>
    </w:p>
    <w:p>
      <w:pPr>
        <w:pStyle w:val="TextBody"/>
        <w:bidi w:val="0"/>
        <w:spacing w:before="0" w:after="0"/>
        <w:ind w:left="720" w:right="0" w:hanging="0"/>
        <w:jc w:val="both"/>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38"/>
        <w:gridCol w:w="29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35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Prohibited Trading in Company Securities</w:t>
            </w:r>
            <w:r>
              <w:rPr>
                <w:rFonts w:ascii="Times New Roman;Times;Serif" w:hAnsi="Times New Roman;Times;Serif"/>
                <w:b/>
                <w:i w:val="false"/>
                <w:caps w:val="false"/>
                <w:smallCaps w:val="false"/>
                <w:sz w:val="20"/>
              </w:rPr>
              <w:t>.</w:t>
            </w:r>
          </w:p>
        </w:tc>
      </w:tr>
    </w:tbl>
    <w:p>
      <w:pPr>
        <w:pStyle w:val="TextBody"/>
        <w:bidi w:val="0"/>
        <w:spacing w:before="0" w:after="0"/>
        <w:ind w:left="720" w:right="0" w:hanging="504"/>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may place a purchase or sell order or recommend that another person place a purchase or sell order in Company Securities when they are aware of MNPI concerning the Company that has not been disclosed to the public. As noted above, for purposes of the prohibition expressed in this Policy, “Company Securities” should be construed broadly, and the terms “purchase” or “sell” should also be interpreted broadly to include transactions involving Company Securities such as elections or changes in elections under Company Securities purchase plans, loans, pledges, gifts, charitable donations, and other contributions of Company Securities.</w:t>
      </w:r>
    </w:p>
    <w:p>
      <w:pPr>
        <w:pStyle w:val="TextBody"/>
        <w:bidi w:val="0"/>
        <w:spacing w:before="0" w:after="0"/>
        <w:ind w:left="720" w:right="0" w:hanging="0"/>
        <w:jc w:val="both"/>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38"/>
        <w:gridCol w:w="275"/>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279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caps w:val="false"/>
                <w:smallCaps w:val="false"/>
                <w:sz w:val="20"/>
              </w:rPr>
              <w:t>Tipping” Information to Others</w:t>
            </w:r>
            <w:r>
              <w:rPr>
                <w:rFonts w:ascii="Times New Roman;Times;Serif" w:hAnsi="Times New Roman;Times;Serif"/>
                <w:b/>
                <w:i w:val="false"/>
                <w:caps w:val="false"/>
                <w:smallCaps w:val="false"/>
                <w:sz w:val="20"/>
              </w:rPr>
              <w:t>.</w:t>
            </w:r>
          </w:p>
        </w:tc>
      </w:tr>
    </w:tbl>
    <w:p>
      <w:pPr>
        <w:pStyle w:val="TextBody"/>
        <w:bidi w:val="0"/>
        <w:spacing w:before="0" w:after="0"/>
        <w:ind w:left="720" w:right="0" w:hanging="504"/>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Covered Persons may be liable for communicating or tipping MNPI to any third party (“tippee”). Further, insider trading violations are not limited to trading or tipping by Covered Persons. Persons other than Covered Persons also can be liable for insider trading, including tippees who trade on MNPI tipped to them and individuals who trade on MNPI which has been misappropriated.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Tippees inherit a Covered Person’s duties under this Policy and applicable insider trading laws and may be held liable for trading on MNPI illegally tipped to them by a Covered Person. Similarly, just as Covered Persons are liable for the insider trading of their tippees, so are tippees who communicate the information to others who trade. In other words, a tippee’s liability for insider trading is no different from that of a Covered Person. Tippees can obtain MNPI in deliberate ways, such as the direct receipt of a tip, or in less deliberate or obvious ways, such as conversing at social, business or other gatherings. In addition, insider trading liability can arise if a Covered Person misappropriates information for purposes of securities trading in breach of a duty of confidentiality—for example, a fiduciary obligation to a party that provides confidential information after entering into a non-disclosure agreement with the Company.</w:t>
      </w:r>
    </w:p>
    <w:p>
      <w:pPr>
        <w:pStyle w:val="TextBody"/>
        <w:bidi w:val="0"/>
        <w:spacing w:before="0" w:after="0"/>
        <w:ind w:left="720" w:right="0" w:hanging="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29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45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Prohibitions Involving Securities of Other Companies</w:t>
            </w:r>
            <w:r>
              <w:rPr>
                <w:rFonts w:ascii="Times New Roman;Times;Serif" w:hAnsi="Times New Roman;Times;Serif"/>
                <w:b/>
                <w:i w:val="false"/>
                <w:caps w:val="false"/>
                <w:smallCaps w:val="false"/>
                <w:sz w:val="20"/>
              </w:rPr>
              <w:t>.</w:t>
            </w:r>
          </w:p>
        </w:tc>
      </w:tr>
    </w:tbl>
    <w:p>
      <w:pPr>
        <w:pStyle w:val="TextBody"/>
        <w:bidi w:val="0"/>
        <w:spacing w:before="0" w:after="0"/>
        <w:ind w:left="720" w:right="0" w:hanging="504"/>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paragraphs (a), (b) and (c) above, no Covered Person may disclose MNPI, engage in prohibited trading or “tip” information to others to the extent the Covered Person becomes aware of MNPI about another company in the course of business activities on behalf of the Company.</w:t>
      </w:r>
    </w:p>
    <w:p>
      <w:pPr>
        <w:pStyle w:val="TextBody"/>
        <w:bidi w:val="0"/>
        <w:spacing w:before="0" w:after="0"/>
        <w:ind w:left="720" w:right="0" w:hanging="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4325"/>
        <w:gridCol w:w="155"/>
      </w:tblGrid>
      <w:tr>
        <w:trPr/>
        <w:tc>
          <w:tcPr>
            <w:tcW w:w="4325" w:type="dxa"/>
            <w:tcBorders/>
            <w:vAlign w:val="center"/>
          </w:tcPr>
          <w:p>
            <w:pPr>
              <w:pStyle w:val="TableContents"/>
              <w:bidi w:val="0"/>
              <w:jc w:val="left"/>
              <w:rPr/>
            </w:pPr>
            <w:r>
              <w:rPr/>
              <w:t>Arrive AI Inc.</w:t>
            </w:r>
          </w:p>
          <w:p>
            <w:pPr>
              <w:pStyle w:val="TableContents"/>
              <w:bidi w:val="0"/>
              <w:jc w:val="left"/>
              <w:rPr/>
            </w:pPr>
            <w:r>
              <w:rPr/>
              <w:t>Insider Trading Policy</w:t>
            </w:r>
          </w:p>
          <w:p>
            <w:pPr>
              <w:pStyle w:val="TableContents"/>
              <w:bidi w:val="0"/>
              <w:spacing w:before="0" w:after="283"/>
              <w:jc w:val="left"/>
              <w:rPr/>
            </w:pPr>
            <w:r>
              <w:rPr/>
              <w:t>Effective as of 4/15/2025, Revised 2/11/2026</w:t>
            </w:r>
          </w:p>
        </w:tc>
        <w:tc>
          <w:tcPr>
            <w:tcW w:w="155" w:type="dxa"/>
            <w:tcBorders/>
            <w:vAlign w:val="center"/>
          </w:tcPr>
          <w:p>
            <w:pPr>
              <w:pStyle w:val="TableContents"/>
              <w:bidi w:val="0"/>
              <w:spacing w:before="0" w:after="283"/>
              <w:jc w:val="right"/>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75"/>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29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No Hedging of Company Securities</w:t>
            </w:r>
            <w:r>
              <w:rPr>
                <w:rFonts w:ascii="Times New Roman;Times;Serif" w:hAnsi="Times New Roman;Times;Serif"/>
                <w:b/>
                <w:i w:val="false"/>
                <w:caps w:val="false"/>
                <w:smallCaps w:val="false"/>
                <w:sz w:val="20"/>
              </w:rPr>
              <w:t>.</w:t>
            </w:r>
          </w:p>
        </w:tc>
      </w:tr>
    </w:tbl>
    <w:p>
      <w:pPr>
        <w:pStyle w:val="TextBody"/>
        <w:bidi w:val="0"/>
        <w:spacing w:before="0" w:after="0"/>
        <w:ind w:left="720" w:right="0" w:hanging="504"/>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purchases of hedging instruments that protect against downward changes in Company’s stock price can result in the purchaser no longer having the same objectives as the Company’s other stockholders because they are no longer subject to the full risks of stock ownership. Accordingly, no employee of the Company or member of the Company’s Board of Directors may engage in any hedging transaction that would result in lack of exposure to the full risks of stock ownership. Prohibited hedging transactions include, but are not limited to, collars, forward sale contracts, trading in publicly-traded options, puts, calls or other derivative instruments related to Company stock or debt.</w:t>
      </w:r>
    </w:p>
    <w:p>
      <w:pPr>
        <w:pStyle w:val="TextBody"/>
        <w:bidi w:val="0"/>
        <w:spacing w:before="0" w:after="0"/>
        <w:ind w:left="720" w:right="0" w:hanging="0"/>
        <w:jc w:val="both"/>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245"/>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5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No Margin Accounts, Pledging or Short Sales of Company Securities</w:t>
            </w:r>
            <w:r>
              <w:rPr>
                <w:rFonts w:ascii="Times New Roman;Times;Serif" w:hAnsi="Times New Roman;Times;Serif"/>
                <w:b/>
                <w:i w:val="false"/>
                <w:caps w:val="false"/>
                <w:smallCaps w:val="false"/>
                <w:sz w:val="20"/>
              </w:rPr>
              <w:t>.</w:t>
            </w:r>
          </w:p>
        </w:tc>
      </w:tr>
    </w:tbl>
    <w:p>
      <w:pPr>
        <w:pStyle w:val="TextBody"/>
        <w:bidi w:val="0"/>
        <w:spacing w:before="0" w:after="0"/>
        <w:ind w:left="720" w:right="0" w:hanging="504"/>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employee of the Company or member of the Company’s Board of Directors may hold Company Securities in a margin account, pledge Company Securities as collateral for a loan or “short” sell Company Securities. The Board of Directors may, in its sole discretion and in limited circumstances, grant an exception to this prohibition;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Section 16 Officers and directors of the Company are prohibited from short-selling under Section 16(c)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185"/>
        <w:gridCol w:w="101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0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Exceptions.</w:t>
            </w:r>
          </w:p>
        </w:tc>
      </w:tr>
    </w:tbl>
    <w:p>
      <w:pPr>
        <w:pStyle w:val="TextBody"/>
        <w:bidi w:val="0"/>
        <w:spacing w:before="0" w:after="0"/>
        <w:ind w:left="360" w:right="0" w:hanging="360"/>
        <w:jc w:val="both"/>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9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No Sale/No Purchase Transactions</w:t>
            </w:r>
            <w:r>
              <w:rPr>
                <w:rFonts w:ascii="Times New Roman;Times;Serif" w:hAnsi="Times New Roman;Times;Serif"/>
                <w:b/>
                <w:i w:val="false"/>
                <w:caps w:val="false"/>
                <w:smallCaps w:val="false"/>
                <w:sz w:val="20"/>
              </w:rPr>
              <w:t>.</w:t>
            </w:r>
          </w:p>
        </w:tc>
      </w:tr>
    </w:tbl>
    <w:p>
      <w:pPr>
        <w:pStyle w:val="TextBody"/>
        <w:bidi w:val="0"/>
        <w:spacing w:before="0" w:after="0"/>
        <w:ind w:left="720" w:right="0" w:hanging="504"/>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prohibitions of this Policy do not apply to bona fide gifts of Company Securities (i.e., for no consideration), except that any such transaction should be pre-cleared by the Compliance Officer as provided in Section 9(c). In addition, this Policy does not restrict purchases and sales of mutual funds, similar professionally managed “commingled pools” or exchange-traded funds that invest in Company Securities in addition to securities of other companies.</w:t>
      </w:r>
    </w:p>
    <w:p>
      <w:pPr>
        <w:pStyle w:val="TextBody"/>
        <w:bidi w:val="0"/>
        <w:spacing w:before="0" w:after="0"/>
        <w:ind w:left="720" w:right="0" w:hanging="0"/>
        <w:jc w:val="both"/>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290"/>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36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Transactions under Company Equity Plans</w:t>
            </w:r>
            <w:r>
              <w:rPr>
                <w:rFonts w:ascii="Times New Roman;Times;Serif" w:hAnsi="Times New Roman;Times;Serif"/>
                <w:b/>
                <w:i w:val="false"/>
                <w:caps w:val="false"/>
                <w:smallCaps w:val="false"/>
                <w:sz w:val="20"/>
              </w:rPr>
              <w:t>.</w:t>
            </w:r>
          </w:p>
        </w:tc>
      </w:tr>
    </w:tbl>
    <w:p>
      <w:pPr>
        <w:pStyle w:val="TextBody"/>
        <w:bidi w:val="0"/>
        <w:spacing w:before="0" w:after="0"/>
        <w:ind w:left="720" w:right="0" w:hanging="504"/>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prohibitions of this Policy do not apply to a Covered Person’s exercise of a stock option granted under a Company equity plan for cash, but do apply to any sale of Company Securities received upon exercise of an option in the open market, regardless of whether the sale is to pay the exercise price or for tax withholding. Similarly, this Policy does not apply to a Covered Person’s surrender of Company Securities to the Company or the retention and withholding from delivery to the Covered Person of shares by the Company (i.e., a so-called “net settlement”) upon vesting of restricted stock in satisfaction of tax withholding obligations in a manner permitted by the applicable equity award agreement or the Company equity plan pursuant to which the restricted stock was granted.</w:t>
      </w:r>
    </w:p>
    <w:p>
      <w:pPr>
        <w:pStyle w:val="TextBody"/>
        <w:bidi w:val="0"/>
        <w:spacing w:before="0" w:after="0"/>
        <w:ind w:left="720" w:right="0" w:hanging="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4325"/>
        <w:gridCol w:w="155"/>
      </w:tblGrid>
      <w:tr>
        <w:trPr/>
        <w:tc>
          <w:tcPr>
            <w:tcW w:w="4325" w:type="dxa"/>
            <w:tcBorders/>
            <w:vAlign w:val="center"/>
          </w:tcPr>
          <w:p>
            <w:pPr>
              <w:pStyle w:val="TableContents"/>
              <w:bidi w:val="0"/>
              <w:jc w:val="left"/>
              <w:rPr/>
            </w:pPr>
            <w:r>
              <w:rPr/>
              <w:t>Arrive AI Inc.</w:t>
            </w:r>
          </w:p>
          <w:p>
            <w:pPr>
              <w:pStyle w:val="TableContents"/>
              <w:bidi w:val="0"/>
              <w:jc w:val="left"/>
              <w:rPr/>
            </w:pPr>
            <w:r>
              <w:rPr/>
              <w:t>Insider Trading Policy</w:t>
            </w:r>
          </w:p>
          <w:p>
            <w:pPr>
              <w:pStyle w:val="TableContents"/>
              <w:bidi w:val="0"/>
              <w:spacing w:before="0" w:after="283"/>
              <w:jc w:val="left"/>
              <w:rPr/>
            </w:pPr>
            <w:r>
              <w:rPr/>
              <w:t>Effective as of 4/15/2025, Revised 2/11/2026</w:t>
            </w:r>
          </w:p>
        </w:tc>
        <w:tc>
          <w:tcPr>
            <w:tcW w:w="155" w:type="dxa"/>
            <w:tcBorders/>
            <w:vAlign w:val="center"/>
          </w:tcPr>
          <w:p>
            <w:pPr>
              <w:pStyle w:val="TableContents"/>
              <w:bidi w:val="0"/>
              <w:spacing w:before="0" w:after="283"/>
              <w:jc w:val="right"/>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185"/>
        <w:gridCol w:w="443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443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Provisions Applicable to Special Insiders.</w:t>
            </w:r>
          </w:p>
        </w:tc>
      </w:tr>
    </w:tbl>
    <w:p>
      <w:pPr>
        <w:pStyle w:val="TextBody"/>
        <w:bidi w:val="0"/>
        <w:spacing w:before="0" w:after="0"/>
        <w:ind w:left="360" w:right="0" w:hanging="360"/>
        <w:jc w:val="both"/>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29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4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Special Insiders</w:t>
            </w:r>
            <w:r>
              <w:rPr>
                <w:rFonts w:ascii="Times New Roman;Times;Serif" w:hAnsi="Times New Roman;Times;Serif"/>
                <w:b/>
                <w:i w:val="false"/>
                <w:caps w:val="false"/>
                <w:smallCaps w:val="false"/>
                <w:sz w:val="20"/>
              </w:rPr>
              <w:t>.</w:t>
            </w:r>
          </w:p>
        </w:tc>
      </w:tr>
    </w:tbl>
    <w:p>
      <w:pPr>
        <w:pStyle w:val="TextBody"/>
        <w:bidi w:val="0"/>
        <w:spacing w:before="0" w:after="0"/>
        <w:ind w:left="720" w:right="0" w:hanging="504"/>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9. sets forth additional provisions applicable to the following individuals associated with the Company (referring to the publicly-traded entity, not its subsidiaries) (“</w:t>
      </w:r>
      <w:r>
        <w:rPr>
          <w:rFonts w:ascii="Times New Roman;Times;Serif" w:hAnsi="Times New Roman;Times;Serif"/>
          <w:b/>
          <w:i w:val="false"/>
          <w:caps w:val="false"/>
          <w:smallCaps w:val="false"/>
          <w:sz w:val="20"/>
        </w:rPr>
        <w:t>Special Insiders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17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the Board of Directors of the Company;</w:t>
            </w:r>
          </w:p>
        </w:tc>
      </w:tr>
    </w:tbl>
    <w:p>
      <w:pPr>
        <w:pStyle w:val="TextBody"/>
        <w:bidi w:val="0"/>
        <w:spacing w:before="0" w:after="0"/>
        <w:ind w:left="1224" w:right="0" w:hanging="360"/>
        <w:jc w:val="both"/>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38"/>
        <w:gridCol w:w="17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“executive officer” of the Company, as described in Rule 3b-7 under the Exchange Act;</w:t>
            </w:r>
          </w:p>
        </w:tc>
      </w:tr>
    </w:tbl>
    <w:p>
      <w:pPr>
        <w:pStyle w:val="TextBody"/>
        <w:bidi w:val="0"/>
        <w:spacing w:before="0" w:after="0"/>
        <w:ind w:left="122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individual designated as an “officer” of the Company for purposes of Section 16 under the Exchange Act (a “Section 16 Officer”); and</w:t>
            </w:r>
          </w:p>
        </w:tc>
      </w:tr>
    </w:tbl>
    <w:p>
      <w:pPr>
        <w:pStyle w:val="TextBody"/>
        <w:bidi w:val="0"/>
        <w:spacing w:before="0" w:after="0"/>
        <w:ind w:left="1224" w:right="0" w:hanging="360"/>
        <w:jc w:val="both"/>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38"/>
        <w:gridCol w:w="170"/>
        <w:gridCol w:w="7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other individual designated as a Special Insider by the Compliance Officer from time to time.</w:t>
            </w:r>
          </w:p>
        </w:tc>
      </w:tr>
    </w:tbl>
    <w:p>
      <w:pPr>
        <w:pStyle w:val="TextBody"/>
        <w:bidi w:val="0"/>
        <w:spacing w:before="0" w:after="0"/>
        <w:ind w:left="1224" w:right="0" w:hanging="360"/>
        <w:jc w:val="both"/>
        <w:rPr>
          <w:caps w:val="false"/>
          <w:smallCaps w:val="false"/>
        </w:rPr>
      </w:pPr>
      <w:r>
        <w:rPr>
          <w:caps w:val="false"/>
          <w:smallCaps w:val="false"/>
        </w:rPr>
        <w:t> </w:t>
      </w:r>
    </w:p>
    <w:tbl>
      <w:tblPr>
        <w:tblW w:w="3393" w:type="dxa"/>
        <w:jc w:val="left"/>
        <w:tblInd w:w="0" w:type="dxa"/>
        <w:tblLayout w:type="fixed"/>
        <w:tblCellMar>
          <w:top w:w="0" w:type="dxa"/>
          <w:left w:w="0" w:type="dxa"/>
          <w:bottom w:w="0" w:type="dxa"/>
          <w:right w:w="0" w:type="dxa"/>
        </w:tblCellMar>
      </w:tblPr>
      <w:tblGrid>
        <w:gridCol w:w="38"/>
        <w:gridCol w:w="29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30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Blackout Periods/Trading Windows</w:t>
            </w:r>
            <w:r>
              <w:rPr>
                <w:rFonts w:ascii="Times New Roman;Times;Serif" w:hAnsi="Times New Roman;Times;Serif"/>
                <w:b/>
                <w:i w:val="false"/>
                <w:caps w:val="false"/>
                <w:smallCaps w:val="false"/>
                <w:sz w:val="20"/>
              </w:rPr>
              <w:t>.</w:t>
            </w:r>
          </w:p>
        </w:tc>
      </w:tr>
    </w:tbl>
    <w:p>
      <w:pPr>
        <w:pStyle w:val="TextBody"/>
        <w:bidi w:val="0"/>
        <w:spacing w:before="0" w:after="0"/>
        <w:ind w:left="720" w:right="0" w:hanging="504"/>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Insiders are prohibited from trading in Company Securities during blackout periods: (a) the Company’s regularly scheduled quarterly blackout period commencing at the close of the market on the tenth business day prior to the end of each fiscal quarter and ending two business days after the Company’s “earnings release” is issued to the public relating to the Company’s financial information for the concluded fiscal quarter and (b) special blackout periods instituted by the Company on a discretionary basis, upon notice to Special Insiders, when news of pending material events or other MNPI regarding the Company that is anticipated to be disclosed has not yet been publicly disclosed. Subject to pre-clearance as provided in Section 9(c). below, Special Insiders are generally permitted to trade when no blackout period is in effect; provided, however, that even during an open trading window, a Special Insider who is aware of MNPI may not trade in Company Securities until the information has been made publicly available as described above, or is no longer material.</w:t>
      </w:r>
    </w:p>
    <w:p>
      <w:pPr>
        <w:pStyle w:val="TextBody"/>
        <w:bidi w:val="0"/>
        <w:spacing w:before="0" w:after="0"/>
        <w:ind w:left="720" w:right="0" w:hanging="0"/>
        <w:jc w:val="both"/>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275"/>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12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Pre-Clearance</w:t>
            </w:r>
            <w:r>
              <w:rPr>
                <w:rFonts w:ascii="Times New Roman;Times;Serif" w:hAnsi="Times New Roman;Times;Serif"/>
                <w:b/>
                <w:i w:val="false"/>
                <w:caps w:val="false"/>
                <w:smallCaps w:val="false"/>
                <w:sz w:val="20"/>
              </w:rPr>
              <w:t>.</w:t>
            </w:r>
          </w:p>
        </w:tc>
      </w:tr>
    </w:tbl>
    <w:p>
      <w:pPr>
        <w:pStyle w:val="TextBody"/>
        <w:bidi w:val="0"/>
        <w:spacing w:before="0" w:after="0"/>
        <w:ind w:left="720" w:right="0" w:hanging="504"/>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Insiders (including family members and other members of their respective households) must obtain prior clearance from the Compliance Officer before buying, selling or engaging in any transaction in Company Securities (except as described in Section 9(e). below), including any exercise of stock options. The Compliance Officer will evaluate each proposed transaction to determine if it raises insider trading concerns or other concerns under the federal or state securities laws and regulations. Any advice will relate solely to legal considerations and not the merits of the investment decision. Clearance of a transaction will be valid only for a 48-hour period. If the transaction order is not placed within that 48-hour period, clearance of the transaction must be re-requested from the Compliance Officer.</w:t>
      </w:r>
    </w:p>
    <w:p>
      <w:pPr>
        <w:pStyle w:val="TextBody"/>
        <w:bidi w:val="0"/>
        <w:spacing w:before="0" w:after="0"/>
        <w:ind w:left="720" w:right="0" w:hanging="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4325"/>
        <w:gridCol w:w="155"/>
      </w:tblGrid>
      <w:tr>
        <w:trPr/>
        <w:tc>
          <w:tcPr>
            <w:tcW w:w="4325" w:type="dxa"/>
            <w:tcBorders/>
            <w:vAlign w:val="center"/>
          </w:tcPr>
          <w:p>
            <w:pPr>
              <w:pStyle w:val="TableContents"/>
              <w:bidi w:val="0"/>
              <w:jc w:val="left"/>
              <w:rPr/>
            </w:pPr>
            <w:r>
              <w:rPr/>
              <w:t>Arrive AI Inc.</w:t>
            </w:r>
          </w:p>
          <w:p>
            <w:pPr>
              <w:pStyle w:val="TableContents"/>
              <w:bidi w:val="0"/>
              <w:jc w:val="left"/>
              <w:rPr/>
            </w:pPr>
            <w:r>
              <w:rPr/>
              <w:t>Insider Trading Policy</w:t>
            </w:r>
          </w:p>
          <w:p>
            <w:pPr>
              <w:pStyle w:val="TableContents"/>
              <w:bidi w:val="0"/>
              <w:spacing w:before="0" w:after="283"/>
              <w:jc w:val="left"/>
              <w:rPr/>
            </w:pPr>
            <w:r>
              <w:rPr/>
              <w:t>Effective as of 4/15/2025, Revised 2/11/2026</w:t>
            </w:r>
          </w:p>
        </w:tc>
        <w:tc>
          <w:tcPr>
            <w:tcW w:w="155" w:type="dxa"/>
            <w:tcBorders/>
            <w:vAlign w:val="center"/>
          </w:tcPr>
          <w:p>
            <w:pPr>
              <w:pStyle w:val="TableContents"/>
              <w:bidi w:val="0"/>
              <w:spacing w:before="0" w:after="283"/>
              <w:jc w:val="right"/>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148" w:type="dxa"/>
        <w:jc w:val="left"/>
        <w:tblInd w:w="0" w:type="dxa"/>
        <w:tblLayout w:type="fixed"/>
        <w:tblCellMar>
          <w:top w:w="0" w:type="dxa"/>
          <w:left w:w="0" w:type="dxa"/>
          <w:bottom w:w="0" w:type="dxa"/>
          <w:right w:w="0" w:type="dxa"/>
        </w:tblCellMar>
      </w:tblPr>
      <w:tblGrid>
        <w:gridCol w:w="38"/>
        <w:gridCol w:w="290"/>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8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Short-Swing Trading</w:t>
            </w:r>
            <w:r>
              <w:rPr>
                <w:rFonts w:ascii="Times New Roman;Times;Serif" w:hAnsi="Times New Roman;Times;Serif"/>
                <w:b/>
                <w:i w:val="false"/>
                <w:caps w:val="false"/>
                <w:smallCaps w:val="false"/>
                <w:sz w:val="20"/>
              </w:rPr>
              <w:t>.</w:t>
            </w:r>
          </w:p>
        </w:tc>
      </w:tr>
    </w:tbl>
    <w:p>
      <w:pPr>
        <w:pStyle w:val="TextBody"/>
        <w:bidi w:val="0"/>
        <w:spacing w:before="0" w:after="0"/>
        <w:ind w:left="720" w:right="0" w:hanging="504"/>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Insiders who purchase Company Securities may not sell any Company Securities of the same class for at least six months after the purchase. For the avoidance of doubt, any purchase of the same class of securities, at a lower price, within six months of a sale of the same security is also prohibited. Note that in addition to this Policy, under Section 16(b) of the Exchange Act, any “short-swing profits” realized by a Section 16 Officer or director of the Company from a “matching” purchase and sale or “matching” sale and purchase of Company Securities occurring within a six-month period would be subject to disgorgement to the Company.</w:t>
      </w:r>
    </w:p>
    <w:p>
      <w:pPr>
        <w:pStyle w:val="TextBody"/>
        <w:bidi w:val="0"/>
        <w:spacing w:before="0" w:after="0"/>
        <w:ind w:left="720" w:right="0" w:hanging="0"/>
        <w:jc w:val="both"/>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38"/>
        <w:gridCol w:w="275"/>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Rule 10b5-1 Plans</w:t>
            </w:r>
            <w:r>
              <w:rPr>
                <w:rFonts w:ascii="Times New Roman;Times;Serif" w:hAnsi="Times New Roman;Times;Serif"/>
                <w:b/>
                <w:i w:val="false"/>
                <w:caps w:val="false"/>
                <w:smallCaps w:val="false"/>
                <w:sz w:val="20"/>
              </w:rPr>
              <w:t>.</w:t>
            </w:r>
          </w:p>
        </w:tc>
      </w:tr>
    </w:tbl>
    <w:p>
      <w:pPr>
        <w:pStyle w:val="TextBody"/>
        <w:bidi w:val="0"/>
        <w:spacing w:before="0" w:after="0"/>
        <w:ind w:left="720" w:right="0" w:hanging="504"/>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Insider’s trades may be exempt from this Policy if made under a properly pre-established and maintained written trading plan, known as a “Rule 10b5-1 plan.” If the Rule 10b5-1 plan meets all of the requirements for such a plan, and the purchases or sales of Company Securities are actually made in accordance with the terms and conditions of the plan, the trades will not be deemed to have been made “on the basis of” MNPI, even if the Special Insider who established the plan is actually aware of MNPI at the time of execution of the transactions provided for by the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properly designed Rule 10b5-1 plan must meet the following requirements:</w:t>
      </w:r>
    </w:p>
    <w:p>
      <w:pPr>
        <w:pStyle w:val="TextBody"/>
        <w:bidi w:val="0"/>
        <w:spacing w:before="0" w:after="0"/>
        <w:ind w:left="720" w:right="0" w:hanging="0"/>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170"/>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was established when the Special Insider was unaware of MNPI concerning the Company;</w:t>
            </w:r>
          </w:p>
        </w:tc>
      </w:tr>
    </w:tbl>
    <w:p>
      <w:pPr>
        <w:pStyle w:val="TextBody"/>
        <w:bidi w:val="0"/>
        <w:spacing w:before="0" w:after="0"/>
        <w:ind w:left="122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specifies the number (or dollar value) of Company Securities to be purchased or sold, the price (which may be a fixed price, market price or minimum/maximum price) at which the shares are to be traded, and the date of the trade, or provides a written formula or algorithm for determining the timing, amount and price of the trade (or the plan can give a third party such as a designated broker the exclusive right to determine the timing, amount and price of the trade);</w:t>
            </w:r>
          </w:p>
        </w:tc>
      </w:tr>
    </w:tbl>
    <w:p>
      <w:pPr>
        <w:pStyle w:val="TextBody"/>
        <w:bidi w:val="0"/>
        <w:spacing w:before="0" w:after="0"/>
        <w:ind w:left="122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does not permit the Special Insider to exercise any subsequent influence over how, when, or whether to effect purchases or sales; provided, however, that if a third party (such as a broker) is designated under the terms of the plan to determine the timing, amount and price of trades, the third party must not have been aware of the MNPI about the Company or Company Securities when it makes its trading decisions; and</w:t>
            </w:r>
          </w:p>
        </w:tc>
      </w:tr>
    </w:tbl>
    <w:p>
      <w:pPr>
        <w:pStyle w:val="TextBody"/>
        <w:bidi w:val="0"/>
        <w:spacing w:before="0" w:after="0"/>
        <w:ind w:left="122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must be entered into in good faith and not as part of a scheme to evade insider trading prohibitions and include a representation in the plan certifying at the time of adoption or modification that the Special Insider is (1) not aware of any MNPI; and (2) adopting the plan in in good faith and not as part of a scheme to evade Rule 10b5-1.</w:t>
            </w:r>
          </w:p>
        </w:tc>
      </w:tr>
    </w:tbl>
    <w:p>
      <w:pPr>
        <w:pStyle w:val="TextBody"/>
        <w:bidi w:val="0"/>
        <w:spacing w:before="0" w:after="0"/>
        <w:ind w:left="1224" w:right="0" w:hanging="36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4325"/>
        <w:gridCol w:w="155"/>
      </w:tblGrid>
      <w:tr>
        <w:trPr/>
        <w:tc>
          <w:tcPr>
            <w:tcW w:w="4325" w:type="dxa"/>
            <w:tcBorders/>
            <w:vAlign w:val="center"/>
          </w:tcPr>
          <w:p>
            <w:pPr>
              <w:pStyle w:val="TableContents"/>
              <w:bidi w:val="0"/>
              <w:jc w:val="left"/>
              <w:rPr/>
            </w:pPr>
            <w:r>
              <w:rPr/>
              <w:t>Arrive AI Inc.</w:t>
            </w:r>
          </w:p>
          <w:p>
            <w:pPr>
              <w:pStyle w:val="TableContents"/>
              <w:bidi w:val="0"/>
              <w:jc w:val="left"/>
              <w:rPr/>
            </w:pPr>
            <w:r>
              <w:rPr/>
              <w:t>Insider Trading Policy</w:t>
            </w:r>
          </w:p>
          <w:p>
            <w:pPr>
              <w:pStyle w:val="TableContents"/>
              <w:bidi w:val="0"/>
              <w:spacing w:before="0" w:after="283"/>
              <w:jc w:val="left"/>
              <w:rPr/>
            </w:pPr>
            <w:r>
              <w:rPr/>
              <w:t>Effective as of 4/15/2025, Revised 2/11/2026</w:t>
            </w:r>
          </w:p>
        </w:tc>
        <w:tc>
          <w:tcPr>
            <w:tcW w:w="155" w:type="dxa"/>
            <w:tcBorders/>
            <w:vAlign w:val="center"/>
          </w:tcPr>
          <w:p>
            <w:pPr>
              <w:pStyle w:val="TableContents"/>
              <w:bidi w:val="0"/>
              <w:spacing w:before="0" w:after="283"/>
              <w:jc w:val="right"/>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new Rule 10b5-1 plan, or amendment or termination of an existing Rule 10b5-1 plan, must be reviewed and approved by the Compliance Officer;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trades occurring under an approved Rule 10b5-1 plan do not require pre-clearance.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 CERTIFICATION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received a copy of and read the Insider Trading Policy of Arrive AI Inc. and its subsidiaries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 understand and agree to comply with the policies and procedures set forth in the 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understand and agree that my failure to comply with the Insider Trading Policy in all respects may constitute a basis for the termination for cause of my employment by or other service relationship with the Company, or other appropriate disciplinary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Todd Pepmeier,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3/14/2025</w:t>
      </w:r>
    </w:p>
    <w:p>
      <w:pPr>
        <w:pStyle w:val="TextBody"/>
        <w:bidi w:val="0"/>
        <w:spacing w:before="0" w:after="0"/>
        <w:ind w:left="0" w:right="0" w:hanging="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4325"/>
        <w:gridCol w:w="155"/>
      </w:tblGrid>
      <w:tr>
        <w:trPr/>
        <w:tc>
          <w:tcPr>
            <w:tcW w:w="4325" w:type="dxa"/>
            <w:tcBorders/>
            <w:vAlign w:val="center"/>
          </w:tcPr>
          <w:p>
            <w:pPr>
              <w:pStyle w:val="TableContents"/>
              <w:bidi w:val="0"/>
              <w:jc w:val="left"/>
              <w:rPr/>
            </w:pPr>
            <w:r>
              <w:rPr/>
              <w:t>Arrive AI Inc.</w:t>
            </w:r>
          </w:p>
          <w:p>
            <w:pPr>
              <w:pStyle w:val="TableContents"/>
              <w:bidi w:val="0"/>
              <w:jc w:val="left"/>
              <w:rPr/>
            </w:pPr>
            <w:r>
              <w:rPr/>
              <w:t>Insider Trading Policy</w:t>
            </w:r>
          </w:p>
          <w:p>
            <w:pPr>
              <w:pStyle w:val="TableContents"/>
              <w:bidi w:val="0"/>
              <w:spacing w:before="0" w:after="283"/>
              <w:jc w:val="left"/>
              <w:rPr/>
            </w:pPr>
            <w:r>
              <w:rPr/>
              <w:t>Effective as of 4/15/2025, Revised 2/11/2026</w:t>
            </w:r>
          </w:p>
        </w:tc>
        <w:tc>
          <w:tcPr>
            <w:tcW w:w="155" w:type="dxa"/>
            <w:tcBorders/>
            <w:vAlign w:val="center"/>
          </w:tcPr>
          <w:p>
            <w:pPr>
              <w:pStyle w:val="TableContents"/>
              <w:bidi w:val="0"/>
              <w:spacing w:before="0" w:after="283"/>
              <w:jc w:val="right"/>
              <w:rPr/>
            </w:pPr>
            <w:r>
              <w:rPr/>
              <w:t>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1031" w:name="ex23-1.htm"/>
      <w:bookmarkStart w:id="1032" w:name="ksex231"/>
      <w:bookmarkEnd w:id="1031"/>
      <w:bookmarkEnd w:id="1032"/>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on Form S-8 (File No. 333-287992) of Arrive AI Inc. of our report dated April 15, 2026, relating to the consolidated financial statements of Arrive AI Inc., included in this Annual Report on Form 10-K of Arrive AI Inc.</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Stephano Slack LLC</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Wayne, Pennsylvania</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2026</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bookmarkStart w:id="1033" w:name="ex23-2.htm"/>
      <w:bookmarkStart w:id="1034" w:name="ksex232"/>
      <w:bookmarkEnd w:id="1033"/>
      <w:bookmarkEnd w:id="103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on Form S-8 (File No. 333-287992) of Arrive AI Inc. of our report dated March 12, 2025, relating to the consolidated financial statements of Arrive AI Inc., included in this Annual Report on Form 10-K of Arrive AI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Assurance Dimensions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Coral Springs, Florida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bookmarkStart w:id="1035" w:name="ex31-1.htm"/>
      <w:bookmarkStart w:id="1036" w:name="ksex311"/>
      <w:bookmarkEnd w:id="1035"/>
      <w:bookmarkEnd w:id="103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Daniel S. O’Toole, Chief Executive Officer (Principal Executive Officer),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for the year ended December 31, 2025 of Arrive AI Inc. (the “Registrant”);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April 15, 2026</w:t>
      </w:r>
    </w:p>
    <w:p>
      <w:pPr>
        <w:pStyle w:val="TextBody"/>
        <w:bidi w:val="0"/>
        <w:spacing w:before="0" w:after="0"/>
        <w:ind w:left="0" w:right="0" w:hanging="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320"/>
        <w:gridCol w:w="2360"/>
      </w:tblGrid>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O’Toole</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O’Toole</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1037" w:name="ex31-2.htm"/>
      <w:bookmarkStart w:id="1038" w:name="ksex312"/>
      <w:bookmarkEnd w:id="1037"/>
      <w:bookmarkEnd w:id="103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Todd Pepmeier, Chief Financial Officer (Principal Financial and Accounting Officer),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10-K for the year ended December 31, 2025 of Arrive AI Inc. (the “Registrant”);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April 15, 2026</w:t>
      </w:r>
    </w:p>
    <w:p>
      <w:pPr>
        <w:pStyle w:val="TextBody"/>
        <w:bidi w:val="0"/>
        <w:spacing w:before="0" w:after="0"/>
        <w:ind w:left="0" w:right="0" w:hanging="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75"/>
        <w:gridCol w:w="320"/>
        <w:gridCol w:w="3650"/>
      </w:tblGrid>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Todd Pepmeier</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Todd Pepmeier</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1039" w:name="ex32-1.htm"/>
      <w:bookmarkStart w:id="1040" w:name="ksex321"/>
      <w:bookmarkEnd w:id="1039"/>
      <w:bookmarkEnd w:id="104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on Form 10-K of Arrive AI Inc. Corporation (the “Company”) for the period ended December 31, 2025, as filed with the Securities and Exchange Commission on the date hereof (the “Report”), Daniel S. O’Toole, Chief Executive Officer (Principal Executive Officer), hereby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9888" w:type="dxa"/>
        <w:jc w:val="left"/>
        <w:tblInd w:w="0" w:type="dxa"/>
        <w:tblLayout w:type="fixed"/>
        <w:tblCellMar>
          <w:top w:w="0" w:type="dxa"/>
          <w:left w:w="0" w:type="dxa"/>
          <w:bottom w:w="0" w:type="dxa"/>
          <w:right w:w="0" w:type="dxa"/>
        </w:tblCellMar>
      </w:tblPr>
      <w:tblGrid>
        <w:gridCol w:w="38"/>
        <w:gridCol w:w="245"/>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as of, and for, the periods presented in the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April 15, 2026</w:t>
      </w:r>
    </w:p>
    <w:p>
      <w:pPr>
        <w:pStyle w:val="TextBody"/>
        <w:bidi w:val="0"/>
        <w:spacing w:before="0" w:after="0"/>
        <w:ind w:left="0" w:right="0" w:hanging="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320"/>
        <w:gridCol w:w="2360"/>
      </w:tblGrid>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O’Toole</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O’Toole</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1041" w:name="ex32-2.htm"/>
      <w:bookmarkStart w:id="1042" w:name="ksex322"/>
      <w:bookmarkEnd w:id="1041"/>
      <w:bookmarkEnd w:id="104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on Form 10-K of Arrive AI Inc. Corporation (the “Company”) for the period ended December 31, 2025, as filed with the Securities and Exchange Commission on the date hereof (the “Report”), Todd Pepmeier, Chief Financial Officer (Principal Financial and Accounting Officer), hereby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9888" w:type="dxa"/>
        <w:jc w:val="left"/>
        <w:tblInd w:w="0" w:type="dxa"/>
        <w:tblLayout w:type="fixed"/>
        <w:tblCellMar>
          <w:top w:w="0" w:type="dxa"/>
          <w:left w:w="0" w:type="dxa"/>
          <w:bottom w:w="0" w:type="dxa"/>
          <w:right w:w="0" w:type="dxa"/>
        </w:tblCellMar>
      </w:tblPr>
      <w:tblGrid>
        <w:gridCol w:w="38"/>
        <w:gridCol w:w="245"/>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as of, and for, the periods presented in the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April 15, 2026</w:t>
      </w:r>
    </w:p>
    <w:p>
      <w:pPr>
        <w:pStyle w:val="TextBody"/>
        <w:bidi w:val="0"/>
        <w:spacing w:before="0" w:after="0"/>
        <w:ind w:left="0" w:right="0" w:hanging="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75"/>
        <w:gridCol w:w="320"/>
        <w:gridCol w:w="3650"/>
      </w:tblGrid>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Todd Pepmeier</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Todd Pepmeier</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3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1043" w:name="ex97-1.htm"/>
      <w:bookmarkStart w:id="1044" w:name="ksex971"/>
      <w:bookmarkEnd w:id="1043"/>
      <w:bookmarkEnd w:id="104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97.1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81250" cy="7429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53"/>
                    <a:stretch>
                      <a:fillRect/>
                    </a:stretch>
                  </pic:blipFill>
                  <pic:spPr bwMode="auto">
                    <a:xfrm>
                      <a:off x="0" y="0"/>
                      <a:ext cx="2381250" cy="7429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Recovery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Purpose.</w:t>
      </w:r>
      <w:r>
        <w:rPr>
          <w:rFonts w:ascii="Times New Roman;Times;Serif" w:hAnsi="Times New Roman;Times;Serif"/>
          <w:b w:val="false"/>
          <w:i w:val="false"/>
          <w:caps w:val="false"/>
          <w:smallCaps w:val="false"/>
          <w:sz w:val="20"/>
        </w:rPr>
        <w:t xml:space="preserve"> The purpose of this Compensation Recovery Policy of the Company (as amended from time to time, the “</w:t>
      </w:r>
      <w:r>
        <w:rPr>
          <w:rFonts w:ascii="Times New Roman;Times;Serif" w:hAnsi="Times New Roman;Times;Serif"/>
          <w:b w:val="false"/>
          <w:i w:val="false"/>
          <w:caps w:val="false"/>
          <w:smallCaps w:val="false"/>
          <w:sz w:val="20"/>
          <w:u w:val="single"/>
        </w:rPr>
        <w:t>Policy</w:t>
      </w:r>
      <w:r>
        <w:rPr>
          <w:rFonts w:ascii="Times New Roman;Times;Serif" w:hAnsi="Times New Roman;Times;Serif"/>
          <w:b w:val="false"/>
          <w:i w:val="false"/>
          <w:caps w:val="false"/>
          <w:smallCaps w:val="false"/>
          <w:sz w:val="20"/>
        </w:rPr>
        <w:t>”), dated as of October 24th, 2024, is to describe the circumstances in which current and former Executive Officers will be required to repay or return Erroneously Awarded Compensation to members of the Company Group. The Company has adopted this Policy to comply with Section 954 of the Dodd-Frank Wall Street Reform and Consumer Protection Act of 2010, as codified by Section 10D of the Exchange Act, Exchange Act Rule 10D-1 promulgated thereunder, and the rules and requirements of Nasdaq (including Nasdaq Listing Rule 5608) (such legal requirements, and rules and requirements of Nasdaq, collectively, the “</w:t>
      </w:r>
      <w:r>
        <w:rPr>
          <w:rFonts w:ascii="Times New Roman;Times;Serif" w:hAnsi="Times New Roman;Times;Serif"/>
          <w:b w:val="false"/>
          <w:i w:val="false"/>
          <w:caps w:val="false"/>
          <w:smallCaps w:val="false"/>
          <w:sz w:val="20"/>
          <w:u w:val="single"/>
        </w:rPr>
        <w:t>SEC/Nasdaq Clawback Rules</w:t>
      </w:r>
      <w:r>
        <w:rPr>
          <w:rFonts w:ascii="Times New Roman;Times;Serif" w:hAnsi="Times New Roman;Times;Serif"/>
          <w:b w:val="false"/>
          <w:i w:val="false"/>
          <w:caps w:val="false"/>
          <w:smallCaps w:val="false"/>
          <w:sz w:val="20"/>
        </w:rPr>
        <w:t xml:space="preserve">”). Each Executive Officer shall be required to sign and return to the Company the form of acknowledgment to this Policy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pursuant to which such Executive Officer will agree to be bound by the terms and comply with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Administration.</w:t>
      </w:r>
      <w:r>
        <w:rPr>
          <w:rFonts w:ascii="Times New Roman;Times;Serif" w:hAnsi="Times New Roman;Times;Serif"/>
          <w:b w:val="false"/>
          <w:i w:val="false"/>
          <w:caps w:val="false"/>
          <w:smallCaps w:val="false"/>
          <w:sz w:val="20"/>
        </w:rPr>
        <w:t xml:space="preserve"> This Policy shall be administered by the Committee. The Committee is authorized to interpret and construe this Policy and to make all determinations necessary, appropriate, or advisable for the administration of this Policy, and any such determinations made by the Committee shall be in the Committee’s sole discretion and shall be final and binding on all affected individuals. Except as otherwise required by applicable legal requirements or the rules and requirements of Nasdaq, any determinations of the Committee hereunder need not be uniform with respect to one or more Executive Officers (whether current and/or former).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Definitions.</w:t>
      </w:r>
      <w:r>
        <w:rPr>
          <w:rFonts w:ascii="Times New Roman;Times;Serif" w:hAnsi="Times New Roman;Times;Serif"/>
          <w:b w:val="false"/>
          <w:i w:val="false"/>
          <w:caps w:val="false"/>
          <w:smallCaps w:val="false"/>
          <w:sz w:val="20"/>
        </w:rPr>
        <w:t xml:space="preserve"> For purposes of this Policy, the following capitalized terms shall have the meanings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Accounting Restatement</w:t>
      </w:r>
      <w:r>
        <w:rPr>
          <w:rFonts w:ascii="Times New Roman;Times;Serif" w:hAnsi="Times New Roman;Times;Serif"/>
          <w:b w:val="false"/>
          <w:i w:val="false"/>
          <w:caps w:val="false"/>
          <w:smallCaps w:val="false"/>
          <w:sz w:val="20"/>
        </w:rPr>
        <w:t>” means an accounting restatement due to the material noncompliance of the Company with any financial reporting requirement under the securities laws, including any required accounting restatement (i) to correct an error in previously issued financial statements that is material to the previously issued financial statements (a “Big R” restatement), or (ii) that would result in a material misstatement if the error were corrected in the current period or left uncorrected in the current period (a “little r” restatement).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Clawback Eligible Incentive Compensation</w:t>
      </w:r>
      <w:r>
        <w:rPr>
          <w:rFonts w:ascii="Times New Roman;Times;Serif" w:hAnsi="Times New Roman;Times;Serif"/>
          <w:b w:val="false"/>
          <w:i w:val="false"/>
          <w:caps w:val="false"/>
          <w:smallCaps w:val="false"/>
          <w:sz w:val="20"/>
        </w:rPr>
        <w:t>” means all Incentive-Based Compensation Received by any current or former Executive Officer on or after May 15, 2025 provided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Incentive-Based Compensation is Received after such individual began serving as an Executive Officer;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individual served as an Executive Officer at any time during the performance period for such Incentive-Based Compensation;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such Incentive-Based Compensation is Received while the Company has a class of securities listed on Nasdaq;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Incentive-Based Compensation is Received during the applicable Clawback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Clawback Period</w:t>
      </w:r>
      <w:r>
        <w:rPr>
          <w:rFonts w:ascii="Times New Roman;Times;Serif" w:hAnsi="Times New Roman;Times;Serif"/>
          <w:b w:val="false"/>
          <w:i w:val="false"/>
          <w:caps w:val="false"/>
          <w:smallCaps w:val="false"/>
          <w:sz w:val="20"/>
        </w:rPr>
        <w:t>” means,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means the Compensation Committee of the Board.</w:t>
      </w:r>
    </w:p>
    <w:p>
      <w:pPr>
        <w:pStyle w:val="TextBody"/>
        <w:bidi w:val="0"/>
        <w:spacing w:before="0" w:after="0"/>
        <w:ind w:left="0" w:right="0" w:hanging="0"/>
        <w:jc w:val="left"/>
        <w:rPr>
          <w:caps w:val="false"/>
          <w:smallCaps w:val="false"/>
        </w:rPr>
      </w:pPr>
      <w:r>
        <w:rPr>
          <w:caps w:val="false"/>
          <w:smallCaps w:val="false"/>
        </w:rPr>
        <w:t> </w:t>
      </w:r>
    </w:p>
    <w:tbl>
      <w:tblPr>
        <w:tblW w:w="5555" w:type="dxa"/>
        <w:jc w:val="left"/>
        <w:tblInd w:w="0" w:type="dxa"/>
        <w:tblLayout w:type="fixed"/>
        <w:tblCellMar>
          <w:top w:w="0" w:type="dxa"/>
          <w:left w:w="0" w:type="dxa"/>
          <w:bottom w:w="0" w:type="dxa"/>
          <w:right w:w="0" w:type="dxa"/>
        </w:tblCellMar>
      </w:tblPr>
      <w:tblGrid>
        <w:gridCol w:w="5555"/>
      </w:tblGrid>
      <w:tr>
        <w:trPr/>
        <w:tc>
          <w:tcPr>
            <w:tcW w:w="5555" w:type="dxa"/>
            <w:tcBorders/>
            <w:vAlign w:val="center"/>
          </w:tcPr>
          <w:p>
            <w:pPr>
              <w:pStyle w:val="TableContents"/>
              <w:bidi w:val="0"/>
              <w:spacing w:before="0" w:after="283"/>
              <w:jc w:val="left"/>
              <w:rPr/>
            </w:pPr>
            <w:r>
              <w:rPr/>
              <w:t>Arrive AI Compensation Recovery Policy (October 2024)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par value $0.00005 per share, of the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Arrive AI Inc., a Delaware corporation.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Company Group</w:t>
      </w:r>
      <w:r>
        <w:rPr>
          <w:rFonts w:ascii="Times New Roman;Times;Serif" w:hAnsi="Times New Roman;Times;Serif"/>
          <w:b w:val="false"/>
          <w:i w:val="false"/>
          <w:caps w:val="false"/>
          <w:smallCaps w:val="false"/>
          <w:sz w:val="20"/>
        </w:rPr>
        <w:t>” means the Company, together with each of its direct and indirect subsidiaries.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Erroneously Awarded Compensation</w:t>
      </w:r>
      <w:r>
        <w:rPr>
          <w:rFonts w:ascii="Times New Roman;Times;Serif" w:hAnsi="Times New Roman;Times;Serif"/>
          <w:b w:val="false"/>
          <w:i w:val="false"/>
          <w:caps w:val="false"/>
          <w:smallCaps w:val="false"/>
          <w:sz w:val="20"/>
        </w:rPr>
        <w:t>” means, with respect to any current or former Executive Officer in the event of any Accounting Restatement, the amount of Clawback Eligible Incentive Compensation Received by such current or former Executive Officer that exceeds the amount of Incentive-Based Compensation that otherwise would have been Received by such current or former Executive Officer had such Clawback Eligible Incentive Compensation been determined based on the restated amounts in such Accounting Restatement, taking into account any discretion that the Committee had applied to determine the amount of Clawback Eligible Incentive Compensation originally Received and computed without regard to any taxes paid.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Executive Officer</w:t>
      </w:r>
      <w:r>
        <w:rPr>
          <w:rFonts w:ascii="Times New Roman;Times;Serif" w:hAnsi="Times New Roman;Times;Serif"/>
          <w:b w:val="false"/>
          <w:i w:val="false"/>
          <w:caps w:val="false"/>
          <w:smallCaps w:val="false"/>
          <w:sz w:val="20"/>
        </w:rPr>
        <w:t>” means any officer as defined in Rule 10D-1(d) (or any successor provision thereof) under the Exchange Act.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Financial Reporting Measures</w:t>
      </w:r>
      <w:r>
        <w:rPr>
          <w:rFonts w:ascii="Times New Roman;Times;Serif" w:hAnsi="Times New Roman;Times;Serif"/>
          <w:b w:val="false"/>
          <w:i w:val="false"/>
          <w:caps w:val="false"/>
          <w:smallCaps w:val="false"/>
          <w:sz w:val="20"/>
        </w:rPr>
        <w:t>” means measures that are determined and presented in accordance with the accounting principles used in preparing the Company’s financial statements, and any other measures that are derived wholly or in part from such measures. For purposes of this Policy, stock price and total shareholder return (and any measures that are derived wholly or in part from stock price or total shareholder return) shall be considered Financial Reporting Measures. For the avoidance of doubt, a Financial Reporting Measure need not be presented within the Company’s financial statements or included in a filing with the SEC.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Incentive-Based Compensation</w:t>
      </w:r>
      <w:r>
        <w:rPr>
          <w:rFonts w:ascii="Times New Roman;Times;Serif" w:hAnsi="Times New Roman;Times;Serif"/>
          <w:b w:val="false"/>
          <w:i w:val="false"/>
          <w:caps w:val="false"/>
          <w:smallCaps w:val="false"/>
          <w:sz w:val="20"/>
        </w:rPr>
        <w:t>” means any compensation that is granted, earned or vested based wholly or in part upon the attainment of a Financial Reporting Measure.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Stock Market LLC.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Received</w:t>
      </w:r>
      <w:r>
        <w:rPr>
          <w:rFonts w:ascii="Times New Roman;Times;Serif" w:hAnsi="Times New Roman;Times;Serif"/>
          <w:b w:val="false"/>
          <w:i w:val="false"/>
          <w:caps w:val="false"/>
          <w:smallCaps w:val="false"/>
          <w:sz w:val="20"/>
        </w:rPr>
        <w:t>” means, with respect to Incentive-Based Compensation, actual or deemed receipt,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Restatement Date</w:t>
      </w:r>
      <w:r>
        <w:rPr>
          <w:rFonts w:ascii="Times New Roman;Times;Serif" w:hAnsi="Times New Roman;Times;Serif"/>
          <w:b w:val="false"/>
          <w:i w:val="false"/>
          <w:caps w:val="false"/>
          <w:smallCaps w:val="false"/>
          <w:sz w:val="20"/>
        </w:rPr>
        <w:t>” means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Recovery of Erroneously Awarded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the Company is required to prepare an Accounting Restatement, (i) the Committee shall determine the amount of any Erroneously Awarded Compensation for each applicable current or former Executive Officer (whether or not such individual is serving as an Executive Officer at such time) (the “</w:t>
      </w:r>
      <w:r>
        <w:rPr>
          <w:rFonts w:ascii="Times New Roman;Times;Serif" w:hAnsi="Times New Roman;Times;Serif"/>
          <w:b w:val="false"/>
          <w:i w:val="false"/>
          <w:caps w:val="false"/>
          <w:smallCaps w:val="false"/>
          <w:sz w:val="20"/>
          <w:u w:val="single"/>
        </w:rPr>
        <w:t>Applicable Executives</w:t>
      </w:r>
      <w:r>
        <w:rPr>
          <w:rFonts w:ascii="Times New Roman;Times;Serif" w:hAnsi="Times New Roman;Times;Serif"/>
          <w:b w:val="false"/>
          <w:i w:val="false"/>
          <w:caps w:val="false"/>
          <w:smallCaps w:val="false"/>
          <w:sz w:val="20"/>
        </w:rPr>
        <w:t>”) in connection with such Accounting Restatement, and (ii) the Company will reasonably promptly require the recovery of such Erroneously Awarded Compensation from any such Applicable Executive, and any such Applicable Executive shall surrender such Erroneously Awarded Compensation to the Company, at such time(s), and via such method(s), as determined by the Committee in accordance with the terms of this Policy.</w:t>
      </w:r>
    </w:p>
    <w:p>
      <w:pPr>
        <w:pStyle w:val="TextBody"/>
        <w:bidi w:val="0"/>
        <w:spacing w:before="0" w:after="0"/>
        <w:ind w:left="0" w:right="0" w:hanging="0"/>
        <w:jc w:val="left"/>
        <w:rPr>
          <w:caps w:val="false"/>
          <w:smallCaps w:val="false"/>
        </w:rPr>
      </w:pPr>
      <w:r>
        <w:rPr>
          <w:caps w:val="false"/>
          <w:smallCaps w:val="false"/>
        </w:rPr>
        <w:t> </w:t>
      </w:r>
    </w:p>
    <w:tbl>
      <w:tblPr>
        <w:tblW w:w="5555" w:type="dxa"/>
        <w:jc w:val="left"/>
        <w:tblInd w:w="0" w:type="dxa"/>
        <w:tblLayout w:type="fixed"/>
        <w:tblCellMar>
          <w:top w:w="0" w:type="dxa"/>
          <w:left w:w="0" w:type="dxa"/>
          <w:bottom w:w="0" w:type="dxa"/>
          <w:right w:w="0" w:type="dxa"/>
        </w:tblCellMar>
      </w:tblPr>
      <w:tblGrid>
        <w:gridCol w:w="5555"/>
      </w:tblGrid>
      <w:tr>
        <w:trPr/>
        <w:tc>
          <w:tcPr>
            <w:tcW w:w="5555" w:type="dxa"/>
            <w:tcBorders/>
            <w:vAlign w:val="center"/>
          </w:tcPr>
          <w:p>
            <w:pPr>
              <w:pStyle w:val="TableContents"/>
              <w:bidi w:val="0"/>
              <w:spacing w:before="0" w:after="283"/>
              <w:jc w:val="left"/>
              <w:rPr/>
            </w:pPr>
            <w:r>
              <w:rPr/>
              <w:t>Arrive AI Compensation Recovery Policy (October 2024)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Incentive-Based Compensation based on (or derived from) stock price or total shareholder return where the amount of Erroneously Awarded Compensation is not subject to mathematical recalculation directly from the information in the applicable Accounting Restatement, (i) such amount shall be determined by the Committee based on a reasonable estimate of the effect of the Accounting Restatement on the stock price or total shareholder return upon which the Incentive-Based Compensation was Received, and (ii) the Company will maintain documentation of the determination of that reasonable estimate and provide such documentation to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Committee shall determine, in its sole discretion, the method(s) for recovering any Erroneously Awarded Compensation from any Applicable Executive, which may include one or more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requiring one or more cash payments to the Company Group from such Applicable Executive, including, but not limited to, the repayment of cash Incentive-Based Compensation previously paid by the Company Group to such Applicable Executive;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seeking recovery of any gain realized on the vesting, exercise, settlement, sale, transfer or other disposition of any equity-based awards previously made by the Company to such Applicable Executive and/or, subject to applicable legal requirements, otherwise requiring the delivery to the Company of shares of Common Stock held by such Applicable Executive;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withholding, reducing or eliminating future cash compensation (including cash incentive payments), future equity awards and/or other benefits or amounts otherwise to be paid or awarded by the Company Group to such Applicable Executive;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offsetting amounts against compensation or other amounts otherwise payable by the Company Group to any Applicable Executive;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cancelling, adjusting or offsetting against some or all outstanding vested or unvested equity awards of the Company held by such Applicable Executive; and/or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taking any other remedial and recovery actions with respect to such Applicable Executive permitted by applicable legal requirements and the rules and regulations of Nasdaq, as determined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except as set forth in Section 4(d) below, in no event may the Company accept an amount that is less than the amount of Erroneously Awarded Compensation in satisfaction of an Executive Officer’s obligations 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herein to the contrary, the Company shall not be required to recover Erroneously Awarded Compensation from any Applicable Executive pursuant to the terms of this Policy if the Committee determines that such recovery would be impracticable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direct expenses paid to a third party to assist in enforcing the Policy would exceed the amount to be recovered, provided that, before concluding that it would be impracticable to recover any amount of Erroneously Awarded Compensation based on expense of enforcement pursuant to this clause (i), the Company has (x) made a reasonable attempt to recover such Erroneously Awarded Compensation, (y) documented such reasonable attempt(s) to recover, and (z) provided such documentation to Nasdaq;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recovery would likely cause an otherwise tax-qualified retirement plan, under which benefits are broadly available to employees of the Company Group, to fail to meet the requirements of 26 U.S.C. 401(a)(13) or 26 U.S.C. 411(a) and regulations thereunder.</w:t>
      </w:r>
    </w:p>
    <w:p>
      <w:pPr>
        <w:pStyle w:val="TextBody"/>
        <w:bidi w:val="0"/>
        <w:spacing w:before="0" w:after="0"/>
        <w:ind w:left="0" w:right="0" w:hanging="0"/>
        <w:jc w:val="left"/>
        <w:rPr>
          <w:caps w:val="false"/>
          <w:smallCaps w:val="false"/>
        </w:rPr>
      </w:pPr>
      <w:r>
        <w:rPr>
          <w:caps w:val="false"/>
          <w:smallCaps w:val="false"/>
        </w:rPr>
        <w:t> </w:t>
      </w:r>
    </w:p>
    <w:tbl>
      <w:tblPr>
        <w:tblW w:w="5555" w:type="dxa"/>
        <w:jc w:val="left"/>
        <w:tblInd w:w="0" w:type="dxa"/>
        <w:tblLayout w:type="fixed"/>
        <w:tblCellMar>
          <w:top w:w="0" w:type="dxa"/>
          <w:left w:w="0" w:type="dxa"/>
          <w:bottom w:w="0" w:type="dxa"/>
          <w:right w:w="0" w:type="dxa"/>
        </w:tblCellMar>
      </w:tblPr>
      <w:tblGrid>
        <w:gridCol w:w="5555"/>
      </w:tblGrid>
      <w:tr>
        <w:trPr/>
        <w:tc>
          <w:tcPr>
            <w:tcW w:w="5555" w:type="dxa"/>
            <w:tcBorders/>
            <w:vAlign w:val="center"/>
          </w:tcPr>
          <w:p>
            <w:pPr>
              <w:pStyle w:val="TableContents"/>
              <w:bidi w:val="0"/>
              <w:spacing w:before="0" w:after="283"/>
              <w:jc w:val="left"/>
              <w:rPr/>
            </w:pPr>
            <w:r>
              <w:rPr/>
              <w:t>Arrive AI Compensation Recovery Policy (October 2024)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No Indemnification, Etc.</w:t>
      </w:r>
      <w:r>
        <w:rPr>
          <w:rFonts w:ascii="Times New Roman;Times;Serif" w:hAnsi="Times New Roman;Times;Serif"/>
          <w:b w:val="false"/>
          <w:i w:val="false"/>
          <w:caps w:val="false"/>
          <w:smallCaps w:val="false"/>
          <w:sz w:val="20"/>
        </w:rPr>
        <w:t xml:space="preserve"> The Company Group shall not (a) indemnify any current or former Executive Officer against (i) the loss of any Erroneously Awarded Compensation that is repaid, returned or recovered pursuant to the terms of this Policy, or (ii) any claims relating to the Company Group’s enforcement of its rights under this Policy, or (b) pay or reimburse any current or former Executive Officers for insurance premiums to recover losses incurred under this Policy. Further, the Company shall not, nor permit any member of the Company Group to, enter into any agreement that exempts any Incentive-based Compensation that is granted, paid or awarded to an Executive Officer from the application of this Policy or that waives the Company’s right to recovery of any Erroneously Awarded Compensation, and this Policy shall supersede any such agreement (whether entered into before, on, or after the adoption of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Supersedure.</w:t>
      </w:r>
      <w:r>
        <w:rPr>
          <w:rFonts w:ascii="Times New Roman;Times;Serif" w:hAnsi="Times New Roman;Times;Serif"/>
          <w:b w:val="false"/>
          <w:i w:val="false"/>
          <w:caps w:val="false"/>
          <w:smallCaps w:val="false"/>
          <w:sz w:val="20"/>
        </w:rPr>
        <w:t xml:space="preserve"> This Policy will supersede any provisions in (a) any agreement, plan or other arrangement applicable to any member of the Company Group, and (b) any organizational documents of any entity that is part of Company Group that, in any such case, (i) exempt any Incentive-Based Compensation from the application of this Policy, (ii) waive or otherwise prohibit or restricts the Company Group’s right to recover any Erroneously Awarded Compensation, including, without limitation, in connection with exercising any right of setoff as provided herein, and/or (iii) require or provide for indemnification to the extent that such indemnification is prohibited under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Amendment; Termination; Interpretation.</w:t>
      </w:r>
      <w:r>
        <w:rPr>
          <w:rFonts w:ascii="Times New Roman;Times;Serif" w:hAnsi="Times New Roman;Times;Serif"/>
          <w:b w:val="false"/>
          <w:i w:val="false"/>
          <w:caps w:val="false"/>
          <w:smallCaps w:val="false"/>
          <w:sz w:val="20"/>
        </w:rPr>
        <w:t xml:space="preserve"> The Committee may amend or terminate this Policy at any time, subject to compliance with all applicable legal requirements and the rules and requirements of Nasdaq. It is intended that this Policy be interpreted in a manner that is consistent with the SEC/Nasdaq Clawback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Other Recoupment Rights; No Additional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8(b)</w:t>
      </w:r>
      <w:r>
        <w:rPr>
          <w:rFonts w:ascii="Times New Roman;Times;Serif" w:hAnsi="Times New Roman;Times;Serif"/>
          <w:b w:val="false"/>
          <w:i w:val="false"/>
          <w:caps w:val="false"/>
          <w:smallCaps w:val="false"/>
          <w:sz w:val="20"/>
        </w:rPr>
        <w:t xml:space="preserve"> of this Policy below, any right of recovery under this Policy is in addition to, and not in lieu of, any other remedies or rights of recoupment that may be available to the Company Group pursuant to applicable law, rule or regulation, the terms of any policy of the Company Group or any provision in any employment agreement, incentive or equity compensation plan or award agreement, or other agreement or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herein to the contrary, to prevent duplicative recovery: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extent that the amount of any Erroneously Awarded Compensation is recovered from any current or former Executive Officers under this Policy, the Company will not be entitled to recover any such amounts under any other compensation recovery or recoupment policy of the Company or any applicable provisions of plans, agreements, awards or other arrangements of the Company that provide for the recoupment or recovery of compensation from Executive Officers; and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the extent that an Executive Officer has already reimbursed the Company/member of the Company Group for any Erroneously Awarded Compensation Received under any duplicative recovery obligations established by the Company Group or applicable law, it shall be appropriate for any such reimbursed amount to be credited to the amount of Erroneously Awarded Compensation that is subject to recovery under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Successors.</w:t>
      </w:r>
      <w:r>
        <w:rPr>
          <w:rFonts w:ascii="Times New Roman;Times;Serif" w:hAnsi="Times New Roman;Times;Serif"/>
          <w:b w:val="false"/>
          <w:i w:val="false"/>
          <w:caps w:val="false"/>
          <w:smallCaps w:val="false"/>
          <w:sz w:val="20"/>
        </w:rPr>
        <w:t xml:space="preserve"> This Policy shall be binding and enforceable against all current and former Executive Officers and their beneficiaries, heirs, executors, administrators or other legal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Acknowledgement.</w:t>
      </w:r>
      <w:r>
        <w:rPr>
          <w:rFonts w:ascii="Times New Roman;Times;Serif" w:hAnsi="Times New Roman;Times;Serif"/>
          <w:b w:val="false"/>
          <w:i w:val="false"/>
          <w:caps w:val="false"/>
          <w:smallCaps w:val="false"/>
          <w:sz w:val="20"/>
        </w:rPr>
        <w:t xml:space="preserve"> Each Executive Officer shall sign and return to the Company within 30 calendar days following the later of (i) the date of this Policy or (ii) the date such individual becomes an Executive Officer, the Acknowledgement Form attached hereto as Exhibit A, pursuant to which the Executive Officer agrees to be bound by, and to comply with, the terms and conditions of this Policy.</w:t>
      </w:r>
    </w:p>
    <w:p>
      <w:pPr>
        <w:pStyle w:val="TextBody"/>
        <w:bidi w:val="0"/>
        <w:spacing w:before="0" w:after="0"/>
        <w:ind w:left="0" w:right="0" w:hanging="0"/>
        <w:jc w:val="left"/>
        <w:rPr>
          <w:caps w:val="false"/>
          <w:smallCaps w:val="false"/>
        </w:rPr>
      </w:pPr>
      <w:r>
        <w:rPr>
          <w:caps w:val="false"/>
          <w:smallCaps w:val="false"/>
        </w:rPr>
        <w:t> </w:t>
      </w:r>
    </w:p>
    <w:tbl>
      <w:tblPr>
        <w:tblW w:w="5555" w:type="dxa"/>
        <w:jc w:val="left"/>
        <w:tblInd w:w="0" w:type="dxa"/>
        <w:tblLayout w:type="fixed"/>
        <w:tblCellMar>
          <w:top w:w="0" w:type="dxa"/>
          <w:left w:w="0" w:type="dxa"/>
          <w:bottom w:w="0" w:type="dxa"/>
          <w:right w:w="0" w:type="dxa"/>
        </w:tblCellMar>
      </w:tblPr>
      <w:tblGrid>
        <w:gridCol w:w="5555"/>
      </w:tblGrid>
      <w:tr>
        <w:trPr/>
        <w:tc>
          <w:tcPr>
            <w:tcW w:w="5555" w:type="dxa"/>
            <w:tcBorders/>
            <w:vAlign w:val="center"/>
          </w:tcPr>
          <w:p>
            <w:pPr>
              <w:pStyle w:val="TableContents"/>
              <w:bidi w:val="0"/>
              <w:spacing w:before="0" w:after="283"/>
              <w:jc w:val="left"/>
              <w:rPr/>
            </w:pPr>
            <w:r>
              <w:rPr/>
              <w:t>Arrive AI Compensation Recovery Policy (October 2024)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Acknowledgement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undersigned acknowledges and confirms that the undersigned has received and reviewed a copy of The Arrive AI Inc. Compensation Recovery Policy (such policy, as amended from time to time, the “Policy”). Capitalized terms used but not otherwise defined in this acknowledgement shall have the meanings ascribed to such terms in the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this acknowledgement, the undersigned acknowledges and agrees that the undersigned is and will continue to be subject to the Policy and that the Policy will apply both during and after the undersigned’s employment with the Company Group. Further, by signing below, the undersigned agrees to abide by the terms of the Policy, including, without limitation, by returning any Erroneously Awarded Compensation to the Company group to the extent required by the Policy. By not signing this acknowledgement, the individual is not eligible to participate in the Company’s Incentive Compensation Program.</w:t>
      </w:r>
    </w:p>
    <w:p>
      <w:pPr>
        <w:pStyle w:val="TextBody"/>
        <w:bidi w:val="0"/>
        <w:spacing w:before="0" w:after="0"/>
        <w:ind w:left="0" w:right="0" w:firstLine="360"/>
        <w:jc w:val="both"/>
        <w:rPr>
          <w:caps w:val="false"/>
          <w:smallCaps w:val="false"/>
        </w:rPr>
      </w:pPr>
      <w:r>
        <w:rPr>
          <w:caps w:val="false"/>
          <w:smallCaps w:val="false"/>
        </w:rPr>
        <w:t> </w:t>
      </w:r>
    </w:p>
    <w:tbl>
      <w:tblPr>
        <w:tblW w:w="950" w:type="dxa"/>
        <w:jc w:val="left"/>
        <w:tblInd w:w="0" w:type="dxa"/>
        <w:tblLayout w:type="fixed"/>
        <w:tblCellMar>
          <w:top w:w="0" w:type="dxa"/>
          <w:left w:w="0" w:type="dxa"/>
          <w:bottom w:w="28" w:type="dxa"/>
          <w:right w:w="0" w:type="dxa"/>
        </w:tblCellMar>
      </w:tblPr>
      <w:tblGrid>
        <w:gridCol w:w="950"/>
      </w:tblGrid>
      <w:tr>
        <w:trPr/>
        <w:tc>
          <w:tcPr>
            <w:tcW w:w="95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9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r>
        <w:trPr/>
        <w:tc>
          <w:tcPr>
            <w:tcW w:w="9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5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9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w:t>
            </w:r>
          </w:p>
        </w:tc>
      </w:tr>
      <w:tr>
        <w:trPr/>
        <w:tc>
          <w:tcPr>
            <w:tcW w:w="9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5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9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r>
    </w:tbl>
    <w:p>
      <w:pPr>
        <w:pStyle w:val="TextBody"/>
        <w:bidi w:val="0"/>
        <w:spacing w:before="0" w:after="0"/>
        <w:ind w:left="0" w:right="0" w:hanging="0"/>
        <w:jc w:val="left"/>
        <w:rPr>
          <w:caps w:val="false"/>
          <w:smallCaps w:val="false"/>
        </w:rPr>
      </w:pPr>
      <w:r>
        <w:rPr>
          <w:caps w:val="false"/>
          <w:smallCaps w:val="false"/>
        </w:rPr>
        <w:t> </w:t>
      </w:r>
    </w:p>
    <w:tbl>
      <w:tblPr>
        <w:tblW w:w="5555" w:type="dxa"/>
        <w:jc w:val="left"/>
        <w:tblInd w:w="0" w:type="dxa"/>
        <w:tblLayout w:type="fixed"/>
        <w:tblCellMar>
          <w:top w:w="0" w:type="dxa"/>
          <w:left w:w="0" w:type="dxa"/>
          <w:bottom w:w="0" w:type="dxa"/>
          <w:right w:w="0" w:type="dxa"/>
        </w:tblCellMar>
      </w:tblPr>
      <w:tblGrid>
        <w:gridCol w:w="5555"/>
      </w:tblGrid>
      <w:tr>
        <w:trPr/>
        <w:tc>
          <w:tcPr>
            <w:tcW w:w="5555" w:type="dxa"/>
            <w:tcBorders/>
            <w:vAlign w:val="center"/>
          </w:tcPr>
          <w:p>
            <w:pPr>
              <w:pStyle w:val="TableContents"/>
              <w:bidi w:val="0"/>
              <w:spacing w:before="0" w:after="283"/>
              <w:jc w:val="left"/>
              <w:rPr/>
            </w:pPr>
            <w:r>
              <w:rPr/>
              <w:t>Arrive AI Compensation Recovery Policy (October 2024)</w:t>
            </w:r>
          </w:p>
        </w:tc>
      </w:tr>
    </w:tbl>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1818274/000164117225000350/ex3-1.htm" TargetMode="External"/><Relationship Id="rId7" Type="http://schemas.openxmlformats.org/officeDocument/2006/relationships/hyperlink" Target="https://www.sec.gov/Archives/edgar/data/1818274/000164117225000350/ex3-2.htm" TargetMode="External"/><Relationship Id="rId8" Type="http://schemas.openxmlformats.org/officeDocument/2006/relationships/hyperlink" Target="https://www.sec.gov/Archives/edgar/data/1818274/000164117225000350/ex3-3.htm" TargetMode="External"/><Relationship Id="rId9" Type="http://schemas.openxmlformats.org/officeDocument/2006/relationships/hyperlink" Target="https://www.sec.gov/Archives/edgar/data/1818274/000149315225003660/ex10-1.htm" TargetMode="External"/><Relationship Id="rId10" Type="http://schemas.openxmlformats.org/officeDocument/2006/relationships/hyperlink" Target="https://www.sec.gov/Archives/edgar/data/1818274/000149315225003660/ex10-2.htm" TargetMode="External"/><Relationship Id="rId11" Type="http://schemas.openxmlformats.org/officeDocument/2006/relationships/hyperlink" Target="https://www.sec.gov/Archives/edgar/data/1818274/000164117225000350/ex10-3.htm" TargetMode="External"/><Relationship Id="rId12" Type="http://schemas.openxmlformats.org/officeDocument/2006/relationships/hyperlink" Target="https://www.sec.gov/Archives/edgar/data/1818274/000164117225000350/ex10-4.htm" TargetMode="External"/><Relationship Id="rId13" Type="http://schemas.openxmlformats.org/officeDocument/2006/relationships/hyperlink" Target="https://www.sec.gov/Archives/edgar/data/1818274/000149315225003660/ex10-13.htm" TargetMode="External"/><Relationship Id="rId14" Type="http://schemas.openxmlformats.org/officeDocument/2006/relationships/hyperlink" Target="https://www.sec.gov/Archives/edgar/data/1818274/000149315225003660/ex10-14.htm" TargetMode="External"/><Relationship Id="rId15" Type="http://schemas.openxmlformats.org/officeDocument/2006/relationships/hyperlink" Target="https://www.sec.gov/Archives/edgar/data/1818274/000149315225003660/ex10-15.htm" TargetMode="External"/><Relationship Id="rId16" Type="http://schemas.openxmlformats.org/officeDocument/2006/relationships/hyperlink" Target="https://www.sec.gov/Archives/edgar/data/1818274/000149315225003660/ex10-17.htm" TargetMode="External"/><Relationship Id="rId17" Type="http://schemas.openxmlformats.org/officeDocument/2006/relationships/hyperlink" Target="https://www.sec.gov/Archives/edgar/data/1818274/000164117225000350/ex10-10.htm" TargetMode="External"/><Relationship Id="rId18" Type="http://schemas.openxmlformats.org/officeDocument/2006/relationships/hyperlink" Target="https://www.sec.gov/Archives/edgar/data/1818274/000164117225000350/ex10-11.htm" TargetMode="External"/><Relationship Id="rId19" Type="http://schemas.openxmlformats.org/officeDocument/2006/relationships/hyperlink" Target="https://www.sec.gov/Archives/edgar/data/1818274/000164117225023999/ex10-2.htm" TargetMode="External"/><Relationship Id="rId20" Type="http://schemas.openxmlformats.org/officeDocument/2006/relationships/hyperlink" Target="https://www.sec.gov/Archives/edgar/data/1818274/000149315225026672/ex10-1.htm" TargetMode="External"/><Relationship Id="rId21" Type="http://schemas.openxmlformats.org/officeDocument/2006/relationships/hyperlink" Target="https://www.sec.gov/Archives/edgar/data/1818274/000149315226004525/ex10-1.htm" TargetMode="External"/><Relationship Id="rId22" Type="http://schemas.openxmlformats.org/officeDocument/2006/relationships/hyperlink" Target="https://www.sec.gov/Archives/edgar/data/1818274/000149315226004525/ex10-2.htm" TargetMode="External"/><Relationship Id="rId23" Type="http://schemas.openxmlformats.org/officeDocument/2006/relationships/hyperlink" Target="https://www.sec.gov/Archives/edgar/data/1818274/000164117225009841/ex16-1.htm" TargetMode="External"/><Relationship Id="rId24" Type="http://schemas.openxmlformats.org/officeDocument/2006/relationships/hyperlink" Target="https://www.sec.gov/Archives/edgar/data/1818274/000164117225000350/ex21-1.htm" TargetMode="External"/><Relationship Id="rId25" Type="http://schemas.openxmlformats.org/officeDocument/2006/relationships/image" Target="media/image5.jpeg"/><Relationship Id="rId26" Type="http://schemas.openxmlformats.org/officeDocument/2006/relationships/image" Target="media/image6.jpeg"/><Relationship Id="rId27" Type="http://schemas.openxmlformats.org/officeDocument/2006/relationships/image" Target="media/image7.jpeg"/><Relationship Id="rId28" Type="http://schemas.openxmlformats.org/officeDocument/2006/relationships/image" Target="media/image7.jpeg"/><Relationship Id="rId29" Type="http://schemas.openxmlformats.org/officeDocument/2006/relationships/image" Target="media/image7.jpeg"/><Relationship Id="rId30" Type="http://schemas.openxmlformats.org/officeDocument/2006/relationships/image" Target="media/image7.jpeg"/><Relationship Id="rId31" Type="http://schemas.openxmlformats.org/officeDocument/2006/relationships/image" Target="media/image7.jpeg"/><Relationship Id="rId32" Type="http://schemas.openxmlformats.org/officeDocument/2006/relationships/image" Target="media/image7.jpeg"/><Relationship Id="rId33" Type="http://schemas.openxmlformats.org/officeDocument/2006/relationships/image" Target="media/image7.jpeg"/><Relationship Id="rId34" Type="http://schemas.openxmlformats.org/officeDocument/2006/relationships/image" Target="media/image7.jpeg"/><Relationship Id="rId35" Type="http://schemas.openxmlformats.org/officeDocument/2006/relationships/image" Target="media/image7.jpeg"/><Relationship Id="rId36" Type="http://schemas.openxmlformats.org/officeDocument/2006/relationships/image" Target="media/image7.jpeg"/><Relationship Id="rId37" Type="http://schemas.openxmlformats.org/officeDocument/2006/relationships/image" Target="media/image7.jpeg"/><Relationship Id="rId38" Type="http://schemas.openxmlformats.org/officeDocument/2006/relationships/image" Target="media/image7.jpeg"/><Relationship Id="rId39" Type="http://schemas.openxmlformats.org/officeDocument/2006/relationships/image" Target="media/image7.jpeg"/><Relationship Id="rId40" Type="http://schemas.openxmlformats.org/officeDocument/2006/relationships/image" Target="media/image7.jpeg"/><Relationship Id="rId41" Type="http://schemas.openxmlformats.org/officeDocument/2006/relationships/image" Target="media/image7.jpeg"/><Relationship Id="rId42" Type="http://schemas.openxmlformats.org/officeDocument/2006/relationships/image" Target="media/image7.jpeg"/><Relationship Id="rId43" Type="http://schemas.openxmlformats.org/officeDocument/2006/relationships/image" Target="media/image7.jpeg"/><Relationship Id="rId44" Type="http://schemas.openxmlformats.org/officeDocument/2006/relationships/image" Target="media/image7.jpeg"/><Relationship Id="rId45" Type="http://schemas.openxmlformats.org/officeDocument/2006/relationships/image" Target="media/image7.jpeg"/><Relationship Id="rId46" Type="http://schemas.openxmlformats.org/officeDocument/2006/relationships/image" Target="media/image7.jpeg"/><Relationship Id="rId47" Type="http://schemas.openxmlformats.org/officeDocument/2006/relationships/image" Target="media/image7.jpeg"/><Relationship Id="rId48" Type="http://schemas.openxmlformats.org/officeDocument/2006/relationships/image" Target="media/image7.jpeg"/><Relationship Id="rId49" Type="http://schemas.openxmlformats.org/officeDocument/2006/relationships/image" Target="media/image7.jpeg"/><Relationship Id="rId50" Type="http://schemas.openxmlformats.org/officeDocument/2006/relationships/image" Target="media/image7.jpeg"/><Relationship Id="rId51" Type="http://schemas.openxmlformats.org/officeDocument/2006/relationships/image" Target="media/image4.jpeg"/><Relationship Id="rId52" Type="http://schemas.openxmlformats.org/officeDocument/2006/relationships/image" Target="media/image8.jpeg"/><Relationship Id="rId53" Type="http://schemas.openxmlformats.org/officeDocument/2006/relationships/image" Target="media/image9.jpeg"/><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80506</Words>
  <Characters>446743</Characters>
  <CharactersWithSpaces>530121</CharactersWithSpaces>
  <Paragraphs>13432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