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245745</wp:posOffset>
            </wp:positionV>
            <wp:extent cx="71647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238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291465</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REGISTRATION STATEMENT UNDER THE SECURITIES ACT OF 1933</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Arrive AI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0" w:lineRule="exact"/>
        <w:rPr>
          <w:sz w:val="24"/>
          <w:szCs w:val="24"/>
          <w:color w:val="auto"/>
        </w:rPr>
      </w:pPr>
    </w:p>
    <w:tbl>
      <w:tblPr>
        <w:tblLayout w:type="fixed"/>
        <w:tblInd w:w="980" w:type="dxa"/>
        <w:tblCellMar>
          <w:top w:w="0" w:type="dxa"/>
          <w:left w:w="0" w:type="dxa"/>
          <w:bottom w:w="0" w:type="dxa"/>
          <w:right w:w="0" w:type="dxa"/>
        </w:tblCellMar>
      </w:tblPr>
      <w:tr>
        <w:trPr>
          <w:trHeight w:val="169"/>
        </w:trPr>
        <w:tc>
          <w:tcPr>
            <w:tcW w:w="2760" w:type="dxa"/>
            <w:vAlign w:val="bottom"/>
          </w:tcPr>
          <w:p>
            <w:pPr>
              <w:jc w:val="center"/>
              <w:ind w:right="103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9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7340</w:t>
            </w:r>
          </w:p>
        </w:tc>
        <w:tc>
          <w:tcPr>
            <w:tcW w:w="2460" w:type="dxa"/>
            <w:vAlign w:val="bottom"/>
          </w:tcPr>
          <w:p>
            <w:pPr>
              <w:jc w:val="center"/>
              <w:ind w:left="1111"/>
              <w:spacing w:after="0"/>
              <w:rPr>
                <w:sz w:val="20"/>
                <w:szCs w:val="20"/>
                <w:color w:val="auto"/>
              </w:rPr>
            </w:pPr>
            <w:r>
              <w:rPr>
                <w:rFonts w:ascii="Times New Roman" w:cs="Times New Roman" w:eastAsia="Times New Roman" w:hAnsi="Times New Roman"/>
                <w:sz w:val="14"/>
                <w:szCs w:val="14"/>
                <w:b w:val="1"/>
                <w:bCs w:val="1"/>
                <w:color w:val="auto"/>
              </w:rPr>
              <w:t>85-0935006</w:t>
            </w:r>
          </w:p>
        </w:tc>
      </w:tr>
      <w:tr>
        <w:trPr>
          <w:trHeight w:val="165"/>
        </w:trPr>
        <w:tc>
          <w:tcPr>
            <w:tcW w:w="2760" w:type="dxa"/>
            <w:vAlign w:val="bottom"/>
          </w:tcPr>
          <w:p>
            <w:pPr>
              <w:jc w:val="center"/>
              <w:ind w:right="1031"/>
              <w:spacing w:after="0"/>
              <w:rPr>
                <w:sz w:val="20"/>
                <w:szCs w:val="20"/>
                <w:color w:val="auto"/>
              </w:rPr>
            </w:pPr>
            <w:r>
              <w:rPr>
                <w:rFonts w:ascii="Times New Roman" w:cs="Times New Roman" w:eastAsia="Times New Roman" w:hAnsi="Times New Roman"/>
                <w:sz w:val="14"/>
                <w:szCs w:val="14"/>
                <w:color w:val="auto"/>
                <w:w w:val="97"/>
              </w:rPr>
              <w:t>(State or other jurisdiction of</w:t>
            </w:r>
          </w:p>
        </w:tc>
        <w:tc>
          <w:tcPr>
            <w:tcW w:w="3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7"/>
              </w:rPr>
              <w:t>(Primary Standard Industrial</w:t>
            </w:r>
          </w:p>
        </w:tc>
        <w:tc>
          <w:tcPr>
            <w:tcW w:w="2460" w:type="dxa"/>
            <w:vAlign w:val="bottom"/>
          </w:tcPr>
          <w:p>
            <w:pPr>
              <w:jc w:val="center"/>
              <w:ind w:left="1111"/>
              <w:spacing w:after="0"/>
              <w:rPr>
                <w:sz w:val="20"/>
                <w:szCs w:val="20"/>
                <w:color w:val="auto"/>
              </w:rPr>
            </w:pPr>
            <w:r>
              <w:rPr>
                <w:rFonts w:ascii="Times New Roman" w:cs="Times New Roman" w:eastAsia="Times New Roman" w:hAnsi="Times New Roman"/>
                <w:sz w:val="14"/>
                <w:szCs w:val="14"/>
                <w:color w:val="auto"/>
                <w:w w:val="96"/>
              </w:rPr>
              <w:t>(I.R.S. Employer</w:t>
            </w:r>
          </w:p>
        </w:tc>
      </w:tr>
      <w:tr>
        <w:trPr>
          <w:trHeight w:val="176"/>
        </w:trPr>
        <w:tc>
          <w:tcPr>
            <w:tcW w:w="2760" w:type="dxa"/>
            <w:vAlign w:val="bottom"/>
          </w:tcPr>
          <w:p>
            <w:pPr>
              <w:jc w:val="center"/>
              <w:ind w:right="1031"/>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3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7"/>
              </w:rPr>
              <w:t>Classification Code Number)</w:t>
            </w:r>
          </w:p>
        </w:tc>
        <w:tc>
          <w:tcPr>
            <w:tcW w:w="2460" w:type="dxa"/>
            <w:vAlign w:val="bottom"/>
          </w:tcPr>
          <w:p>
            <w:pPr>
              <w:jc w:val="center"/>
              <w:ind w:left="1111"/>
              <w:spacing w:after="0"/>
              <w:rPr>
                <w:sz w:val="20"/>
                <w:szCs w:val="20"/>
                <w:color w:val="auto"/>
              </w:rPr>
            </w:pPr>
            <w:r>
              <w:rPr>
                <w:rFonts w:ascii="Times New Roman" w:cs="Times New Roman" w:eastAsia="Times New Roman" w:hAnsi="Times New Roman"/>
                <w:sz w:val="14"/>
                <w:szCs w:val="14"/>
                <w:color w:val="auto"/>
                <w:w w:val="98"/>
              </w:rPr>
              <w:t>Identification Number)</w:t>
            </w: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9100 Fall View Drive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Fishers, Indiana 46037</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(463) 270-0092</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Daniel S. O’Toole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9100 Fall View Drive Fishers, Indiana 46037</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(463) 270-0092</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With Copies to:</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Joseph M. Lucosky, Esq.</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Lucosky Brookman LLP</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101 Wood Avenue South, 5th Floor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Woodbridge, NJ 08830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 No.: (732) 395-4400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Fax No.: (732) 395-4401</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From time to time after this registration statement is declared effective.</w:t>
      </w:r>
    </w:p>
    <w:p>
      <w:pPr>
        <w:spacing w:after="0" w:line="125" w:lineRule="exact"/>
        <w:rPr>
          <w:sz w:val="24"/>
          <w:szCs w:val="24"/>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99" w:lineRule="exact"/>
        <w:rPr>
          <w:sz w:val="24"/>
          <w:szCs w:val="24"/>
          <w:color w:val="auto"/>
        </w:rPr>
      </w:pPr>
    </w:p>
    <w:p>
      <w:pPr>
        <w:jc w:val="both"/>
        <w:ind w:firstLine="49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jc w:val="both"/>
        <w:ind w:firstLine="49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jc w:val="both"/>
        <w:ind w:firstLine="49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jc w:val="both"/>
        <w:ind w:firstLine="49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jc w:val="both"/>
        <w:ind w:firstLine="49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5"/>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3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8"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32"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110490</wp:posOffset>
            </wp:positionV>
            <wp:extent cx="716470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358775</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1" w:name="page2"/>
    <w:bookmarkEnd w:id="1"/>
    <w:p>
      <w:pPr>
        <w:jc w:val="both"/>
        <w:spacing w:after="0" w:line="259" w:lineRule="auto"/>
        <w:rPr>
          <w:sz w:val="20"/>
          <w:szCs w:val="20"/>
          <w:color w:val="auto"/>
        </w:rPr>
      </w:pPr>
      <w:r>
        <w:rPr>
          <w:rFonts w:ascii="Times New Roman" w:cs="Times New Roman" w:eastAsia="Times New Roman" w:hAnsi="Times New Roman"/>
          <w:sz w:val="14"/>
          <w:szCs w:val="14"/>
          <w:b w:val="1"/>
          <w:bCs w:val="1"/>
          <w:color w:val="FF0000"/>
        </w:rPr>
        <w:t>The information contained in this prospectus is not complete and may be changed. We may not sell these securities until the Registration Statement filed with the Securities and Exchange Commission is effective. This prospectus is not an offer to sell these securities and is not a solicitation of an offer to buy these securities in any jurisdiction where such offer or sale is not permitted.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Preliminary Prospectus Subject to completion, 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1954530</wp:posOffset>
            </wp:positionH>
            <wp:positionV relativeFrom="paragraph">
              <wp:posOffset>117475</wp:posOffset>
            </wp:positionV>
            <wp:extent cx="3265805" cy="979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5805" cy="979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$100,000,000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may offer and sell up to $100,000,000 in the aggregate of the securities identified above from time to time in one or more offerings. This prospectus provides you with a general description of the securities. Our Common Stock is listed on The Nasdaq Global Market and trades under the symbol “ARAI.”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offer and sell these securities to or through one or more underwriters, dealers, and agents, or directly to purchasers, on a continuous or delayed basis.</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aggregate market value of our outstanding Common Stock held by non-affiliates was approximately $44,901,742, based on 51,859,347 shares of outstanding Common Stock as of June 1, 2026, of which approximately 24,646,170 shares were held by affiliates, and based on the closing sale price of our Common Stock of $1.65 on April 14, 2026.</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Pursuant to General Instruction I.B.6 of Form S-3, in no event will the aggregate market value of securities sold by us pursuant to this registration statement during any 12 calendar months immediately prior to, and including, the date of each sale exceed one-third of the aggregate market value of our Common Stock held by non-affiliates. Based on the aggregate non-affiliate market value set forth above of approximately $44,901,742, the maximum aggregate offering amount that we may sell pursuant to this registration statement during any 12-month period is approximately $14,967,247, which is one-third of $44,901,742. As of the date of this prospectus, we have not sold any securities pursuant to General Instruction I.B.6 of Form S-3 during the 12 calendar months prior to, and including, the date of this prospectus. Separately, we note that during this period our existing convertible note holder has converted notes into and resold shares of our common stock pursuant to a separately effective resale registration statement on Form S-1; such resales were not made by us and do not reduce the amount available under this registration statement. Accordingly, the maximum aggregate offering amount available under this registration statement as of the date hereof is approximately $14,967,247.</w:t>
      </w:r>
    </w:p>
    <w:p>
      <w:pPr>
        <w:spacing w:after="0" w:line="14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3"/>
          <w:szCs w:val="13"/>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any applicable prospectus supplement carefully before you invest.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an “emerging growth company” as defined under U.S. federal securities laws and, as such, have elected to comply with reduced public company reporting requirements.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See the “Risk Factors” section of this prospectus on page 3, our filings with the SEC, and the applicable prospectus supplement for certain risks that you should consider before investing in our securities.</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None of the Securities and Exchange Commission, any state securities commission, or any other regulatory body has approved or disapproved of these securities nor passed upon the accuracy or adequacy of this prospectus. Any representation to the contrary is a criminal offense.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tcPr>
          <w:p>
            <w:pPr>
              <w:ind w:left="4560"/>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5020" w:type="dxa"/>
            <w:vAlign w:val="bottom"/>
          </w:tcPr>
          <w:p>
            <w:pPr>
              <w:jc w:val="right"/>
              <w:ind w:right="4471"/>
              <w:spacing w:after="0"/>
              <w:rPr>
                <w:sz w:val="20"/>
                <w:szCs w:val="20"/>
                <w:color w:val="auto"/>
              </w:rPr>
            </w:pPr>
            <w:r>
              <w:rPr>
                <w:rFonts w:ascii="Times New Roman" w:cs="Times New Roman" w:eastAsia="Times New Roman" w:hAnsi="Times New Roman"/>
                <w:sz w:val="14"/>
                <w:szCs w:val="14"/>
                <w:color w:val="auto"/>
              </w:rPr>
              <w:t>, 2026.</w:t>
            </w:r>
          </w:p>
        </w:tc>
      </w:tr>
      <w:tr>
        <w:trPr>
          <w:trHeight w:val="330"/>
        </w:trPr>
        <w:tc>
          <w:tcPr>
            <w:tcW w:w="62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5"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29"/>
        </w:trPr>
        <w:tc>
          <w:tcPr>
            <w:tcW w:w="5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1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25"/>
        </w:trPr>
        <w:tc>
          <w:tcPr>
            <w:tcW w:w="4660" w:type="dxa"/>
            <w:vAlign w:val="bottom"/>
            <w:gridSpan w:val="14"/>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0000EE"/>
              </w:rPr>
              <w:t>ABOUT THIS PROSPECTUS</w:t>
            </w:r>
          </w:p>
        </w:tc>
        <w:tc>
          <w:tcPr>
            <w:tcW w:w="6140" w:type="dxa"/>
            <w:vAlign w:val="bottom"/>
            <w:shd w:val="clear" w:color="auto" w:fill="CCEEFF"/>
          </w:tcPr>
          <w:p>
            <w:pPr>
              <w:spacing w:after="0"/>
              <w:rPr>
                <w:sz w:val="10"/>
                <w:szCs w:val="10"/>
                <w:color w:val="auto"/>
              </w:rPr>
            </w:pPr>
          </w:p>
        </w:tc>
        <w:tc>
          <w:tcPr>
            <w:tcW w:w="480" w:type="dxa"/>
            <w:vAlign w:val="bottom"/>
            <w:shd w:val="clear" w:color="auto" w:fill="CCEEFF"/>
          </w:tcPr>
          <w:p>
            <w:pPr>
              <w:jc w:val="center"/>
              <w:spacing w:after="0" w:line="125" w:lineRule="exact"/>
              <w:rPr>
                <w:sz w:val="20"/>
                <w:szCs w:val="20"/>
                <w:color w:val="auto"/>
              </w:rPr>
            </w:pPr>
            <w:r>
              <w:rPr>
                <w:rFonts w:ascii="Times New Roman" w:cs="Times New Roman" w:eastAsia="Times New Roman" w:hAnsi="Times New Roman"/>
                <w:sz w:val="14"/>
                <w:szCs w:val="14"/>
                <w:color w:val="auto"/>
              </w:rPr>
              <w:t>1</w:t>
            </w:r>
          </w:p>
        </w:tc>
      </w:tr>
      <w:tr>
        <w:trPr>
          <w:trHeight w:val="31"/>
        </w:trPr>
        <w:tc>
          <w:tcPr>
            <w:tcW w:w="58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4"/>
        </w:trPr>
        <w:tc>
          <w:tcPr>
            <w:tcW w:w="4660" w:type="dxa"/>
            <w:vAlign w:val="bottom"/>
            <w:gridSpan w:val="14"/>
          </w:tcPr>
          <w:p>
            <w:pPr>
              <w:spacing w:after="0" w:line="134" w:lineRule="exact"/>
              <w:rPr>
                <w:sz w:val="20"/>
                <w:szCs w:val="20"/>
                <w:color w:val="auto"/>
              </w:rPr>
            </w:pPr>
            <w:r>
              <w:rPr>
                <w:rFonts w:ascii="Times New Roman" w:cs="Times New Roman" w:eastAsia="Times New Roman" w:hAnsi="Times New Roman"/>
                <w:sz w:val="14"/>
                <w:szCs w:val="14"/>
                <w:color w:val="0000EE"/>
              </w:rPr>
              <w:t>AVAILABLE INFORMATION</w:t>
            </w:r>
          </w:p>
        </w:tc>
        <w:tc>
          <w:tcPr>
            <w:tcW w:w="6620" w:type="dxa"/>
            <w:vAlign w:val="bottom"/>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5"/>
        </w:trPr>
        <w:tc>
          <w:tcPr>
            <w:tcW w:w="4660" w:type="dxa"/>
            <w:vAlign w:val="bottom"/>
            <w:gridSpan w:val="1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6620" w:type="dxa"/>
            <w:vAlign w:val="bottom"/>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rPr>
              <w:t>2</w:t>
            </w:r>
          </w:p>
        </w:tc>
      </w:tr>
      <w:tr>
        <w:trPr>
          <w:trHeight w:val="31"/>
        </w:trPr>
        <w:tc>
          <w:tcPr>
            <w:tcW w:w="58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780" w:type="dxa"/>
            <w:vAlign w:val="bottom"/>
            <w:tcBorders>
              <w:righ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4"/>
        </w:trPr>
        <w:tc>
          <w:tcPr>
            <w:tcW w:w="4660" w:type="dxa"/>
            <w:vAlign w:val="bottom"/>
            <w:gridSpan w:val="14"/>
          </w:tcPr>
          <w:p>
            <w:pPr>
              <w:spacing w:after="0" w:line="134"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6620" w:type="dxa"/>
            <w:vAlign w:val="bottom"/>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rPr>
              <w:t>3</w:t>
            </w:r>
          </w:p>
        </w:tc>
      </w:tr>
      <w:tr>
        <w:trPr>
          <w:trHeight w:val="155"/>
        </w:trPr>
        <w:tc>
          <w:tcPr>
            <w:tcW w:w="960" w:type="dxa"/>
            <w:vAlign w:val="bottom"/>
            <w:tcBorders>
              <w:top w:val="single" w:sz="8" w:color="0000EE"/>
              <w:bottom w:val="single" w:sz="8" w:color="0000EE"/>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5"/>
              </w:rPr>
              <w:t>RISK FACTORS</w:t>
            </w:r>
          </w:p>
        </w:tc>
        <w:tc>
          <w:tcPr>
            <w:tcW w:w="3440" w:type="dxa"/>
            <w:vAlign w:val="bottom"/>
            <w:tcBorders>
              <w:top w:val="single" w:sz="8" w:color="0000EE"/>
              <w:bottom w:val="single" w:sz="8" w:color="CCEEFF"/>
            </w:tcBorders>
            <w:gridSpan w:val="11"/>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620" w:type="dxa"/>
            <w:vAlign w:val="bottom"/>
            <w:tcBorders>
              <w:bottom w:val="single" w:sz="8" w:color="CCEEFF"/>
            </w:tcBorders>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rPr>
              <w:t>3</w:t>
            </w:r>
          </w:p>
        </w:tc>
      </w:tr>
      <w:tr>
        <w:trPr>
          <w:trHeight w:val="134"/>
        </w:trPr>
        <w:tc>
          <w:tcPr>
            <w:tcW w:w="4660" w:type="dxa"/>
            <w:vAlign w:val="bottom"/>
            <w:gridSpan w:val="14"/>
          </w:tcPr>
          <w:p>
            <w:pPr>
              <w:spacing w:after="0" w:line="134" w:lineRule="exact"/>
              <w:rPr>
                <w:sz w:val="20"/>
                <w:szCs w:val="20"/>
                <w:color w:val="auto"/>
              </w:rPr>
            </w:pPr>
            <w:r>
              <w:rPr>
                <w:rFonts w:ascii="Times New Roman" w:cs="Times New Roman" w:eastAsia="Times New Roman" w:hAnsi="Times New Roman"/>
                <w:sz w:val="14"/>
                <w:szCs w:val="14"/>
                <w:color w:val="0000EE"/>
              </w:rPr>
              <w:t>BUSINESS</w:t>
            </w:r>
          </w:p>
        </w:tc>
        <w:tc>
          <w:tcPr>
            <w:tcW w:w="6620" w:type="dxa"/>
            <w:vAlign w:val="bottom"/>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5"/>
        </w:trPr>
        <w:tc>
          <w:tcPr>
            <w:tcW w:w="4660" w:type="dxa"/>
            <w:vAlign w:val="bottom"/>
            <w:gridSpan w:val="1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DESCRIPTION OF SECURITIES WE MAY OFFER</w:t>
            </w:r>
          </w:p>
        </w:tc>
        <w:tc>
          <w:tcPr>
            <w:tcW w:w="6620" w:type="dxa"/>
            <w:vAlign w:val="bottom"/>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w w:val="85"/>
              </w:rPr>
              <w:t>16</w:t>
            </w:r>
          </w:p>
        </w:tc>
      </w:tr>
      <w:tr>
        <w:trPr>
          <w:trHeight w:val="134"/>
        </w:trPr>
        <w:tc>
          <w:tcPr>
            <w:tcW w:w="2960" w:type="dxa"/>
            <w:vAlign w:val="bottom"/>
            <w:tcBorders>
              <w:top w:val="single" w:sz="8" w:color="0000EE"/>
            </w:tcBorders>
            <w:gridSpan w:val="11"/>
          </w:tcPr>
          <w:p>
            <w:pPr>
              <w:spacing w:after="0" w:line="134"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700" w:type="dxa"/>
            <w:vAlign w:val="bottom"/>
            <w:tcBorders>
              <w:top w:val="single" w:sz="8" w:color="CCEEFF"/>
            </w:tcBorders>
            <w:gridSpan w:val="3"/>
          </w:tcPr>
          <w:p>
            <w:pPr>
              <w:spacing w:after="0"/>
              <w:rPr>
                <w:sz w:val="11"/>
                <w:szCs w:val="11"/>
                <w:color w:val="auto"/>
              </w:rPr>
            </w:pPr>
          </w:p>
        </w:tc>
        <w:tc>
          <w:tcPr>
            <w:tcW w:w="6620" w:type="dxa"/>
            <w:vAlign w:val="bottom"/>
            <w:tcBorders>
              <w:top w:val="single" w:sz="8" w:color="CCEEFF"/>
            </w:tcBorders>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w w:val="85"/>
              </w:rPr>
              <w:t>17</w:t>
            </w:r>
          </w:p>
        </w:tc>
      </w:tr>
      <w:tr>
        <w:trPr>
          <w:trHeight w:val="155"/>
        </w:trPr>
        <w:tc>
          <w:tcPr>
            <w:tcW w:w="2100" w:type="dxa"/>
            <w:vAlign w:val="bottom"/>
            <w:tcBorders>
              <w:top w:val="single" w:sz="8" w:color="0000EE"/>
              <w:bottom w:val="single" w:sz="8" w:color="0000EE"/>
            </w:tcBorders>
            <w:gridSpan w:val="9"/>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DEBT SECURITIES</w:t>
            </w:r>
          </w:p>
        </w:tc>
        <w:tc>
          <w:tcPr>
            <w:tcW w:w="80" w:type="dxa"/>
            <w:vAlign w:val="bottom"/>
            <w:tcBorders>
              <w:top w:val="single" w:sz="8" w:color="0000EE"/>
              <w:bottom w:val="single" w:sz="8" w:color="CCEEFF"/>
            </w:tcBorders>
            <w:shd w:val="clear" w:color="auto" w:fill="CCEEFF"/>
          </w:tcPr>
          <w:p>
            <w:pPr>
              <w:spacing w:after="0"/>
              <w:rPr>
                <w:sz w:val="13"/>
                <w:szCs w:val="13"/>
                <w:color w:val="auto"/>
              </w:rPr>
            </w:pPr>
          </w:p>
        </w:tc>
        <w:tc>
          <w:tcPr>
            <w:tcW w:w="2480" w:type="dxa"/>
            <w:vAlign w:val="bottom"/>
            <w:tcBorders>
              <w:bottom w:val="single" w:sz="8" w:color="CCEEFF"/>
            </w:tcBorders>
            <w:gridSpan w:val="4"/>
            <w:shd w:val="clear" w:color="auto" w:fill="CCEEFF"/>
          </w:tcPr>
          <w:p>
            <w:pPr>
              <w:spacing w:after="0"/>
              <w:rPr>
                <w:sz w:val="13"/>
                <w:szCs w:val="13"/>
                <w:color w:val="auto"/>
              </w:rPr>
            </w:pPr>
          </w:p>
        </w:tc>
        <w:tc>
          <w:tcPr>
            <w:tcW w:w="6620" w:type="dxa"/>
            <w:vAlign w:val="bottom"/>
            <w:tcBorders>
              <w:bottom w:val="single" w:sz="8" w:color="CCEEFF"/>
            </w:tcBorders>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w w:val="85"/>
              </w:rPr>
              <w:t>19</w:t>
            </w:r>
          </w:p>
        </w:tc>
      </w:tr>
      <w:tr>
        <w:trPr>
          <w:trHeight w:val="134"/>
        </w:trPr>
        <w:tc>
          <w:tcPr>
            <w:tcW w:w="1900" w:type="dxa"/>
            <w:vAlign w:val="bottom"/>
            <w:tcBorders>
              <w:bottom w:val="single" w:sz="8" w:color="0000EE"/>
            </w:tcBorders>
            <w:gridSpan w:val="8"/>
          </w:tcPr>
          <w:p>
            <w:pPr>
              <w:spacing w:after="0" w:line="134" w:lineRule="exact"/>
              <w:rPr>
                <w:sz w:val="20"/>
                <w:szCs w:val="20"/>
                <w:color w:val="auto"/>
              </w:rPr>
            </w:pPr>
            <w:r>
              <w:rPr>
                <w:rFonts w:ascii="Times New Roman" w:cs="Times New Roman" w:eastAsia="Times New Roman" w:hAnsi="Times New Roman"/>
                <w:sz w:val="14"/>
                <w:szCs w:val="14"/>
                <w:color w:val="0000EE"/>
                <w:w w:val="96"/>
              </w:rPr>
              <w:t>DESCRIPTION OF WARRANTS</w:t>
            </w:r>
          </w:p>
        </w:tc>
        <w:tc>
          <w:tcPr>
            <w:tcW w:w="2760" w:type="dxa"/>
            <w:vAlign w:val="bottom"/>
            <w:gridSpan w:val="6"/>
          </w:tcPr>
          <w:p>
            <w:pPr>
              <w:spacing w:after="0"/>
              <w:rPr>
                <w:sz w:val="11"/>
                <w:szCs w:val="11"/>
                <w:color w:val="auto"/>
              </w:rPr>
            </w:pPr>
          </w:p>
        </w:tc>
        <w:tc>
          <w:tcPr>
            <w:tcW w:w="6620" w:type="dxa"/>
            <w:vAlign w:val="bottom"/>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w w:val="85"/>
              </w:rPr>
              <w:t>25</w:t>
            </w:r>
          </w:p>
        </w:tc>
      </w:tr>
      <w:tr>
        <w:trPr>
          <w:trHeight w:val="155"/>
        </w:trPr>
        <w:tc>
          <w:tcPr>
            <w:tcW w:w="1720" w:type="dxa"/>
            <w:vAlign w:val="bottom"/>
            <w:tcBorders>
              <w:bottom w:val="single" w:sz="8" w:color="0000EE"/>
              <w:right w:val="single" w:sz="8" w:color="CCEEFF"/>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DESCRIPTION OF RIGHTS</w:t>
            </w:r>
          </w:p>
        </w:tc>
        <w:tc>
          <w:tcPr>
            <w:tcW w:w="2940" w:type="dxa"/>
            <w:vAlign w:val="bottom"/>
            <w:tcBorders>
              <w:bottom w:val="single" w:sz="8" w:color="CCEEFF"/>
            </w:tcBorders>
            <w:gridSpan w:val="7"/>
            <w:shd w:val="clear" w:color="auto" w:fill="CCEEFF"/>
          </w:tcPr>
          <w:p>
            <w:pPr>
              <w:spacing w:after="0"/>
              <w:rPr>
                <w:sz w:val="13"/>
                <w:szCs w:val="13"/>
                <w:color w:val="auto"/>
              </w:rPr>
            </w:pPr>
          </w:p>
        </w:tc>
        <w:tc>
          <w:tcPr>
            <w:tcW w:w="6620" w:type="dxa"/>
            <w:vAlign w:val="bottom"/>
            <w:tcBorders>
              <w:bottom w:val="single" w:sz="8" w:color="CCEEFF"/>
            </w:tcBorders>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w w:val="85"/>
              </w:rPr>
              <w:t>26</w:t>
            </w:r>
          </w:p>
        </w:tc>
      </w:tr>
      <w:tr>
        <w:trPr>
          <w:trHeight w:val="134"/>
        </w:trPr>
        <w:tc>
          <w:tcPr>
            <w:tcW w:w="4660" w:type="dxa"/>
            <w:vAlign w:val="bottom"/>
            <w:gridSpan w:val="14"/>
          </w:tcPr>
          <w:p>
            <w:pPr>
              <w:spacing w:after="0" w:line="134" w:lineRule="exact"/>
              <w:rPr>
                <w:sz w:val="20"/>
                <w:szCs w:val="20"/>
                <w:color w:val="auto"/>
              </w:rPr>
            </w:pPr>
            <w:r>
              <w:rPr>
                <w:rFonts w:ascii="Times New Roman" w:cs="Times New Roman" w:eastAsia="Times New Roman" w:hAnsi="Times New Roman"/>
                <w:sz w:val="14"/>
                <w:szCs w:val="14"/>
                <w:color w:val="0000EE"/>
              </w:rPr>
              <w:t>DESCRIPTION OF UNITS</w:t>
            </w:r>
          </w:p>
        </w:tc>
        <w:tc>
          <w:tcPr>
            <w:tcW w:w="6620" w:type="dxa"/>
            <w:vAlign w:val="bottom"/>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w w:val="85"/>
              </w:rPr>
              <w:t>27</w:t>
            </w:r>
          </w:p>
        </w:tc>
      </w:tr>
      <w:tr>
        <w:trPr>
          <w:trHeight w:val="145"/>
        </w:trPr>
        <w:tc>
          <w:tcPr>
            <w:tcW w:w="1540" w:type="dxa"/>
            <w:vAlign w:val="bottom"/>
            <w:tcBorders>
              <w:top w:val="single" w:sz="8" w:color="0000EE"/>
            </w:tcBorders>
            <w:gridSpan w:val="5"/>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3120" w:type="dxa"/>
            <w:vAlign w:val="bottom"/>
            <w:gridSpan w:val="9"/>
            <w:shd w:val="clear" w:color="auto" w:fill="CCEEFF"/>
          </w:tcPr>
          <w:p>
            <w:pPr>
              <w:spacing w:after="0"/>
              <w:rPr>
                <w:sz w:val="12"/>
                <w:szCs w:val="12"/>
                <w:color w:val="auto"/>
              </w:rPr>
            </w:pPr>
          </w:p>
        </w:tc>
        <w:tc>
          <w:tcPr>
            <w:tcW w:w="6620" w:type="dxa"/>
            <w:vAlign w:val="bottom"/>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w w:val="85"/>
              </w:rPr>
              <w:t>28</w:t>
            </w:r>
          </w:p>
        </w:tc>
      </w:tr>
      <w:tr>
        <w:trPr>
          <w:trHeight w:val="31"/>
        </w:trPr>
        <w:tc>
          <w:tcPr>
            <w:tcW w:w="58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4"/>
        </w:trPr>
        <w:tc>
          <w:tcPr>
            <w:tcW w:w="4660" w:type="dxa"/>
            <w:vAlign w:val="bottom"/>
            <w:gridSpan w:val="14"/>
          </w:tcPr>
          <w:p>
            <w:pPr>
              <w:spacing w:after="0" w:line="134" w:lineRule="exact"/>
              <w:rPr>
                <w:sz w:val="20"/>
                <w:szCs w:val="20"/>
                <w:color w:val="auto"/>
              </w:rPr>
            </w:pPr>
            <w:r>
              <w:rPr>
                <w:rFonts w:ascii="Times New Roman" w:cs="Times New Roman" w:eastAsia="Times New Roman" w:hAnsi="Times New Roman"/>
                <w:sz w:val="14"/>
                <w:szCs w:val="14"/>
                <w:color w:val="0000EE"/>
              </w:rPr>
              <w:t>PLAN OF DISTRIBUTION</w:t>
            </w:r>
          </w:p>
        </w:tc>
        <w:tc>
          <w:tcPr>
            <w:tcW w:w="6620" w:type="dxa"/>
            <w:vAlign w:val="bottom"/>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w w:val="85"/>
              </w:rPr>
              <w:t>28</w:t>
            </w:r>
          </w:p>
        </w:tc>
      </w:tr>
      <w:tr>
        <w:trPr>
          <w:trHeight w:val="155"/>
        </w:trPr>
        <w:tc>
          <w:tcPr>
            <w:tcW w:w="1120" w:type="dxa"/>
            <w:vAlign w:val="bottom"/>
            <w:tcBorders>
              <w:top w:val="single" w:sz="8" w:color="0000EE"/>
              <w:bottom w:val="single" w:sz="8" w:color="0000EE"/>
            </w:tcBorders>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5"/>
              </w:rPr>
              <w:t>LEGAL MATTERS</w:t>
            </w:r>
          </w:p>
        </w:tc>
        <w:tc>
          <w:tcPr>
            <w:tcW w:w="44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3100" w:type="dxa"/>
            <w:vAlign w:val="bottom"/>
            <w:tcBorders>
              <w:bottom w:val="single" w:sz="8" w:color="CCEEFF"/>
            </w:tcBorders>
            <w:gridSpan w:val="8"/>
            <w:shd w:val="clear" w:color="auto" w:fill="CCEEFF"/>
          </w:tcPr>
          <w:p>
            <w:pPr>
              <w:spacing w:after="0"/>
              <w:rPr>
                <w:sz w:val="13"/>
                <w:szCs w:val="13"/>
                <w:color w:val="auto"/>
              </w:rPr>
            </w:pPr>
          </w:p>
        </w:tc>
        <w:tc>
          <w:tcPr>
            <w:tcW w:w="6620" w:type="dxa"/>
            <w:vAlign w:val="bottom"/>
            <w:tcBorders>
              <w:bottom w:val="single" w:sz="8" w:color="CCEEFF"/>
            </w:tcBorders>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w w:val="85"/>
              </w:rPr>
              <w:t>30</w:t>
            </w:r>
          </w:p>
        </w:tc>
      </w:tr>
      <w:tr>
        <w:trPr>
          <w:trHeight w:val="134"/>
        </w:trPr>
        <w:tc>
          <w:tcPr>
            <w:tcW w:w="4660" w:type="dxa"/>
            <w:vAlign w:val="bottom"/>
            <w:gridSpan w:val="14"/>
          </w:tcPr>
          <w:p>
            <w:pPr>
              <w:spacing w:after="0" w:line="134" w:lineRule="exact"/>
              <w:rPr>
                <w:sz w:val="20"/>
                <w:szCs w:val="20"/>
                <w:color w:val="auto"/>
              </w:rPr>
            </w:pPr>
            <w:r>
              <w:rPr>
                <w:rFonts w:ascii="Times New Roman" w:cs="Times New Roman" w:eastAsia="Times New Roman" w:hAnsi="Times New Roman"/>
                <w:sz w:val="14"/>
                <w:szCs w:val="14"/>
                <w:color w:val="0000EE"/>
              </w:rPr>
              <w:t>EXPERTS</w:t>
            </w:r>
          </w:p>
        </w:tc>
        <w:tc>
          <w:tcPr>
            <w:tcW w:w="6620" w:type="dxa"/>
            <w:vAlign w:val="bottom"/>
            <w:gridSpan w:val="2"/>
          </w:tcPr>
          <w:p>
            <w:pPr>
              <w:jc w:val="center"/>
              <w:ind w:left="6071"/>
              <w:spacing w:after="0" w:line="134" w:lineRule="exact"/>
              <w:rPr>
                <w:sz w:val="20"/>
                <w:szCs w:val="20"/>
                <w:color w:val="auto"/>
              </w:rPr>
            </w:pPr>
            <w:r>
              <w:rPr>
                <w:rFonts w:ascii="Times New Roman" w:cs="Times New Roman" w:eastAsia="Times New Roman" w:hAnsi="Times New Roman"/>
                <w:sz w:val="14"/>
                <w:szCs w:val="14"/>
                <w:color w:val="auto"/>
                <w:w w:val="85"/>
              </w:rPr>
              <w:t>30</w:t>
            </w: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5"/>
        </w:trPr>
        <w:tc>
          <w:tcPr>
            <w:tcW w:w="4660" w:type="dxa"/>
            <w:vAlign w:val="bottom"/>
            <w:gridSpan w:val="1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6620" w:type="dxa"/>
            <w:vAlign w:val="bottom"/>
            <w:gridSpan w:val="2"/>
            <w:shd w:val="clear" w:color="auto" w:fill="CCEEFF"/>
          </w:tcPr>
          <w:p>
            <w:pPr>
              <w:jc w:val="center"/>
              <w:ind w:left="6071"/>
              <w:spacing w:after="0" w:line="145" w:lineRule="exact"/>
              <w:rPr>
                <w:sz w:val="20"/>
                <w:szCs w:val="20"/>
                <w:color w:val="auto"/>
              </w:rPr>
            </w:pPr>
            <w:r>
              <w:rPr>
                <w:rFonts w:ascii="Times New Roman" w:cs="Times New Roman" w:eastAsia="Times New Roman" w:hAnsi="Times New Roman"/>
                <w:sz w:val="14"/>
                <w:szCs w:val="14"/>
                <w:color w:val="auto"/>
                <w:w w:val="85"/>
              </w:rPr>
              <w:t>31</w:t>
            </w:r>
          </w:p>
        </w:tc>
      </w:tr>
      <w:tr>
        <w:trPr>
          <w:trHeight w:val="31"/>
        </w:trPr>
        <w:tc>
          <w:tcPr>
            <w:tcW w:w="58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780" w:type="dxa"/>
            <w:vAlign w:val="bottom"/>
            <w:tcBorders>
              <w:right w:val="single" w:sz="8" w:color="CCEEFF"/>
            </w:tcBorders>
            <w:shd w:val="clear" w:color="auto" w:fill="0000EE"/>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document is called a prospectus and is part of a Registration Statement on Form S-3 that we have filed with the Securities and Exchange Commission (the “SEC”) using a “shelf” registration process. Under this shelf registration process, we may, from time to time, sell any combination of the securities described in this prospectus in one or more offerings in amounts that we will determine from time to time, up to a total dollar amount of $100,000,000.</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offer a type or series of securities described in this prospectus we will provide a prospectus supplement, incorporate information or document by reference into this prospectus or a related free writing prospectus or use other offering materials, as applicable, containing more specific information about the terms of the securities that are then being offered. We may also authorize one or more related free writing prospectuses to be provided to you that may contain material information relating to these offerings and securities. This prospectus, together with applicable prospectus supplements, any information or document incorporated by reference, and any related free writing prospectus or other offering materials, as applicable, we file with the SEC, includes all material information relating to these offerings and securities. We may also add, update, or change in the prospectus supplement any of the information contained in this prospectus or in the documents that we incorporate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or document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or other offering materials, as applicable, together with the information incorporated herein by reference as described under the heading “Incorporation of Certain Information by Reference,” before buying any of the securities being offered.</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You should rely only on the information we have provided in, or incorporated by reference into, this prospectus, any applicable prospectus supplement, and any related free writing prospectus or other offering materials, as applicable. We have not authorized anyone to provide you with different information. No dealer, salesperson, or other person is authorized to give any information or to represent anything not contained in this prospectus, any applicable prospectus supplement, any related free writing prospectus, or other offering materials, as applicable.</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Neither the delivery of this prospectus nor any sale made under it implies that there has not been any change in our business or affairs or that the information in this prospectus is correct as of any date after the date of this prospectus. You should assume that the information in this prospectus, any applicable prospectus supplement, any related free writing prospectus, or other offering materials, as applicable,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any related free writing prospectus, or other offering materials, as applicable, or any sale of a security.</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SEC that contain information about us and our business. Also, we will file legal documents that control the terms of the securities offered by this prospectus as exhibits to the reports that we file with the SEC. The Registration Statement and other reports can be read at the SEC Internet site or at the SEC offices mentioned under the heading “Available Information.”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“Available Information.”</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When we refer to “ARAI,” “we,” “our,” “us” and the “Company” in this prospectus, we mean Arrive AI Inc., unless otherwise specified. When we refer to “you,” we mean the holders of the applicable series of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with respect to the securities covered by this prospectus. This prospectus, which is a part of that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A copy of the Registration Statement and the exhibits filed with the Registration Statement may be inspected without charge at the Public Reference Room maintained by the SEC, located at 100 F Street, N.E., Washington, D.C. 20549. Please call the SEC at 1-800-SEC-0330 for more information about the operation of the Public Reference Room. The SEC also maintains an Internet website that contains reports, proxy and information statements, and other information regarding registrants that file electronically with the SEC. The address of the website is http://www.sec.gov.</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We are subject to the information and periodic reporting requirements of the Securities Exchange Act of 1934, as amended (the “Exchange Act”), and, in accordance therewith, we file periodic reports, proxy statements, and other information with the SEC. Such periodic reports, proxy statements, and other information are available for inspection and copying at the Public Reference Room and website of the SEC referred to above. We maintain a website at </w:t>
      </w:r>
      <w:r>
        <w:rPr>
          <w:rFonts w:ascii="Times New Roman" w:cs="Times New Roman" w:eastAsia="Times New Roman" w:hAnsi="Times New Roman"/>
          <w:sz w:val="14"/>
          <w:szCs w:val="14"/>
          <w:u w:val="single" w:color="auto"/>
          <w:color w:val="auto"/>
        </w:rPr>
        <w:t>ArriveAI.com</w:t>
      </w:r>
      <w:r>
        <w:rPr>
          <w:rFonts w:ascii="Times New Roman" w:cs="Times New Roman" w:eastAsia="Times New Roman" w:hAnsi="Times New Roman"/>
          <w:sz w:val="14"/>
          <w:szCs w:val="14"/>
          <w:color w:val="auto"/>
        </w:rPr>
        <w:t>. You may access our Annual Reports on Form 10-K, Quarterly Reports on Form 10-Q, Current Reports on Form 8-K, and amendments to those reports filed pursuant to Sections 13(a) or 15(d) of the Exchange Act with the SEC free of charge at our website as soon as reasonably practicable after such material is electronically filed with, or furnished to, the SEC. Our website and the information contained on that site, or connected to that site, are not incorporated into and are not a part of this prospectus.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incorporate by reference into this prospectus the following documents or information filed with the SEC (other than, in each case, documents or information deemed to have been furnished and not filed in accordance with SEC rules):</w:t>
      </w:r>
    </w:p>
    <w:p>
      <w:pPr>
        <w:spacing w:after="0" w:line="136" w:lineRule="exact"/>
        <w:rPr>
          <w:sz w:val="20"/>
          <w:szCs w:val="20"/>
          <w:color w:val="auto"/>
        </w:rPr>
      </w:pPr>
    </w:p>
    <w:p>
      <w:pPr>
        <w:ind w:left="240" w:hanging="238"/>
        <w:spacing w:after="0"/>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April 15, 2026;</w:t>
      </w:r>
    </w:p>
    <w:p>
      <w:pPr>
        <w:spacing w:after="0" w:line="168" w:lineRule="exact"/>
        <w:rPr>
          <w:rFonts w:ascii="Times New Roman" w:cs="Times New Roman" w:eastAsia="Times New Roman" w:hAnsi="Times New Roman"/>
          <w:sz w:val="14"/>
          <w:szCs w:val="14"/>
          <w:color w:val="auto"/>
        </w:rPr>
      </w:pPr>
    </w:p>
    <w:p>
      <w:pPr>
        <w:jc w:val="both"/>
        <w:ind w:left="240" w:hanging="238"/>
        <w:spacing w:after="0" w:line="256" w:lineRule="auto"/>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three months ended June 30, 2025, filed with the SEC on </w:t>
      </w:r>
      <w:hyperlink r:id="rId17">
        <w:r>
          <w:rPr>
            <w:rFonts w:ascii="Times New Roman" w:cs="Times New Roman" w:eastAsia="Times New Roman" w:hAnsi="Times New Roman"/>
            <w:sz w:val="14"/>
            <w:szCs w:val="14"/>
            <w:u w:val="single" w:color="auto"/>
            <w:color w:val="0000EE"/>
          </w:rPr>
          <w:t>August 14, 2025</w:t>
        </w:r>
      </w:hyperlink>
      <w:r>
        <w:rPr>
          <w:rFonts w:ascii="Times New Roman" w:cs="Times New Roman" w:eastAsia="Times New Roman" w:hAnsi="Times New Roman"/>
          <w:sz w:val="14"/>
          <w:szCs w:val="14"/>
          <w:color w:val="auto"/>
        </w:rPr>
        <w:t xml:space="preserve">, as amended on </w:t>
      </w:r>
      <w:hyperlink r:id="rId18">
        <w:r>
          <w:rPr>
            <w:rFonts w:ascii="Times New Roman" w:cs="Times New Roman" w:eastAsia="Times New Roman" w:hAnsi="Times New Roman"/>
            <w:sz w:val="14"/>
            <w:szCs w:val="14"/>
            <w:u w:val="single" w:color="auto"/>
            <w:color w:val="0000EE"/>
          </w:rPr>
          <w:t>April 15, 2026</w:t>
        </w:r>
      </w:hyperlink>
      <w:r>
        <w:rPr>
          <w:rFonts w:ascii="Times New Roman" w:cs="Times New Roman" w:eastAsia="Times New Roman" w:hAnsi="Times New Roman"/>
          <w:sz w:val="14"/>
          <w:szCs w:val="14"/>
          <w:color w:val="auto"/>
        </w:rPr>
        <w:t xml:space="preserve">, our Quarterly Report on Form 10-Q for the three months ended September 30, 2025, filed with the SEC on </w:t>
      </w:r>
      <w:hyperlink r:id="rId19">
        <w:r>
          <w:rPr>
            <w:rFonts w:ascii="Times New Roman" w:cs="Times New Roman" w:eastAsia="Times New Roman" w:hAnsi="Times New Roman"/>
            <w:sz w:val="14"/>
            <w:szCs w:val="14"/>
            <w:u w:val="single" w:color="auto"/>
            <w:color w:val="0000EE"/>
          </w:rPr>
          <w:t>November 14, 2025</w:t>
        </w:r>
      </w:hyperlink>
      <w:r>
        <w:rPr>
          <w:rFonts w:ascii="Times New Roman" w:cs="Times New Roman" w:eastAsia="Times New Roman" w:hAnsi="Times New Roman"/>
          <w:sz w:val="14"/>
          <w:szCs w:val="14"/>
          <w:color w:val="auto"/>
        </w:rPr>
        <w:t xml:space="preserve">, as amended, on </w:t>
      </w:r>
      <w:hyperlink r:id="rId20">
        <w:r>
          <w:rPr>
            <w:rFonts w:ascii="Times New Roman" w:cs="Times New Roman" w:eastAsia="Times New Roman" w:hAnsi="Times New Roman"/>
            <w:sz w:val="14"/>
            <w:szCs w:val="14"/>
            <w:u w:val="single" w:color="auto"/>
            <w:color w:val="0000EE"/>
          </w:rPr>
          <w:t>April 15, 2026</w:t>
        </w:r>
      </w:hyperlink>
      <w:r>
        <w:rPr>
          <w:rFonts w:ascii="Times New Roman" w:cs="Times New Roman" w:eastAsia="Times New Roman" w:hAnsi="Times New Roman"/>
          <w:sz w:val="14"/>
          <w:szCs w:val="14"/>
          <w:color w:val="auto"/>
        </w:rPr>
        <w:t xml:space="preserve">, and our Quarterly Report on Form 10-Q for the three months ended March 31, 2026, filed with the SEC on </w:t>
      </w:r>
      <w:hyperlink r:id="rId21">
        <w:r>
          <w:rPr>
            <w:rFonts w:ascii="Times New Roman" w:cs="Times New Roman" w:eastAsia="Times New Roman" w:hAnsi="Times New Roman"/>
            <w:sz w:val="14"/>
            <w:szCs w:val="14"/>
            <w:u w:val="single" w:color="auto"/>
            <w:color w:val="0000EE"/>
          </w:rPr>
          <w:t>May 15, 2026</w:t>
        </w:r>
      </w:hyperlink>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22">
        <w:r>
          <w:rPr>
            <w:rFonts w:ascii="Times New Roman" w:cs="Times New Roman" w:eastAsia="Times New Roman" w:hAnsi="Times New Roman"/>
            <w:sz w:val="14"/>
            <w:szCs w:val="14"/>
            <w:u w:val="single" w:color="auto"/>
            <w:color w:val="0000EE"/>
          </w:rPr>
          <w:t>January 30, 2026</w:t>
        </w:r>
      </w:hyperlink>
      <w:r>
        <w:rPr>
          <w:rFonts w:ascii="Times New Roman" w:cs="Times New Roman" w:eastAsia="Times New Roman" w:hAnsi="Times New Roman"/>
          <w:sz w:val="14"/>
          <w:szCs w:val="14"/>
          <w:color w:val="auto"/>
        </w:rPr>
        <w:t xml:space="preserve">, </w:t>
      </w:r>
      <w:hyperlink r:id="rId23">
        <w:r>
          <w:rPr>
            <w:rFonts w:ascii="Times New Roman" w:cs="Times New Roman" w:eastAsia="Times New Roman" w:hAnsi="Times New Roman"/>
            <w:sz w:val="14"/>
            <w:szCs w:val="14"/>
            <w:u w:val="single" w:color="auto"/>
            <w:color w:val="0000EE"/>
          </w:rPr>
          <w:t>April 3, 2026</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April 14, 2026</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EE"/>
          </w:rPr>
          <w:t>April 28, 2026</w:t>
        </w:r>
      </w:hyperlink>
      <w:r>
        <w:rPr>
          <w:rFonts w:ascii="Times New Roman" w:cs="Times New Roman" w:eastAsia="Times New Roman" w:hAnsi="Times New Roman"/>
          <w:sz w:val="14"/>
          <w:szCs w:val="14"/>
          <w:color w:val="auto"/>
        </w:rPr>
        <w:t xml:space="preserve">, and </w:t>
      </w:r>
      <w:hyperlink r:id="rId26">
        <w:r>
          <w:rPr>
            <w:rFonts w:ascii="Times New Roman" w:cs="Times New Roman" w:eastAsia="Times New Roman" w:hAnsi="Times New Roman"/>
            <w:sz w:val="14"/>
            <w:szCs w:val="14"/>
            <w:u w:val="single" w:color="auto"/>
            <w:color w:val="0000EE"/>
          </w:rPr>
          <w:t>May 18, 2026</w:t>
        </w:r>
      </w:hyperlink>
      <w:r>
        <w:rPr>
          <w:rFonts w:ascii="Times New Roman" w:cs="Times New Roman" w:eastAsia="Times New Roman" w:hAnsi="Times New Roman"/>
          <w:sz w:val="14"/>
          <w:szCs w:val="14"/>
          <w:color w:val="auto"/>
        </w:rPr>
        <w:t>; and</w:t>
      </w:r>
    </w:p>
    <w:p>
      <w:pPr>
        <w:spacing w:after="0" w:line="168"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Form 8-A12B filed with the SEC on </w:t>
      </w:r>
      <w:hyperlink r:id="rId27">
        <w:r>
          <w:rPr>
            <w:rFonts w:ascii="Times New Roman" w:cs="Times New Roman" w:eastAsia="Times New Roman" w:hAnsi="Times New Roman"/>
            <w:sz w:val="14"/>
            <w:szCs w:val="14"/>
            <w:u w:val="single" w:color="auto"/>
            <w:color w:val="0000EE"/>
          </w:rPr>
          <w:t>May 12, 2025</w:t>
        </w:r>
      </w:hyperlink>
      <w:r>
        <w:rPr>
          <w:rFonts w:ascii="Times New Roman" w:cs="Times New Roman" w:eastAsia="Times New Roman" w:hAnsi="Times New Roman"/>
          <w:sz w:val="14"/>
          <w:szCs w:val="14"/>
          <w:color w:val="auto"/>
        </w:rPr>
        <w:t xml:space="preserve">, as amended on </w:t>
      </w:r>
      <w:hyperlink r:id="rId28">
        <w:r>
          <w:rPr>
            <w:rFonts w:ascii="Times New Roman" w:cs="Times New Roman" w:eastAsia="Times New Roman" w:hAnsi="Times New Roman"/>
            <w:sz w:val="14"/>
            <w:szCs w:val="14"/>
            <w:u w:val="single" w:color="auto"/>
            <w:color w:val="0000EE"/>
          </w:rPr>
          <w:t>May 13, 2025</w:t>
        </w:r>
      </w:hyperlink>
      <w:r>
        <w:rPr>
          <w:rFonts w:ascii="Times New Roman" w:cs="Times New Roman" w:eastAsia="Times New Roman" w:hAnsi="Times New Roman"/>
          <w:sz w:val="14"/>
          <w:szCs w:val="14"/>
          <w:color w:val="auto"/>
        </w:rPr>
        <w:t>.</w:t>
      </w:r>
    </w:p>
    <w:p>
      <w:pPr>
        <w:spacing w:after="0" w:line="168" w:lineRule="exact"/>
        <w:rPr>
          <w:rFonts w:ascii="Times New Roman" w:cs="Times New Roman" w:eastAsia="Times New Roman" w:hAnsi="Times New Roman"/>
          <w:sz w:val="14"/>
          <w:szCs w:val="14"/>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Additionally, all documents filed by us with the SEC under Sections 13(a), 13(c), 14, or 15(d) of the Exchange Act, after (i) the date of the initial Registration Statement and prior to effectiveness of the Registration Statement and (ii) the date of this prospectus and before the termination or completion of this offering, shall be deemed to be incorporated by reference into this prospectus from the respective dates of filing of such documents, except that we do not incorporate any document or portion of a document that is “furnished” to the SEC, but not deemed “filed.” Any information that we subsequently file with the SEC that is incorporated by reference as described above will automatically update and supersede any previous information that is part of this prospectus.</w:t>
      </w:r>
    </w:p>
    <w:p>
      <w:pPr>
        <w:spacing w:after="0" w:line="14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this prospectus is delivered, upon his or her written or oral request, a copy of any or all documents referred to above that have been or may be incorporated by reference into this prospectus, excluding exhibits to those documents unless they are specifically incorporated by reference into those documents. Written or telephone requests should be directed to Arrive AI Inc., 9100 Fall View Drive Fishers, Indiana 46037, (463) 270-0092.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This prospectus, including the documents we incorporate by reference into it, contains forward-looking statements within the meaning of Section 27A of the Securities Act, and Section 21E of the Exchange Act, the Private Securities Litigation Reform Act of 1995 (the “PSLRA”) or in releases made by the SEC. Such statements include, without limitation, statements regarding our expectations, hopes, or intentions regarding the future. Statements that are not historical fact are forward-looking statements. These forward looking statements can often be identified by their use of words such as “expect,” “believe,” “anticipate,” “outlook,” “could,” “target,” “project,” “intend,” “plan,” “seek,” “estimate,” “should,” “will,” “may,” and “assume,” as well as variations of such words and similar expressions referring to the future. These cautionary statements are being made pursuant to the Securities Act, the Exchange Act, and the PSLRA with the intention of obtaining the benefits of the “safe harbor” provisions of such laws.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certain risks and uncertainties, many of which are beyond our control. If any of those risks and uncertainties materialize, actual results could differ materially from those discussed in any such forward-looking statement. Among the factors that could cause actual results to differ materially from those discussed in forward-looking statements are those discussed under the heading “Risk Factors” below, those discussed under the heading “Risk Factors” and in other sections of our Annual Report on Form 10-K for the year ended December 31, 2025, as well as in our other reports filed from time to time with the SEC that are incorporated by reference into this prospectus. See “Available Information” and “Incorporation of Certain Information by Reference” for information about how to obtain copies of those documents.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All readers are cautioned that the forward-looking statements contained in this prospectus and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All forward-looking statements in this prospectus and the documents incorporated by reference into it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Except as required by law, we undertake no obligation to update any forward-looking statements, whether as a result of new information, future events, or otherwise.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Arrive AI pioneered the smart mailbox for drone deliveries, evolving into a leader in the Autonomous Last Mile (“ALM”). Today, we are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have three primary revenue streams:</w:t>
      </w:r>
    </w:p>
    <w:p>
      <w:pPr>
        <w:spacing w:after="0" w:line="168" w:lineRule="exact"/>
        <w:rPr>
          <w:sz w:val="20"/>
          <w:szCs w:val="20"/>
          <w:color w:val="auto"/>
        </w:rPr>
      </w:pPr>
    </w:p>
    <w:p>
      <w:pPr>
        <w:jc w:val="both"/>
        <w:ind w:firstLine="2"/>
        <w:spacing w:after="0" w:line="256" w:lineRule="auto"/>
        <w:tabs>
          <w:tab w:leader="none" w:pos="1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currently generating revenue through subscription services for Arrive Points, along with installation, support, and infrastructure agreements with customers. We intend to provide our ALM access points to both businesses and consumers through monthly and annual subscription fees. This turnkey service includes hardware, software, support, maintenance, installation/uninstallation, and financing for long-term deployed assets. Our third-generation Arrive Points (“AP3” units), began revenue operation in 2025</w:t>
      </w:r>
    </w:p>
    <w:p>
      <w:pPr>
        <w:spacing w:after="0" w:line="143" w:lineRule="exact"/>
        <w:rPr>
          <w:rFonts w:ascii="Times New Roman" w:cs="Times New Roman" w:eastAsia="Times New Roman" w:hAnsi="Times New Roman"/>
          <w:sz w:val="14"/>
          <w:szCs w:val="14"/>
          <w:color w:val="auto"/>
        </w:rPr>
      </w:pPr>
    </w:p>
    <w:p>
      <w:pPr>
        <w:ind w:firstLine="2"/>
        <w:spacing w:after="0" w:line="307" w:lineRule="auto"/>
        <w:tabs>
          <w:tab w:leader="none" w:pos="15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spacing w:after="0" w:line="111" w:lineRule="exact"/>
        <w:rPr>
          <w:rFonts w:ascii="Times New Roman" w:cs="Times New Roman" w:eastAsia="Times New Roman" w:hAnsi="Times New Roman"/>
          <w:sz w:val="13"/>
          <w:szCs w:val="13"/>
          <w:color w:val="auto"/>
        </w:rPr>
      </w:pPr>
    </w:p>
    <w:p>
      <w:pPr>
        <w:ind w:left="500" w:hanging="4"/>
        <w:spacing w:after="0" w:line="267" w:lineRule="auto"/>
        <w:tabs>
          <w:tab w:leader="none" w:pos="63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Machine learning: Primarily expected to be deployed in our fourth and fifth-generation Arrive Points (“AP4” and “AP5” units) for local IoT (Internet of Things) data processing, edge computing (inferencing) for environment and transactional models, and interactions models for drones and robots.</w:t>
      </w:r>
    </w:p>
    <w:p>
      <w:pPr>
        <w:spacing w:after="0" w:line="135" w:lineRule="exact"/>
        <w:rPr>
          <w:rFonts w:ascii="Times New Roman" w:cs="Times New Roman" w:eastAsia="Times New Roman" w:hAnsi="Times New Roman"/>
          <w:sz w:val="14"/>
          <w:szCs w:val="14"/>
          <w:color w:val="auto"/>
        </w:rPr>
      </w:pPr>
    </w:p>
    <w:p>
      <w:pPr>
        <w:ind w:left="500" w:hanging="4"/>
        <w:spacing w:after="0" w:line="267" w:lineRule="auto"/>
        <w:tabs>
          <w:tab w:leader="none" w:pos="65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Artificial intelligence: Used more broadly to analyze and derive insights from our network’s transactional and environmental data through complex AI models, but we will also leverage foundational AI models like ChatGPT or LLaMa for device-based human interactions.</w:t>
      </w:r>
    </w:p>
    <w:p>
      <w:pPr>
        <w:spacing w:after="0" w:line="135" w:lineRule="exact"/>
        <w:rPr>
          <w:rFonts w:ascii="Times New Roman" w:cs="Times New Roman" w:eastAsia="Times New Roman" w:hAnsi="Times New Roman"/>
          <w:sz w:val="14"/>
          <w:szCs w:val="14"/>
          <w:color w:val="auto"/>
        </w:rPr>
      </w:pPr>
    </w:p>
    <w:p>
      <w:pPr>
        <w:jc w:val="both"/>
        <w:ind w:firstLine="2"/>
        <w:spacing w:after="0" w:line="251" w:lineRule="auto"/>
        <w:tabs>
          <w:tab w:leader="none" w:pos="13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Arrive Point Exchange. Our network of Arrive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differentiate ourselves through a comprehensive, integrated solution:</w:t>
      </w:r>
    </w:p>
    <w:p>
      <w:pPr>
        <w:spacing w:after="0" w:line="168" w:lineRule="exact"/>
        <w:rPr>
          <w:sz w:val="20"/>
          <w:szCs w:val="20"/>
          <w:color w:val="auto"/>
        </w:rPr>
      </w:pPr>
    </w:p>
    <w:p>
      <w:pPr>
        <w:ind w:firstLine="2"/>
        <w:spacing w:after="0" w:line="267" w:lineRule="auto"/>
        <w:tabs>
          <w:tab w:leader="none" w:pos="14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Compatibility: Our multi-generational Arrive Points (AP3, AP4, AP5) are being developed for universal support of all drone and robotic delivery systems, overcoming a major hurdle for widespread ALM adoption.</w:t>
      </w:r>
    </w:p>
    <w:p>
      <w:pPr>
        <w:spacing w:after="0" w:line="135" w:lineRule="exact"/>
        <w:rPr>
          <w:rFonts w:ascii="Times New Roman" w:cs="Times New Roman" w:eastAsia="Times New Roman" w:hAnsi="Times New Roman"/>
          <w:sz w:val="14"/>
          <w:szCs w:val="14"/>
          <w:color w:val="auto"/>
        </w:rPr>
      </w:pPr>
    </w:p>
    <w:p>
      <w:pPr>
        <w:ind w:left="120" w:hanging="118"/>
        <w:spacing w:after="0"/>
        <w:tabs>
          <w:tab w:leader="none" w:pos="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End-to-End Solution: We will combine advanced hardware with a powerful software platform and AI/ML capabilities, offering a complete ecosystem for automated exchange.</w:t>
      </w:r>
    </w:p>
    <w:p>
      <w:pPr>
        <w:spacing w:after="0" w:line="168" w:lineRule="exact"/>
        <w:rPr>
          <w:rFonts w:ascii="Times New Roman" w:cs="Times New Roman" w:eastAsia="Times New Roman" w:hAnsi="Times New Roman"/>
          <w:sz w:val="14"/>
          <w:szCs w:val="14"/>
          <w:color w:val="auto"/>
        </w:rPr>
      </w:pPr>
    </w:p>
    <w:p>
      <w:pPr>
        <w:ind w:firstLine="2"/>
        <w:spacing w:after="0" w:line="253" w:lineRule="auto"/>
        <w:tabs>
          <w:tab w:leader="none" w:pos="15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 Market Penetration: We have already secured pilot programs with significant customers, including a regional hospital and a specialty pharmaceutical delivery company, demonstrating early validation and learning opportunities for sustainable economics.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Standstill Agreement</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May 14, 2026, we entered into a Standstill Agreement (the “Standstill Agreement”) with Streeterville Capital, LLC, a Utah limited liability company (the “Investor”). The Standstill Agreement was entered into in connection with that certain Securities Purchase Agreement, dated March 21, 2025, by and between us and the Investor (the “Purchase Agreement” and, together with all other documents entered into in connection therewith, the “Transaction Documents”), pursuant to which we previously sold and issued to the Investor a series of Pre-Paid Purchases.</w:t>
      </w:r>
    </w:p>
    <w:p>
      <w:pPr>
        <w:spacing w:after="0" w:line="14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Pursuant to the Standstill Agreement, the Investor has agreed, subject to certain conditions, to refrain from delivering Purchase Notices to us under any outstanding Pre-Paid Purchases for the period beginning on May 14, 2026 and ending on December 31, 2026 (the “Standstill Period”). Notwithstanding the foregoing, the Investor may submit purchase notices during the Standstill Period on any trading day on which our shares of common stock trade at a price that is at least fifteen percent (15%) greater than the Nasdaq Minimum Price (as defined under Nasdaq Rule 5635(d)) for such trading day.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Except as set forth in the Standstill Agreement, each outstanding pre-paid purchase remains in full force and effect in accordance with its terms. The Standstill Agreement will terminate upon the occurrence of any material breach of the Standstill Agreement by us or any event of default under any Transaction Document, at which time the Investor shall have the right to submit Purchase Notices in accordance with the applicable outstanding Pre-Paid Purchases. No additional cash or other property consideration was exchanged in connection with the Standstill Agreement.</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foregoing description of the Standstill Agreement does not purport to be complete and is qualified in its entirety by reference to the full text of the Standstill Agreement, a copy of which is filed as an exhibit to the registration statement of which this prospectus forms a part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Shares Issued Under Purchase Agreement and Other Shares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Streeterville elected additional conversions as follows:</w:t>
      </w:r>
    </w:p>
    <w:p>
      <w:pPr>
        <w:spacing w:after="0" w:line="168" w:lineRule="exact"/>
        <w:rPr>
          <w:sz w:val="20"/>
          <w:szCs w:val="20"/>
          <w:color w:val="auto"/>
        </w:rPr>
      </w:pPr>
    </w:p>
    <w:p>
      <w:pPr>
        <w:ind w:left="500" w:hanging="251"/>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9, 2026, $5,319,001 of principal was converted into 10,000,000 shares of common stock.</w:t>
      </w:r>
    </w:p>
    <w:p>
      <w:pPr>
        <w:spacing w:after="0" w:line="1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16, 2026, $1,350,000 of principal was converted into 2,538,071 shares of common stock.</w:t>
      </w:r>
    </w:p>
    <w:p>
      <w:pPr>
        <w:spacing w:after="0" w:line="3"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21, 2026, $845,661 of principal was converted into 1,589,885 shares of common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aggregate, $7,514,662 of principal was converted into 14,127,956 shares of common stock since March 31,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8, 2025, we announced a share repurchase program of up to $10 million of the Company’s common stock, par value $0.0002 per share, which expired March 31,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Outlook And Challenges Facing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Dependence on Streeterville Financing</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recent financings with Streeterville Capital involve pre-paid purchase agreements that permit the investor to acquire our common shares at a discount to market price. These arrangements may cause significant shareholder dilution and could exert downward pressure on our stock price. Certain triggers, including sustained declines in our share price, could accelerate cash repayment obligations, which we may not be able to meet.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Nasdaq Listing Compliance</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On March 31, 2026, we received two separate notification letters from The Nasdaq Stock Market LLC (“Nasdaq”) indicating that we were not in compliance with certain continued listing requirements of The Nasdaq Global Market.</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The first notification letter advised that we were not in compliance with Nasdaq Listing Rule 5450(b)(2)(C), which requires a minimum Market Value of Publicly Held Shares (“MVPHS Requirement”) of $15,000,000 for continued listing on The Nasdaq Global Market, as we failed to meet the MVPHS requirement for a period of 30 consecutive business days from February 11, 2026 to March 31, 2026. The second notification letter advised that we were not in compliance with Nasdaq Listing Rule 5450(b)(2)(A), which requires a minimum Market Value of Listed Securities (“MVLS Requirement”) of $50,000,000 for continued listing on The Nasdaq Global Market, as we failed to meet the MVLS requirement for a period of 30 consecutive business days from February 10, 2026 to March 30, 2026.</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Both notification letters afforded us 180 calendar days, or until September 28, 2026, to regain compliance. The notification letters were previously described in Item 1A of our Annual Report on Form 10-K for the fiscal year ended December 31, 2025, filed with the SEC on April 15, 2026.</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Both deficiencies were outstanding as of March 31, 2026. Subsequent to March 31, 2026, we regained compliance with the MVPHS Requirement. On April 24, 2026, Nasdaq notified us that we had regained compliance with Nasdaq Listing Rule 5450(b)(2)(C), and that this matter is now closed. We disclosed this development in a Current Report on Form 8-K filed with the SEC on April 28, 2026.</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MVLS deficiency remains outstanding as of the date of this filing. We continue to monitor our MVLS and intend to regain compliance prior to the September 28, 2026 deadline, though there can be no assurance that we will be able to do so. If we do not regain compliance by September 28, 2026, Nasdaq may initiate delisting proceedings, and our common stock could be subject to suspension and delisting from The Nasdaq Global Market. Our common stock continues to trade on Nasdaq under the symbol “ARAI,” and the outstanding MVLS deficiency notice has no immediate effect on the listing or trading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Controlled Company Status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ceased to be a “controlled company” within the meaning of the listing rules of The Nasdaq Stock Market LLC on or around April 9, 2026, and is permitted to continue to rely on exemptions from certain Nasdaq corporate governance requirements within a year following such date, including the requirement that a majority of the Board consist of independent directors and the requirement that the compensation and nominating committees be composed entirely of independent directors. The Company currently relies on these exemptions.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Notwithstanding these exemptions, the Company maintains an Audit and Finance Committee composed entirely of independent directors in accordance with applicable Nasdaq and SEC requirements.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Glossary of Terms and Abbreviations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glossary of technical terms used in this prospectus: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AP1 / AP2 / AP3 / AP4 / AP5 / AP6 </w:t>
      </w:r>
      <w:r>
        <w:rPr>
          <w:rFonts w:ascii="Times New Roman" w:cs="Times New Roman" w:eastAsia="Times New Roman" w:hAnsi="Times New Roman"/>
          <w:sz w:val="14"/>
          <w:szCs w:val="14"/>
          <w:color w:val="auto"/>
        </w:rPr>
        <w:t>– Generations of Arrive Points</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ADM </w:t>
      </w:r>
      <w:r>
        <w:rPr>
          <w:rFonts w:ascii="Times New Roman" w:cs="Times New Roman" w:eastAsia="Times New Roman" w:hAnsi="Times New Roman"/>
          <w:sz w:val="14"/>
          <w:szCs w:val="14"/>
          <w:color w:val="auto"/>
        </w:rPr>
        <w:t>– Automated Delivery Marketplace</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AI </w:t>
      </w:r>
      <w:r>
        <w:rPr>
          <w:rFonts w:ascii="Times New Roman" w:cs="Times New Roman" w:eastAsia="Times New Roman" w:hAnsi="Times New Roman"/>
          <w:sz w:val="14"/>
          <w:szCs w:val="14"/>
          <w:color w:val="auto"/>
        </w:rPr>
        <w:t>– Artificial Intelligence</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ALM </w:t>
      </w:r>
      <w:r>
        <w:rPr>
          <w:rFonts w:ascii="Times New Roman" w:cs="Times New Roman" w:eastAsia="Times New Roman" w:hAnsi="Times New Roman"/>
          <w:sz w:val="14"/>
          <w:szCs w:val="14"/>
          <w:color w:val="auto"/>
        </w:rPr>
        <w:t>– Autonomous Last Mile</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AMR </w:t>
      </w:r>
      <w:r>
        <w:rPr>
          <w:rFonts w:ascii="Times New Roman" w:cs="Times New Roman" w:eastAsia="Times New Roman" w:hAnsi="Times New Roman"/>
          <w:sz w:val="14"/>
          <w:szCs w:val="14"/>
          <w:color w:val="auto"/>
        </w:rPr>
        <w:t>– Autonomous Mobile Robot</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AUVS </w:t>
      </w:r>
      <w:r>
        <w:rPr>
          <w:rFonts w:ascii="Times New Roman" w:cs="Times New Roman" w:eastAsia="Times New Roman" w:hAnsi="Times New Roman"/>
          <w:sz w:val="14"/>
          <w:szCs w:val="14"/>
          <w:color w:val="auto"/>
        </w:rPr>
        <w:t>– Aerial Unmanned Vehicle Systems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Arrive Points™ </w:t>
      </w:r>
      <w:r>
        <w:rPr>
          <w:rFonts w:ascii="Times New Roman" w:cs="Times New Roman" w:eastAsia="Times New Roman" w:hAnsi="Times New Roman"/>
          <w:sz w:val="14"/>
          <w:szCs w:val="14"/>
          <w:color w:val="auto"/>
        </w:rPr>
        <w:t>– Branded term for our product</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IoT </w:t>
      </w:r>
      <w:r>
        <w:rPr>
          <w:rFonts w:ascii="Times New Roman" w:cs="Times New Roman" w:eastAsia="Times New Roman" w:hAnsi="Times New Roman"/>
          <w:sz w:val="14"/>
          <w:szCs w:val="14"/>
          <w:color w:val="auto"/>
        </w:rPr>
        <w:t>– Internet of Things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ML </w:t>
      </w:r>
      <w:r>
        <w:rPr>
          <w:rFonts w:ascii="Times New Roman" w:cs="Times New Roman" w:eastAsia="Times New Roman" w:hAnsi="Times New Roman"/>
          <w:sz w:val="14"/>
          <w:szCs w:val="14"/>
          <w:color w:val="auto"/>
        </w:rPr>
        <w:t>– Machine Learning</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MaaS </w:t>
      </w:r>
      <w:r>
        <w:rPr>
          <w:rFonts w:ascii="Times New Roman" w:cs="Times New Roman" w:eastAsia="Times New Roman" w:hAnsi="Times New Roman"/>
          <w:sz w:val="14"/>
          <w:szCs w:val="14"/>
          <w:color w:val="auto"/>
        </w:rPr>
        <w:t>– Mailbox as a Service</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PHI </w:t>
      </w:r>
      <w:r>
        <w:rPr>
          <w:rFonts w:ascii="Times New Roman" w:cs="Times New Roman" w:eastAsia="Times New Roman" w:hAnsi="Times New Roman"/>
          <w:sz w:val="14"/>
          <w:szCs w:val="14"/>
          <w:color w:val="auto"/>
        </w:rPr>
        <w:t>– Protected Health Information</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PII </w:t>
      </w:r>
      <w:r>
        <w:rPr>
          <w:rFonts w:ascii="Times New Roman" w:cs="Times New Roman" w:eastAsia="Times New Roman" w:hAnsi="Times New Roman"/>
          <w:sz w:val="14"/>
          <w:szCs w:val="14"/>
          <w:color w:val="auto"/>
        </w:rPr>
        <w:t>– Personally Identifiable Information</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UAV / UAVs </w:t>
      </w:r>
      <w:r>
        <w:rPr>
          <w:rFonts w:ascii="Times New Roman" w:cs="Times New Roman" w:eastAsia="Times New Roman" w:hAnsi="Times New Roman"/>
          <w:sz w:val="14"/>
          <w:szCs w:val="14"/>
          <w:color w:val="auto"/>
        </w:rPr>
        <w:t>– Unmanned Aerial Vehicles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ALM Platform for Industry Innovation</w:t>
      </w:r>
    </w:p>
    <w:p>
      <w:pPr>
        <w:spacing w:after="0" w:line="17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Our integrated ALM Platform combines a physical Arrive Point™ Network, an Arrive Point Exchange, and AI Services to create a comprehensive ecosystem designed to accelerate the adoption of drone and robotic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93980</wp:posOffset>
            </wp:positionV>
            <wp:extent cx="5878195" cy="333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5878195"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ALM Platform is designed to drive future revenue through three complementary pillars:</w:t>
      </w:r>
    </w:p>
    <w:p>
      <w:pPr>
        <w:spacing w:after="0" w:line="168" w:lineRule="exact"/>
        <w:rPr>
          <w:sz w:val="20"/>
          <w:szCs w:val="20"/>
          <w:color w:val="auto"/>
        </w:rPr>
      </w:pPr>
    </w:p>
    <w:p>
      <w:pPr>
        <w:jc w:val="both"/>
        <w:ind w:firstLine="2"/>
        <w:spacing w:after="0" w:line="256" w:lineRule="auto"/>
        <w:tabs>
          <w:tab w:leader="none" w:pos="1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Arrive Point Network (Network-as-a-Service): This hardware-enabled network provides secure, asynchronous delivery and pickup points with features such as temperature assistance and secure chain of custody. We plan to offer access to this network through monthly and annual subscription fees, along with associated installation, support, maintenance, and infrastructure services. This turn-key Network-as-a-Service model is expected to contribute significantly to our revenue as we deploy subsequent generations of Arrive Points.</w:t>
      </w:r>
    </w:p>
    <w:p>
      <w:pPr>
        <w:spacing w:after="0" w:line="143" w:lineRule="exact"/>
        <w:rPr>
          <w:rFonts w:ascii="Times New Roman" w:cs="Times New Roman" w:eastAsia="Times New Roman" w:hAnsi="Times New Roman"/>
          <w:sz w:val="14"/>
          <w:szCs w:val="14"/>
          <w:color w:val="auto"/>
        </w:rPr>
      </w:pPr>
    </w:p>
    <w:p>
      <w:pPr>
        <w:jc w:val="both"/>
        <w:ind w:firstLine="2"/>
        <w:spacing w:after="0" w:line="256" w:lineRule="auto"/>
        <w:tabs>
          <w:tab w:leader="none" w:pos="13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Services: Leveraging machine learning (ML) and artificial intelligence (AI), we intend to monetize the vast transactional and environmental data generated by our network. ML will primarily power edge computing and local processing in our fourth- and fifth generation Arrive Points (AP4 and AP5), while broader AI capabilities will derive actionable insights such as reverse logistics optimization, routing density and arbitrage, and growth forecasting. We also plan to integrate foundational AI models for enhanced device-based human interactions.</w:t>
      </w:r>
    </w:p>
    <w:p>
      <w:pPr>
        <w:spacing w:after="0" w:line="143" w:lineRule="exact"/>
        <w:rPr>
          <w:rFonts w:ascii="Times New Roman" w:cs="Times New Roman" w:eastAsia="Times New Roman" w:hAnsi="Times New Roman"/>
          <w:sz w:val="14"/>
          <w:szCs w:val="14"/>
          <w:color w:val="auto"/>
        </w:rPr>
      </w:pPr>
    </w:p>
    <w:p>
      <w:pPr>
        <w:jc w:val="both"/>
        <w:ind w:firstLine="2"/>
        <w:spacing w:after="0" w:line="256" w:lineRule="auto"/>
        <w:tabs>
          <w:tab w:leader="none" w:pos="13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Arrive Point Exchange: Our software platform will enable dynamic pricing, management of “gate times,” and optimization of high-demand space across the Arrive Point network, functioning similarly to a Google AdSense-like marketplace. This will facilitate critical ecosystem functions including arrival/departure scheduling, space optimization, smart notifications, micro-weather data, local restrictions, transactional updates, and automation issue resolution. Advanced marketplace capabilities are planned for introduction with our AP5 units.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We differentiate ourselves through a comprehensive, integrated solution:</w:t>
      </w:r>
    </w:p>
    <w:p>
      <w:pPr>
        <w:spacing w:after="0" w:line="168" w:lineRule="exact"/>
        <w:rPr>
          <w:sz w:val="20"/>
          <w:szCs w:val="20"/>
          <w:color w:val="auto"/>
        </w:rPr>
      </w:pPr>
    </w:p>
    <w:p>
      <w:pPr>
        <w:ind w:left="500" w:hanging="251"/>
        <w:spacing w:after="0" w:line="253"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Compatibility: Our multi-generational Arrive Points (AP3, AP4, AP5) are being developed to support all major drone and robotic delivery systems, addressing a key barrier to widespread ALM adoption.</w:t>
      </w:r>
    </w:p>
    <w:p>
      <w:pPr>
        <w:spacing w:after="0" w:line="1"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End-to-End Solution: We combine advanced hardware, a robust software platform, and AI/ML capabilities to deliver a complete ecosystem for automated last-mile exchange.</w:t>
      </w:r>
    </w:p>
    <w:p>
      <w:pPr>
        <w:spacing w:after="0" w:line="3" w:lineRule="exact"/>
        <w:rPr>
          <w:rFonts w:ascii="Times New Roman" w:cs="Times New Roman" w:eastAsia="Times New Roman" w:hAnsi="Times New Roman"/>
          <w:sz w:val="14"/>
          <w:szCs w:val="14"/>
          <w:color w:val="auto"/>
        </w:rPr>
      </w:pPr>
    </w:p>
    <w:p>
      <w:pPr>
        <w:ind w:left="500" w:hanging="251"/>
        <w:spacing w:after="0" w:line="250"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 Market Validation: We have secured pilot programs with significant customers, including a regional hospital and a specialty pharmaceutical delivery company, providing valuable learning and validation as we refine our path to sustainable economics.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Five-Year Public Plan</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future of last-mile delivery belongs to drones and robots. Arrive AI is building the essential ALM network and platform to enable this transformation. Our five-year plan targets deployment of 100,000 Arrive Points, achieving a revenue model of approximately 50% Network-as-a-Service (Arrive Point Network) and 50% Marketplace (Arrive Point Exchange) &amp; AI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93980</wp:posOffset>
            </wp:positionV>
            <wp:extent cx="5878195" cy="3383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5878195" cy="338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five-year plan outlines our phased approach from early market solutions and product development through pilot programs, strategic refinement, production ramp, and ultimately network scalability. Our initial deployments focused on pilot validation and iterative learning. Revenue is expected to accelerate as we scale installations and activate subscription, marketplace, and AI service models in line with the milestones shown.</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Key phases include transitioning from early third generation (AP3) units toward fourth- and fifth generation (AP4 and AP5) hardware that will fully enable marketplace transactional economics and advanced AI services. Our internal stretch goals reflect ambitious network effects and rapid deployment potential as the ALM ecosystem matures.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plan is forward-looking and subject to change without notice based on market conditions, technological advancements, strategic partnerships, and capital availability.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emerging competition from:</w:t>
      </w:r>
    </w:p>
    <w:p>
      <w:pPr>
        <w:spacing w:after="0" w:line="168" w:lineRule="exact"/>
        <w:rPr>
          <w:sz w:val="20"/>
          <w:szCs w:val="20"/>
          <w:color w:val="auto"/>
        </w:rPr>
      </w:pPr>
    </w:p>
    <w:p>
      <w:pPr>
        <w:ind w:left="120" w:hanging="118"/>
        <w:spacing w:after="0"/>
        <w:tabs>
          <w:tab w:leader="none" w:pos="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Smart locker box and mailbox companies are also adapting to ALM trends and may pursue similar capabilities or business as Arrive AI</w:t>
      </w:r>
    </w:p>
    <w:p>
      <w:pPr>
        <w:spacing w:after="0" w:line="168" w:lineRule="exact"/>
        <w:rPr>
          <w:rFonts w:ascii="Times New Roman" w:cs="Times New Roman" w:eastAsia="Times New Roman" w:hAnsi="Times New Roman"/>
          <w:sz w:val="14"/>
          <w:szCs w:val="14"/>
          <w:color w:val="auto"/>
        </w:rPr>
      </w:pPr>
    </w:p>
    <w:p>
      <w:pPr>
        <w:ind w:left="120" w:hanging="118"/>
        <w:spacing w:after="0"/>
        <w:tabs>
          <w:tab w:leader="none" w:pos="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Automation providers, like drone and robotic companies and/or operators, are now also developing point solutions for last-mile delivery handoffs and may pursue similar capabilities or business as Arrive</w:t>
      </w:r>
    </w:p>
    <w:p>
      <w:pPr>
        <w:spacing w:after="0" w:line="2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AI</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strategy leverages our intellectual property and technological advantages developed in AP1, AP2, AP3, AP4 and soon to be AP5, to position Arrive AI’s ALM MaaS solutions as the industry standard, anticipating that proprietary point-solutions will transition towards our broader, full-featured, universal ALM network/platform because of cost, interoperability, and customer demand for universal vs. proprietary solution lock-in.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business foundation, combined with our strategic product rollout and strong intellectual property portfolio, positions Arrive AI to lead the transformation of ALM infrastructure and the formation of an ALM platform for the emerging ALM ecosystem, in the era that will most certainly be transformed by last-mile autonomous logistics as projected by organizations like ARK Invest in their Annual Innovation Report in the Autonomous Logistics sections.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Regulation</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operations are subject to federal, state, and local environmental laws and regulations relating to, among other things, the handling and disposal of materials and waste. We are primarily engaged in office-based functions and research and development activities and do not conduct material manufacturing or industrial operations. Accordingly, we do not believe compliance with environmental laws and regulations has had, or is expected to have, a material effect on our capital expenditures, results of operations, or competitive position.</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generate limited quantities of electronic and office waste, which are managed in accordance with applicable laws, primarily through third-party service providers. We are not aware of any pending or threatened environmental matters that we believe would have a material adverse effect on our business, financial condition, or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Postal Reorganization Act of 1970 created the U.S. Postal Service (“USPS”) as an independent establishment of the executive branch of the federal government. The Postal Accountability and Enhancement Act of 2006 amended the 1970 Act to give the re-named Postal Regulatory Commission revised oversight authority over many aspects of the USPS, including postal rates, product offerings and service standards. Once we begin our scaled operation and supply the market with Arrive’s ALM Mailboxes, a significant portion of our business will be subject to regulation and oversight by the USPS, posts in other major markets, and the governmental bodies that regulate the postal services themselves. These postal authorities have the power to regulate some of our current products and services and they sometimes also must approve many of our new or future product and service offerings before we can bring them to market. If new or future product and service offerings are not approved or there are significant conditions to approval, regulations on existing products or services are changed, posts utilize their position in the market or their role as product regulator to limit competition in areas where the posts themselves offer solutions, or if we fall out of compliance with the posts’ regulations, our financial performance could be adversely affected.</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There has recently been heightened regulatory and enforcement focus relating to the collection, use, retention, transfer, and processing of personal data in the U.S. (at both the state and federal level), including the California Privacy Rights Act, the Virginia Consumer Data Protection Act, and other similar laws that have been or will be enacted by other jurisdictions. In addition, in the U.S., there has been increased legislative and regulatory activity related to artificial intelligence and the risks and challenges artificial intelligence poses, including the current U.S. presidential administration’s executive order to, among other things, establish artificial intelligence safety and security. An actual or alleged failure to comply with applicable U.S. or foreign data protection laws, regulations, or other data protection standards may expose us to litigation (including, in some instances, class action litigation), fines, sanctions, or other penalties, which could harm our reputation and adversely affect our business, results of operations, and financial condition. This regulatory environment is increasingly challenging, based on discretionary factors, and difficult to predict. Consequently, compliance with all applicable regulations in the various jurisdictions in which we do business may present material obligations and risks to our business, including significantly expanded compliance burdens, costs, and enforcement risks; require us to make extensive system or operational changes; or adversely affect the cost or attractiveness of the services we offer. All of these evolving compliance and operational requirements, as well as the uncertain interpretation and enforcement of laws, impose significant costs and regulatory risks that are likely to increase over time. Developing privacy legislation within the U.S. may also create limitations or added requirements on the use and collection of personal data that our ML/AI models will be built for.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14"/>
          <w:szCs w:val="14"/>
          <w:color w:val="auto"/>
        </w:rPr>
        <w:t>The adoption of drones and autonomous robots for delivery has been gaining momentum in recent years due to the potential for increased efficiency, speed, and cost savings. However, the pace of adoption has been hindered by a variety of legal and regulatory barriers, including the Federal Aviation Administration’s (“FAA”) Beyond Visual Line of Sight (“BVLOS”) requirements. These regulations require operators to demonstrate that their drones can fly beyond the visual line of sight of the pilot or observer and still maintain safe operation. Meeting these requirements has been a significant challenge for many companies seeking to use drones for delivery and has slowed down the pace of adoption. Despite these challenges, many companies are investing heavily in developing and testing delivery drones and robots that can meet the FAA’s BVLOS requirements. As such, Arrive can expect continued progress in the adoption of drones and autonomous robots for delivery, albeit with careful consideration of legal and ethical implications, including compliance with BVLOS requirements.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Also, in our early market focus involving placing our products and providing services to medical facilities, we must also comply with the HIPAA if we handle PHI in the course of our commercial business operations. Despite the need to comply with HIPAA, we are only a provider of intelligent mailboxes and do not and will not manufacture, sell or transport medical or biological products or prescriptions, we are not and will not be subject to any regulations in those areas, for example, the Federal Food, Drug, and Cosmetic Act of 1938 and the Medical Device Amendments of 1976.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Regulations Related to the Transportation of Pharmaceutical and Biomedical Products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Even though we do not and will not manufacture, sell or transport medical or biological products or prescriptions, there are several regulations related to the transportation of pharmaceutical and biomedical products and our potential third-party service providers may be subject to such regulations, described further below.</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Title 21 of the Code of Federal Regulations (CFR) regulates shipping, warehousing, distribution, and record keeping of pharmaceuticals. Because of the sensitive nature of some pharmaceutical products, there are many federal, state, and local laws that dictate how to package and transport the items. There are also several different federal agencies with oversight, including the Food and Drug Administration (“FDA”), the FDA’s role is to protect the public’s health by ensuring that the items to be consumed are safe. Prescription drugs and medical devices undergo rigorous screening and testing to ensure they work as the manufacturer claims. Within the context of pharmaceuticals, this means information on the approved temperature range for shipping, warehousing, and distribution. In addition to the FDA’s temperature control requirements, there are other requirements which include hygiene, security, and recordkeeping. The packaging procedures of manufacturers and third-party transportation providers must ensure compliance with FDA’s temperature control requirements. When transporting products that require temperatures outside the normal bounds, it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seals, and partitions that allow the transport of products in different temperature zones. The FDA also sets state licensing laws for pharmaceutical companies.</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most relevant of the FDA requirements is the cold supply chain, which is crucial to many different industries. If products go outside of their safe temperature range, it can lead to ineffective medications, vaccines, or devices. This is what makes compliance so crucial in the medical community. For most products, storage and transportation are easy so long as the temperature range remains between 55- and 77-degrees Fahrenheit, but once outside of that comfortable range, things start to become more challenging. Within the cold supply chain, there are four different steps. The first stage is where the supply is from, such as the factory or plant. The second step is the transportation stage. This stage can occur multiple times and is when the medical devices or medication are on the transport vehicle. The third step, storage, is whenever the product is in a cold storage location before arriving at its final destination. This step also has the possibility of happening more than once. The last step is arrival at the market when the products reach the buyers. This is the stage where the items remain before being sold or administered. Our Company will not guarantee the temperature of any of these items as this is a requirement applicable to manufacturers and transportation third parties in connection with their packaging procedures.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4"/>
          <w:szCs w:val="14"/>
          <w:color w:val="auto"/>
        </w:rPr>
        <w:t>Transportation: Transporting products that require temperatures outside the normal bounds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and seals. Some even have partitions that allow the transport of products in different temperature zones.</w:t>
      </w:r>
    </w:p>
    <w:p>
      <w:pPr>
        <w:spacing w:after="0" w:line="1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Storage: For storage purposes, one must ensure the warehouses will remain compliant with the temperature requirements. Some warehouses have a backup generator in the event of power loss. This will make sure that temperature-sensitive products aren’t lost or damaged. Security, another critical aspect of FDA regulation, is the requirement for who can be around the products while in transit. There are rules about who can and is allowed in proximity to pharmaceuticals. Hygiene, like in restaurants, the FDA is responsible for overseeing the storage conditions of products. Anywhere that the pharmaceuticals are stored must provide adequate cleaning, proper ventilation, and safe storage practices to ensure nothing happens to the products. Recordkeeping, there is a requirement for accurate recordkeeping, which is a requirement for anybody following the FDA-approved pharmaceutical shipping regulations. This work is crucial for products to arrive protected. Being able to provide such documentation also ensures the responsible party pays the cost of any non-compliance problems, including any fines or replacements.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Department of Transportation (DOT): Several scenarios may include the involvement of the Department of Transportation in connection with the transport of pharmaceutical products. This is often in connection with the transportation of hazardous materials. Any planned delivery route must comply with all requirements for the transport of whatever item that has the hazardous materials label. Another government agency applicable to pharmaceutical transportation is the Drug Enforcement Agency (“DEA”). This group gets involved because many different medications double as controlled substances, thanks to the risk of generating addiction. These medications can be anything from painkilling opiates to medicines that address other chronic illnesses. Whatever the individual medical product is, the DEA will be involved if there is the possibility of theft.</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These regulations have a significant impact on the operations and responsibilities of third parties, such as those who have autonomous mobile robots (“AMRs”) and drone operations, or those imposed on medical facilities regarding control and preservation of certain medications considered perishable or which may need refrigeration. Although they are not directly applicable to our own business and future operations, these regulations related to aviation, medical and biological operations are applicable to our partners by, for example, increasing their compliance cost and financial burden, and may thereby be unwilling to transition to a smarter and more modern mailbox provider like us. Our intended operations will comply with the specific requirements for each application as defined by the third parties responsible for compliance.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Arrive AI’s intellectual property consists of patents, trademarks and trade secrets. Arrive AI’s trade secrets consist of research and development and know-how, all of which we seek to protect, in part, by confidentiality agreements. To protect Arrive AI’s intellectual property, Arrive relies on a combination of laws and regulations, as well as contractual restrictions. Federal trademark law protects Arrive AI’s registered trademarks. Arrive also relies on the protection of laws regarding unregistered copyrights for certain content Arrive creates, as well as trade secret laws to protect Arrive AI’s proprietary technology.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5"/>
              </w:rPr>
              <w:t>Trademarks</w:t>
            </w:r>
          </w:p>
        </w:tc>
        <w:tc>
          <w:tcPr>
            <w:tcW w:w="2400" w:type="dxa"/>
            <w:vAlign w:val="bottom"/>
            <w:gridSpan w:val="2"/>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39"/>
        </w:trPr>
        <w:tc>
          <w:tcPr>
            <w:tcW w:w="6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Arrive has 3 registered trademarks, all of which are being used in commerce, 6 allowed, and 3 pending trademarks:</w:t>
            </w: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24"/>
                <w:szCs w:val="24"/>
                <w:color w:val="auto"/>
              </w:rPr>
            </w:pPr>
          </w:p>
        </w:tc>
        <w:tc>
          <w:tcPr>
            <w:tcW w:w="240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Mark</w:t>
            </w:r>
          </w:p>
        </w:tc>
        <w:tc>
          <w:tcPr>
            <w:tcW w:w="19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5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Serial No</w:t>
            </w:r>
          </w:p>
        </w:tc>
        <w:tc>
          <w:tcPr>
            <w:tcW w:w="240" w:type="dxa"/>
            <w:vAlign w:val="bottom"/>
          </w:tcPr>
          <w:p>
            <w:pPr>
              <w:spacing w:after="0"/>
              <w:rPr>
                <w:sz w:val="24"/>
                <w:szCs w:val="24"/>
                <w:color w:val="auto"/>
              </w:rPr>
            </w:pPr>
          </w:p>
        </w:tc>
        <w:tc>
          <w:tcPr>
            <w:tcW w:w="336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Reg. No</w:t>
            </w:r>
          </w:p>
        </w:tc>
      </w:tr>
      <w:tr>
        <w:trPr>
          <w:trHeight w:val="168"/>
        </w:trPr>
        <w:tc>
          <w:tcPr>
            <w:tcW w:w="20" w:type="dxa"/>
            <w:vAlign w:val="bottom"/>
          </w:tcPr>
          <w:p>
            <w:pPr>
              <w:spacing w:after="0"/>
              <w:rPr>
                <w:sz w:val="14"/>
                <w:szCs w:val="14"/>
                <w:color w:val="auto"/>
              </w:rPr>
            </w:pP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20" w:type="dxa"/>
            <w:vAlign w:val="bottom"/>
          </w:tcPr>
          <w:p>
            <w:pPr>
              <w:spacing w:after="0"/>
              <w:rPr>
                <w:sz w:val="14"/>
                <w:szCs w:val="14"/>
                <w:color w:val="auto"/>
              </w:rPr>
            </w:pPr>
          </w:p>
        </w:tc>
        <w:tc>
          <w:tcPr>
            <w:tcW w:w="2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DRONEDEK (words)</w:t>
            </w:r>
          </w:p>
        </w:tc>
        <w:tc>
          <w:tcPr>
            <w:tcW w:w="220" w:type="dxa"/>
            <w:vAlign w:val="bottom"/>
          </w:tcPr>
          <w:p>
            <w:pPr>
              <w:spacing w:after="0"/>
              <w:rPr>
                <w:sz w:val="14"/>
                <w:szCs w:val="14"/>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July 18, 2019</w:t>
            </w:r>
          </w:p>
        </w:tc>
        <w:tc>
          <w:tcPr>
            <w:tcW w:w="220" w:type="dxa"/>
            <w:vAlign w:val="bottom"/>
          </w:tcPr>
          <w:p>
            <w:pPr>
              <w:spacing w:after="0"/>
              <w:rPr>
                <w:sz w:val="14"/>
                <w:szCs w:val="14"/>
                <w:color w:val="auto"/>
              </w:rPr>
            </w:pPr>
          </w:p>
        </w:tc>
        <w:tc>
          <w:tcPr>
            <w:tcW w:w="15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88522545</w:t>
            </w:r>
          </w:p>
        </w:tc>
        <w:tc>
          <w:tcPr>
            <w:tcW w:w="240" w:type="dxa"/>
            <w:vAlign w:val="bottom"/>
          </w:tcPr>
          <w:p>
            <w:pPr>
              <w:spacing w:after="0"/>
              <w:rPr>
                <w:sz w:val="14"/>
                <w:szCs w:val="14"/>
                <w:color w:val="auto"/>
              </w:rPr>
            </w:pPr>
          </w:p>
        </w:tc>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June 29, 2021</w:t>
            </w:r>
          </w:p>
        </w:tc>
        <w:tc>
          <w:tcPr>
            <w:tcW w:w="220" w:type="dxa"/>
            <w:vAlign w:val="bottom"/>
          </w:tcPr>
          <w:p>
            <w:pPr>
              <w:spacing w:after="0"/>
              <w:rPr>
                <w:sz w:val="14"/>
                <w:szCs w:val="14"/>
                <w:color w:val="auto"/>
              </w:rPr>
            </w:pPr>
          </w:p>
        </w:tc>
        <w:tc>
          <w:tcPr>
            <w:tcW w:w="11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6399323</w:t>
            </w:r>
          </w:p>
        </w:tc>
      </w:tr>
      <w:tr>
        <w:trPr>
          <w:trHeight w:val="316"/>
        </w:trPr>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20" w:type="dxa"/>
            <w:vAlign w:val="bottom"/>
          </w:tcPr>
          <w:p>
            <w:pPr>
              <w:spacing w:after="0"/>
              <w:rPr>
                <w:sz w:val="24"/>
                <w:szCs w:val="24"/>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DRONEDEK</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29, 2020</w:t>
            </w:r>
          </w:p>
        </w:tc>
        <w:tc>
          <w:tcPr>
            <w:tcW w:w="15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90426343</w:t>
            </w:r>
          </w:p>
        </w:tc>
        <w:tc>
          <w:tcPr>
            <w:tcW w:w="36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April 5, 2022</w:t>
            </w:r>
          </w:p>
        </w:tc>
        <w:tc>
          <w:tcPr>
            <w:tcW w:w="11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6689433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635</wp:posOffset>
            </wp:positionV>
            <wp:extent cx="1175385" cy="777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1175385" cy="77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85"/>
              </w:rPr>
              <w:t>3</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AIRBOX</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Jan. 28, 2016</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86890454</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Nov. 07, 2017</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5330373</w:t>
            </w:r>
          </w:p>
        </w:tc>
      </w:tr>
      <w:tr>
        <w:trPr>
          <w:trHeight w:val="329"/>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85"/>
              </w:rPr>
              <w:t>4</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MAAS - MAILBOX AS A SERVICE</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May 6, 2022</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97399527</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Allowed June 20, 2023</w:t>
            </w:r>
          </w:p>
        </w:tc>
        <w:tc>
          <w:tcPr>
            <w:tcW w:w="1680" w:type="dxa"/>
            <w:vAlign w:val="bottom"/>
          </w:tcPr>
          <w:p>
            <w:pPr>
              <w:spacing w:after="0"/>
              <w:rPr>
                <w:sz w:val="24"/>
                <w:szCs w:val="24"/>
                <w:color w:val="auto"/>
              </w:rPr>
            </w:pPr>
          </w:p>
        </w:tc>
      </w:tr>
      <w:tr>
        <w:trPr>
          <w:trHeight w:val="318"/>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85"/>
              </w:rPr>
              <w:t>5</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LAST INCH OF THE LAST</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May 6, 2022</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97399520</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Allowed June 20, 2023</w:t>
            </w:r>
          </w:p>
        </w:tc>
        <w:tc>
          <w:tcPr>
            <w:tcW w:w="1680" w:type="dxa"/>
            <w:vAlign w:val="bottom"/>
          </w:tcPr>
          <w:p>
            <w:pPr>
              <w:spacing w:after="0"/>
              <w:rPr>
                <w:sz w:val="24"/>
                <w:szCs w:val="24"/>
                <w:color w:val="auto"/>
              </w:rPr>
            </w:pPr>
          </w:p>
        </w:tc>
      </w:tr>
      <w:tr>
        <w:trPr>
          <w:trHeight w:val="176"/>
        </w:trPr>
        <w:tc>
          <w:tcPr>
            <w:tcW w:w="300" w:type="dxa"/>
            <w:vAlign w:val="bottom"/>
          </w:tcPr>
          <w:p>
            <w:pPr>
              <w:spacing w:after="0"/>
              <w:rPr>
                <w:sz w:val="15"/>
                <w:szCs w:val="15"/>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MILE</w:t>
            </w:r>
          </w:p>
        </w:tc>
        <w:tc>
          <w:tcPr>
            <w:tcW w:w="1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9"/>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85"/>
              </w:rPr>
              <w:t>6</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ARRIVE</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June 20, 2022</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97466319</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Allowed June 20, 2023</w:t>
            </w:r>
          </w:p>
        </w:tc>
        <w:tc>
          <w:tcPr>
            <w:tcW w:w="1680" w:type="dxa"/>
            <w:vAlign w:val="bottom"/>
          </w:tcPr>
          <w:p>
            <w:pPr>
              <w:spacing w:after="0"/>
              <w:rPr>
                <w:sz w:val="24"/>
                <w:szCs w:val="24"/>
                <w:color w:val="auto"/>
              </w:rPr>
            </w:pPr>
          </w:p>
        </w:tc>
      </w:tr>
      <w:tr>
        <w:trPr>
          <w:trHeight w:val="823"/>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85"/>
              </w:rPr>
              <w:t>7</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ARRIVAL POINT</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June 20, 2022</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97466345</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Allowed June 20, 2023</w:t>
            </w:r>
          </w:p>
        </w:tc>
        <w:tc>
          <w:tcPr>
            <w:tcW w:w="1680" w:type="dxa"/>
            <w:vAlign w:val="bottom"/>
          </w:tcPr>
          <w:p>
            <w:pPr>
              <w:spacing w:after="0"/>
              <w:rPr>
                <w:sz w:val="24"/>
                <w:szCs w:val="24"/>
                <w:color w:val="auto"/>
              </w:rPr>
            </w:pPr>
          </w:p>
        </w:tc>
      </w:tr>
      <w:tr>
        <w:trPr>
          <w:trHeight w:val="329"/>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85"/>
              </w:rPr>
              <w:t>8</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ARRIVE PAY</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June 20, 2022</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97466377</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Allowed June 20, 2023</w:t>
            </w:r>
          </w:p>
        </w:tc>
        <w:tc>
          <w:tcPr>
            <w:tcW w:w="1680" w:type="dxa"/>
            <w:vAlign w:val="bottom"/>
          </w:tcPr>
          <w:p>
            <w:pPr>
              <w:spacing w:after="0"/>
              <w:rPr>
                <w:sz w:val="24"/>
                <w:szCs w:val="24"/>
                <w:color w:val="auto"/>
              </w:rPr>
            </w:pPr>
          </w:p>
        </w:tc>
      </w:tr>
      <w:tr>
        <w:trPr>
          <w:trHeight w:val="329"/>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85"/>
              </w:rPr>
              <w:t>9</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ARRIVE POINTS</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June 20, 2022</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97466382</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Allowed June 20, 2023</w:t>
            </w:r>
          </w:p>
        </w:tc>
        <w:tc>
          <w:tcPr>
            <w:tcW w:w="1680" w:type="dxa"/>
            <w:vAlign w:val="bottom"/>
          </w:tcPr>
          <w:p>
            <w:pPr>
              <w:spacing w:after="0"/>
              <w:rPr>
                <w:sz w:val="24"/>
                <w:szCs w:val="24"/>
                <w:color w:val="auto"/>
              </w:rPr>
            </w:pPr>
          </w:p>
        </w:tc>
      </w:tr>
      <w:tr>
        <w:trPr>
          <w:trHeight w:val="329"/>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10</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Arrive - Beyond Delivered</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Jan 7, 2024</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98345734</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Pending</w:t>
            </w:r>
          </w:p>
        </w:tc>
        <w:tc>
          <w:tcPr>
            <w:tcW w:w="1680" w:type="dxa"/>
            <w:vAlign w:val="bottom"/>
          </w:tcPr>
          <w:p>
            <w:pPr>
              <w:spacing w:after="0"/>
              <w:rPr>
                <w:sz w:val="24"/>
                <w:szCs w:val="24"/>
                <w:color w:val="auto"/>
              </w:rPr>
            </w:pPr>
          </w:p>
        </w:tc>
      </w:tr>
      <w:tr>
        <w:trPr>
          <w:trHeight w:val="329"/>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11</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Arrive Technology</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Jan 7, 2024</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98345739</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Pending</w:t>
            </w:r>
          </w:p>
        </w:tc>
        <w:tc>
          <w:tcPr>
            <w:tcW w:w="1680" w:type="dxa"/>
            <w:vAlign w:val="bottom"/>
          </w:tcPr>
          <w:p>
            <w:pPr>
              <w:spacing w:after="0"/>
              <w:rPr>
                <w:sz w:val="24"/>
                <w:szCs w:val="24"/>
                <w:color w:val="auto"/>
              </w:rPr>
            </w:pPr>
          </w:p>
        </w:tc>
      </w:tr>
      <w:tr>
        <w:trPr>
          <w:trHeight w:val="329"/>
        </w:trPr>
        <w:tc>
          <w:tcPr>
            <w:tcW w:w="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12</w:t>
            </w: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Arrive Go</w:t>
            </w:r>
          </w:p>
        </w:tc>
        <w:tc>
          <w:tcPr>
            <w:tcW w:w="1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Jan 7, 2024</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98345744</w:t>
            </w:r>
          </w:p>
        </w:tc>
        <w:tc>
          <w:tcPr>
            <w:tcW w:w="2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Pending</w:t>
            </w: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-1565910</wp:posOffset>
            </wp:positionV>
            <wp:extent cx="1090930" cy="313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1090930" cy="3136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Arrive has several other trademarks under consideration.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Patents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Arrive has ten (10) approved, registered, and issued United States patents as of June 1, 2026. Arrive AI has two (2) additional patent applications in the examination process by the United States Patent and Trademark Office (“USPTO”). addition, there are seventy-seven (77) non-U.S. patent applications in process. Eight (8) National/non-US Patents have been issued (based on US Patents 2, 4, and 5), five (5) more are allowed, and 65 are pending. Most of these first group of smart/ interactive boxes were related to the original drone deliveries. From the Air Box acquisition, Arrive AI added four (4) of the granted US patents, one (1) US patent pending applications, and one (1) international patent pending in the totals below. These additional business acquisitions and technological developments are focused on receiving multiple packages and allowing multiple users. These foundational patents as well as the newly acquired technology (listed below) consisted of more than 130 patent claims for tracking packages as well as for collecting data from multiple shipping companies and the commercial and residential customers.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Patents and Patents Pending: DRONEDEK was initially granted the first US Patent in 2017 with 2014 priority. A second was granted in 2019 with priority back to the original. A third was issued August 29, 2023, in connection with the expanding floor and homeowners’ recess into ground. The fourth and fifth US patents were issued in 2025. One was the Hot/Cold assist patent and the other represents a unit capable of trimode use – deliveries and shipments from a courier (human), a drone, and/or an automated robot. Arrive also owns four (4) fully-issued US patents acquired through the purchase of Airbox assets in 2023. The multi-user applications are starting to enter the National phase in twelve (12) other countries and the EU. Next generation AP4/5/6 (Arrive Point) will soon be in the provisional stage. The seventy-seven (77) non-US patent applications include the expanding floor, hot/cold assist, and multi-unit which are in national phases in 23 other countries at various levels of exam. Arrive has continued to bolster its protected features and functions with additional patents which are currently pending (see table below).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14"/>
          <w:szCs w:val="14"/>
          <w:color w:val="auto"/>
        </w:rPr>
        <w:t>Optional features protected by the patents and applications include: a sensor-equipped, fully autonomous landing pad receptacle; a receptacle for receiving or sending food, medicine, groceries, or parcels; a secure receptacle on a porch, roof, window, house, building, existing edifice or mailbox post; interior temperature control (hot and cold holding section); a curved bottom to mitigate damage to the parcel from abrupt drops; infrared, ultraviolet or ozone virus and bacteria prevention including anthrax and COVID; detection of explosive materials; in-ground vaults for home owners association also known as “HOA” restrictions; mobility on trucks, boats and trailers; weather monitoring station, traffic, human and pet movement with facial recognition cameras; powered by a solar panel and/or 110-volt electrical; assist mechanism for robot/aerial unmanned vehicle systems (“AUVS”); and a charging station or battery exchange to the drones, unmanned aerial vehicles (“UAVs”), and units capable of trimode use (Couriers, Unmanned Robots, and Drones).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International Patents Pending: Patents pending are based on the PCT and World Intellectual Property Organization (“WIPO”). International filings are focused on those global markets that provide the best commercial opportunity (the top 20 nations representing over 80% of the global economy). National patents for various countries have been assessed and are being examined in various stages depending on the country’s rules.</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Trademarks: DRONEDEK holds three US trademarks registered, an additional eleven are allowed and ready to show use or pending approval; other marks for US and foreign applications are under consideration for protecting the brands with the transition to ARRIVE.</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Licenses: DRONEDEK has an exclusive license to all the patents described herein from the inventor and CEO of Arrive, Daniel S. O’Toole. The details of the terms of use for these licenses are further described herein under the section </w:t>
      </w:r>
      <w:r>
        <w:rPr>
          <w:rFonts w:ascii="Times New Roman" w:cs="Times New Roman" w:eastAsia="Times New Roman" w:hAnsi="Times New Roman"/>
          <w:sz w:val="14"/>
          <w:szCs w:val="14"/>
          <w:i w:val="1"/>
          <w:iCs w:val="1"/>
          <w:color w:val="auto"/>
        </w:rPr>
        <w:t>Exclusive Patent License Agreement</w:t>
      </w:r>
      <w:r>
        <w:rPr>
          <w:rFonts w:ascii="Times New Roman" w:cs="Times New Roman" w:eastAsia="Times New Roman" w:hAnsi="Times New Roman"/>
          <w:sz w:val="14"/>
          <w:szCs w:val="14"/>
          <w:color w:val="auto"/>
        </w:rPr>
        <w:t>. New patent applications emerging from the engineers and technicians with Arrive AI are protected by language and IP agreements in the handbook and employee intake documents and hiring process.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 xml:space="preserve">DD </w:t>
            </w:r>
            <w:r>
              <w:rPr>
                <w:rFonts w:ascii="Times New Roman" w:cs="Times New Roman" w:eastAsia="Times New Roman" w:hAnsi="Times New Roman"/>
                <w:sz w:val="14"/>
                <w:szCs w:val="14"/>
                <w:color w:val="auto"/>
                <w:w w:val="98"/>
              </w:rPr>
              <w:t>- Original Development by Dronedek</w:t>
            </w:r>
          </w:p>
        </w:tc>
        <w:tc>
          <w:tcPr>
            <w:tcW w:w="1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AB </w:t>
            </w:r>
            <w:r>
              <w:rPr>
                <w:rFonts w:ascii="Times New Roman" w:cs="Times New Roman" w:eastAsia="Times New Roman" w:hAnsi="Times New Roman"/>
                <w:sz w:val="14"/>
                <w:szCs w:val="14"/>
                <w:color w:val="auto"/>
              </w:rPr>
              <w:t>- Acquired from AirBox</w:t>
            </w:r>
          </w:p>
        </w:tc>
        <w:tc>
          <w:tcPr>
            <w:tcW w:w="1340" w:type="dxa"/>
            <w:vAlign w:val="bottom"/>
            <w:tcBorders>
              <w:bottom w:val="single" w:sz="8" w:color="auto"/>
            </w:tcBorders>
          </w:tcPr>
          <w:p>
            <w:pPr>
              <w:spacing w:after="0"/>
              <w:rPr>
                <w:sz w:val="16"/>
                <w:szCs w:val="16"/>
                <w:color w:val="auto"/>
              </w:rPr>
            </w:pPr>
          </w:p>
        </w:tc>
      </w:tr>
      <w:tr>
        <w:trPr>
          <w:trHeight w:val="319"/>
        </w:trPr>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PATENT or</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5"/>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Publication</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ANTICIPATED</w:t>
            </w:r>
          </w:p>
        </w:tc>
      </w:tr>
      <w:tr>
        <w:trPr>
          <w:trHeight w:val="181"/>
        </w:trPr>
        <w:tc>
          <w:tcPr>
            <w:tcW w:w="8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COUNTRY</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SERIAL NO.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FILING DATE</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16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8"/>
              </w:rPr>
              <w:t>TITLE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1"/>
              </w:rPr>
              <w:t>STATUS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EXPIRATION DATE</w:t>
            </w:r>
          </w:p>
        </w:tc>
      </w:tr>
      <w:tr>
        <w:trPr>
          <w:trHeight w:val="143"/>
        </w:trPr>
        <w:tc>
          <w:tcPr>
            <w:tcW w:w="800" w:type="dxa"/>
            <w:vAlign w:val="bottom"/>
            <w:tcBorders>
              <w:top w:val="single" w:sz="8" w:color="CCEEFF"/>
            </w:tcBorders>
            <w:shd w:val="clear" w:color="auto" w:fill="CCEEFF"/>
          </w:tcPr>
          <w:p>
            <w:pPr>
              <w:jc w:val="center"/>
              <w:ind w:right="151"/>
              <w:spacing w:after="0" w:line="143" w:lineRule="exact"/>
              <w:rPr>
                <w:sz w:val="20"/>
                <w:szCs w:val="20"/>
                <w:color w:val="auto"/>
              </w:rPr>
            </w:pPr>
            <w:r>
              <w:rPr>
                <w:rFonts w:ascii="Times New Roman" w:cs="Times New Roman" w:eastAsia="Times New Roman" w:hAnsi="Times New Roman"/>
                <w:sz w:val="14"/>
                <w:szCs w:val="14"/>
                <w:b w:val="1"/>
                <w:bCs w:val="1"/>
                <w:color w:val="auto"/>
                <w:w w:val="95"/>
              </w:rPr>
              <w:t>DD1</w:t>
            </w:r>
          </w:p>
        </w:tc>
        <w:tc>
          <w:tcPr>
            <w:tcW w:w="112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U.S.</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14/565,418</w:t>
            </w: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12/09/2014</w:t>
            </w:r>
          </w:p>
        </w:tc>
        <w:tc>
          <w:tcPr>
            <w:tcW w:w="2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9,840,340</w:t>
            </w:r>
          </w:p>
        </w:tc>
        <w:tc>
          <w:tcPr>
            <w:tcW w:w="22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ind w:left="71"/>
              <w:spacing w:after="0" w:line="143" w:lineRule="exact"/>
              <w:rPr>
                <w:sz w:val="20"/>
                <w:szCs w:val="20"/>
                <w:color w:val="auto"/>
              </w:rPr>
            </w:pPr>
            <w:r>
              <w:rPr>
                <w:rFonts w:ascii="Times New Roman" w:cs="Times New Roman" w:eastAsia="Times New Roman" w:hAnsi="Times New Roman"/>
                <w:sz w:val="14"/>
                <w:szCs w:val="14"/>
                <w:color w:val="auto"/>
                <w:w w:val="97"/>
              </w:rPr>
              <w:t>Drone Docking Station and</w:t>
            </w: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Granted in U.S.</w:t>
            </w:r>
          </w:p>
        </w:tc>
        <w:tc>
          <w:tcPr>
            <w:tcW w:w="2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12/09/2034</w:t>
            </w:r>
          </w:p>
        </w:tc>
      </w:tr>
      <w:tr>
        <w:trPr>
          <w:trHeight w:val="177"/>
        </w:trPr>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Delivery System</w:t>
            </w:r>
          </w:p>
        </w:tc>
        <w:tc>
          <w:tcPr>
            <w:tcW w:w="17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w w:val="97"/>
              </w:rPr>
              <w:t>12/12/2017</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5"/>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52"/>
        </w:trPr>
        <w:tc>
          <w:tcPr>
            <w:tcW w:w="800" w:type="dxa"/>
            <w:vAlign w:val="bottom"/>
            <w:shd w:val="clear" w:color="auto" w:fill="CCEEFF"/>
          </w:tcPr>
          <w:p>
            <w:pPr>
              <w:jc w:val="center"/>
              <w:ind w:right="151"/>
              <w:spacing w:after="0" w:line="152" w:lineRule="exact"/>
              <w:rPr>
                <w:sz w:val="20"/>
                <w:szCs w:val="20"/>
                <w:color w:val="auto"/>
              </w:rPr>
            </w:pPr>
            <w:r>
              <w:rPr>
                <w:rFonts w:ascii="Times New Roman" w:cs="Times New Roman" w:eastAsia="Times New Roman" w:hAnsi="Times New Roman"/>
                <w:sz w:val="14"/>
                <w:szCs w:val="14"/>
                <w:b w:val="1"/>
                <w:bCs w:val="1"/>
                <w:color w:val="auto"/>
                <w:w w:val="95"/>
              </w:rPr>
              <w:t>DD2</w:t>
            </w:r>
          </w:p>
        </w:tc>
        <w:tc>
          <w:tcPr>
            <w:tcW w:w="136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4"/>
                <w:szCs w:val="14"/>
                <w:color w:val="auto"/>
                <w:w w:val="96"/>
              </w:rPr>
              <w:t>U.S.</w:t>
            </w:r>
          </w:p>
        </w:tc>
        <w:tc>
          <w:tcPr>
            <w:tcW w:w="90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15/328,027</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11/21/2015</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8"/>
              </w:rPr>
              <w:t>10,457,421</w:t>
            </w: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ind w:left="71"/>
              <w:spacing w:after="0" w:line="152" w:lineRule="exact"/>
              <w:rPr>
                <w:sz w:val="20"/>
                <w:szCs w:val="20"/>
                <w:color w:val="auto"/>
              </w:rPr>
            </w:pPr>
            <w:r>
              <w:rPr>
                <w:rFonts w:ascii="Times New Roman" w:cs="Times New Roman" w:eastAsia="Times New Roman" w:hAnsi="Times New Roman"/>
                <w:sz w:val="14"/>
                <w:szCs w:val="14"/>
                <w:color w:val="auto"/>
                <w:w w:val="97"/>
              </w:rPr>
              <w:t>Drone Docking Station and</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center"/>
              <w:ind w:right="220"/>
              <w:spacing w:after="0" w:line="152" w:lineRule="exact"/>
              <w:rPr>
                <w:sz w:val="20"/>
                <w:szCs w:val="20"/>
                <w:color w:val="auto"/>
              </w:rPr>
            </w:pPr>
            <w:r>
              <w:rPr>
                <w:rFonts w:ascii="Times New Roman" w:cs="Times New Roman" w:eastAsia="Times New Roman" w:hAnsi="Times New Roman"/>
                <w:sz w:val="14"/>
                <w:szCs w:val="14"/>
                <w:color w:val="auto"/>
                <w:w w:val="97"/>
              </w:rPr>
              <w:t>Granted in U.S.</w:t>
            </w:r>
          </w:p>
        </w:tc>
        <w:tc>
          <w:tcPr>
            <w:tcW w:w="13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11/21/2035</w:t>
            </w:r>
          </w:p>
        </w:tc>
      </w:tr>
      <w:tr>
        <w:trPr>
          <w:trHeight w:val="177"/>
        </w:trPr>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Delivery System</w:t>
            </w:r>
          </w:p>
        </w:tc>
        <w:tc>
          <w:tcPr>
            <w:tcW w:w="17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w w:val="97"/>
              </w:rPr>
              <w:t>10/29/2019</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5"/>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52"/>
        </w:trPr>
        <w:tc>
          <w:tcPr>
            <w:tcW w:w="800" w:type="dxa"/>
            <w:vAlign w:val="bottom"/>
            <w:shd w:val="clear" w:color="auto" w:fill="CCEEFF"/>
          </w:tcPr>
          <w:p>
            <w:pPr>
              <w:jc w:val="center"/>
              <w:ind w:right="151"/>
              <w:spacing w:after="0" w:line="152" w:lineRule="exact"/>
              <w:rPr>
                <w:sz w:val="20"/>
                <w:szCs w:val="20"/>
                <w:color w:val="auto"/>
              </w:rPr>
            </w:pPr>
            <w:r>
              <w:rPr>
                <w:rFonts w:ascii="Times New Roman" w:cs="Times New Roman" w:eastAsia="Times New Roman" w:hAnsi="Times New Roman"/>
                <w:sz w:val="14"/>
                <w:szCs w:val="14"/>
                <w:b w:val="1"/>
                <w:bCs w:val="1"/>
                <w:color w:val="auto"/>
                <w:w w:val="95"/>
              </w:rPr>
              <w:t>DD3</w:t>
            </w:r>
          </w:p>
        </w:tc>
        <w:tc>
          <w:tcPr>
            <w:tcW w:w="136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4"/>
                <w:szCs w:val="14"/>
                <w:color w:val="auto"/>
                <w:w w:val="96"/>
              </w:rPr>
              <w:t>U.S.</w:t>
            </w:r>
          </w:p>
        </w:tc>
        <w:tc>
          <w:tcPr>
            <w:tcW w:w="90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6"/>
              </w:rPr>
              <w:t>17233624</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04/19/2021</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5"/>
              </w:rPr>
              <w:t>11,738,883</w:t>
            </w: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ind w:left="71"/>
              <w:spacing w:after="0" w:line="152" w:lineRule="exact"/>
              <w:rPr>
                <w:sz w:val="20"/>
                <w:szCs w:val="20"/>
                <w:color w:val="auto"/>
              </w:rPr>
            </w:pPr>
            <w:r>
              <w:rPr>
                <w:rFonts w:ascii="Times New Roman" w:cs="Times New Roman" w:eastAsia="Times New Roman" w:hAnsi="Times New Roman"/>
                <w:sz w:val="14"/>
                <w:szCs w:val="14"/>
                <w:color w:val="auto"/>
                <w:w w:val="97"/>
              </w:rPr>
              <w:t>Expanding Floor/Accordion</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center"/>
              <w:ind w:right="220"/>
              <w:spacing w:after="0" w:line="152" w:lineRule="exact"/>
              <w:rPr>
                <w:sz w:val="20"/>
                <w:szCs w:val="20"/>
                <w:color w:val="auto"/>
              </w:rPr>
            </w:pPr>
            <w:r>
              <w:rPr>
                <w:rFonts w:ascii="Times New Roman" w:cs="Times New Roman" w:eastAsia="Times New Roman" w:hAnsi="Times New Roman"/>
                <w:sz w:val="14"/>
                <w:szCs w:val="14"/>
                <w:color w:val="auto"/>
                <w:w w:val="97"/>
              </w:rPr>
              <w:t>Granted in U.S.</w:t>
            </w:r>
          </w:p>
        </w:tc>
        <w:tc>
          <w:tcPr>
            <w:tcW w:w="13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04/19/2040</w:t>
            </w:r>
          </w:p>
        </w:tc>
      </w:tr>
      <w:tr>
        <w:trPr>
          <w:trHeight w:val="177"/>
        </w:trPr>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drone docking station</w:t>
            </w:r>
          </w:p>
        </w:tc>
        <w:tc>
          <w:tcPr>
            <w:tcW w:w="17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w w:val="97"/>
              </w:rPr>
              <w:t>08/29/2023</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5"/>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52"/>
        </w:trPr>
        <w:tc>
          <w:tcPr>
            <w:tcW w:w="800" w:type="dxa"/>
            <w:vAlign w:val="bottom"/>
            <w:shd w:val="clear" w:color="auto" w:fill="CCEEFF"/>
          </w:tcPr>
          <w:p>
            <w:pPr>
              <w:jc w:val="center"/>
              <w:ind w:right="171"/>
              <w:spacing w:after="0" w:line="152" w:lineRule="exact"/>
              <w:rPr>
                <w:sz w:val="20"/>
                <w:szCs w:val="20"/>
                <w:color w:val="auto"/>
              </w:rPr>
            </w:pPr>
            <w:r>
              <w:rPr>
                <w:rFonts w:ascii="Times New Roman" w:cs="Times New Roman" w:eastAsia="Times New Roman" w:hAnsi="Times New Roman"/>
                <w:sz w:val="14"/>
                <w:szCs w:val="14"/>
                <w:b w:val="1"/>
                <w:bCs w:val="1"/>
                <w:color w:val="auto"/>
                <w:w w:val="96"/>
              </w:rPr>
              <w:t>DD3A</w:t>
            </w:r>
          </w:p>
        </w:tc>
        <w:tc>
          <w:tcPr>
            <w:tcW w:w="136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4"/>
                <w:szCs w:val="14"/>
                <w:color w:val="auto"/>
              </w:rPr>
              <w:t>International</w:t>
            </w:r>
          </w:p>
        </w:tc>
        <w:tc>
          <w:tcPr>
            <w:tcW w:w="112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4"/>
                <w:szCs w:val="14"/>
                <w:color w:val="auto"/>
                <w:w w:val="97"/>
              </w:rPr>
              <w:t>PCT/US21/</w:t>
            </w:r>
          </w:p>
        </w:tc>
        <w:tc>
          <w:tcPr>
            <w:tcW w:w="11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04/19/2021</w:t>
            </w: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4"/>
                <w:szCs w:val="14"/>
                <w:color w:val="auto"/>
                <w:w w:val="98"/>
              </w:rPr>
              <w:t>WO 2021 -</w:t>
            </w:r>
          </w:p>
        </w:tc>
        <w:tc>
          <w:tcPr>
            <w:tcW w:w="1680" w:type="dxa"/>
            <w:vAlign w:val="bottom"/>
            <w:shd w:val="clear" w:color="auto" w:fill="CCEEFF"/>
          </w:tcPr>
          <w:p>
            <w:pPr>
              <w:jc w:val="center"/>
              <w:ind w:left="71"/>
              <w:spacing w:after="0" w:line="152" w:lineRule="exact"/>
              <w:rPr>
                <w:sz w:val="20"/>
                <w:szCs w:val="20"/>
                <w:color w:val="auto"/>
              </w:rPr>
            </w:pPr>
            <w:r>
              <w:rPr>
                <w:rFonts w:ascii="Times New Roman" w:cs="Times New Roman" w:eastAsia="Times New Roman" w:hAnsi="Times New Roman"/>
                <w:sz w:val="14"/>
                <w:szCs w:val="14"/>
                <w:color w:val="auto"/>
                <w:w w:val="97"/>
              </w:rPr>
              <w:t>Expanding Floor/Accordion</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center"/>
              <w:ind w:right="220"/>
              <w:spacing w:after="0" w:line="152" w:lineRule="exact"/>
              <w:rPr>
                <w:sz w:val="20"/>
                <w:szCs w:val="20"/>
                <w:color w:val="auto"/>
              </w:rPr>
            </w:pPr>
            <w:r>
              <w:rPr>
                <w:rFonts w:ascii="Times New Roman" w:cs="Times New Roman" w:eastAsia="Times New Roman" w:hAnsi="Times New Roman"/>
                <w:sz w:val="14"/>
                <w:szCs w:val="14"/>
                <w:color w:val="auto"/>
                <w:w w:val="98"/>
              </w:rPr>
              <w:t>Pending Internationally</w:t>
            </w:r>
          </w:p>
        </w:tc>
        <w:tc>
          <w:tcPr>
            <w:tcW w:w="13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04/19/2040</w:t>
            </w:r>
          </w:p>
        </w:tc>
      </w:tr>
      <w:tr>
        <w:trPr>
          <w:trHeight w:val="165"/>
        </w:trPr>
        <w:tc>
          <w:tcPr>
            <w:tcW w:w="8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6"/>
              </w:rPr>
              <w:t>22 countries plus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27879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216397</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drone docking station</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Ready for National</w:t>
            </w:r>
          </w:p>
        </w:tc>
        <w:tc>
          <w:tcPr>
            <w:tcW w:w="1340" w:type="dxa"/>
            <w:vAlign w:val="bottom"/>
            <w:shd w:val="clear" w:color="auto" w:fill="CCEEFF"/>
          </w:tcPr>
          <w:p>
            <w:pPr>
              <w:spacing w:after="0"/>
              <w:rPr>
                <w:sz w:val="14"/>
                <w:szCs w:val="14"/>
                <w:color w:val="auto"/>
              </w:rPr>
            </w:pPr>
          </w:p>
        </w:tc>
      </w:tr>
      <w:tr>
        <w:trPr>
          <w:trHeight w:val="177"/>
        </w:trPr>
        <w:tc>
          <w:tcPr>
            <w:tcW w:w="8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the EU</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6"/>
              </w:rPr>
              <w:t>stage - 23 countries</w:t>
            </w:r>
          </w:p>
        </w:tc>
        <w:tc>
          <w:tcPr>
            <w:tcW w:w="1340" w:type="dxa"/>
            <w:vAlign w:val="bottom"/>
            <w:shd w:val="clear" w:color="auto" w:fill="CCEEFF"/>
          </w:tcPr>
          <w:p>
            <w:pPr>
              <w:spacing w:after="0"/>
              <w:rPr>
                <w:sz w:val="15"/>
                <w:szCs w:val="15"/>
                <w:color w:val="auto"/>
              </w:rPr>
            </w:pPr>
          </w:p>
        </w:tc>
      </w:tr>
      <w:tr>
        <w:trPr>
          <w:trHeight w:val="329"/>
        </w:trPr>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9" w:right="3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5"/>
              </w:rPr>
              <w:t>DD4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U.S.</w:t>
            </w:r>
          </w:p>
        </w:tc>
        <w:tc>
          <w:tcPr>
            <w:tcW w:w="11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6"/>
              </w:rPr>
              <w:t>17233635</w:t>
            </w:r>
          </w:p>
        </w:tc>
        <w:tc>
          <w:tcPr>
            <w:tcW w:w="12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04/19/2021</w:t>
            </w:r>
          </w:p>
        </w:tc>
        <w:tc>
          <w:tcPr>
            <w:tcW w:w="16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8"/>
              </w:rPr>
              <w:t>12,304,671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Hot and Cold Section drone</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7"/>
              </w:rPr>
              <w:t>Granted in U.S.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04/19/2040</w:t>
            </w: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docking station Temperature</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7"/>
              </w:rPr>
              <w:t>05/20/2025</w:t>
            </w:r>
          </w:p>
        </w:tc>
        <w:tc>
          <w:tcPr>
            <w:tcW w:w="1280" w:type="dxa"/>
            <w:vAlign w:val="bottom"/>
            <w:shd w:val="clear" w:color="auto" w:fill="CCEEFF"/>
          </w:tcPr>
          <w:p>
            <w:pPr>
              <w:spacing w:after="0"/>
              <w:rPr>
                <w:sz w:val="14"/>
                <w:szCs w:val="14"/>
                <w:color w:val="auto"/>
              </w:rPr>
            </w:pPr>
          </w:p>
        </w:tc>
      </w:tr>
      <w:tr>
        <w:trPr>
          <w:trHeight w:val="177"/>
        </w:trPr>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Controlled Device</w:t>
            </w:r>
          </w:p>
        </w:tc>
        <w:tc>
          <w:tcPr>
            <w:tcW w:w="1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5"/>
        </w:trPr>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2"/>
        </w:trPr>
        <w:tc>
          <w:tcPr>
            <w:tcW w:w="680" w:type="dxa"/>
            <w:vAlign w:val="bottom"/>
            <w:shd w:val="clear" w:color="auto" w:fill="CCEEFF"/>
          </w:tcPr>
          <w:p>
            <w:pPr>
              <w:jc w:val="center"/>
              <w:ind w:right="51"/>
              <w:spacing w:after="0" w:line="152" w:lineRule="exact"/>
              <w:rPr>
                <w:sz w:val="20"/>
                <w:szCs w:val="20"/>
                <w:color w:val="auto"/>
              </w:rPr>
            </w:pPr>
            <w:r>
              <w:rPr>
                <w:rFonts w:ascii="Times New Roman" w:cs="Times New Roman" w:eastAsia="Times New Roman" w:hAnsi="Times New Roman"/>
                <w:sz w:val="14"/>
                <w:szCs w:val="14"/>
                <w:b w:val="1"/>
                <w:bCs w:val="1"/>
                <w:color w:val="auto"/>
                <w:w w:val="96"/>
              </w:rPr>
              <w:t>DD4A</w:t>
            </w:r>
          </w:p>
        </w:tc>
        <w:tc>
          <w:tcPr>
            <w:tcW w:w="13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International</w:t>
            </w:r>
          </w:p>
        </w:tc>
        <w:tc>
          <w:tcPr>
            <w:tcW w:w="1180" w:type="dxa"/>
            <w:vAlign w:val="bottom"/>
            <w:shd w:val="clear" w:color="auto" w:fill="CCEEFF"/>
          </w:tcPr>
          <w:p>
            <w:pPr>
              <w:jc w:val="center"/>
              <w:ind w:right="31"/>
              <w:spacing w:after="0" w:line="152" w:lineRule="exact"/>
              <w:rPr>
                <w:sz w:val="20"/>
                <w:szCs w:val="20"/>
                <w:color w:val="auto"/>
              </w:rPr>
            </w:pPr>
            <w:r>
              <w:rPr>
                <w:rFonts w:ascii="Times New Roman" w:cs="Times New Roman" w:eastAsia="Times New Roman" w:hAnsi="Times New Roman"/>
                <w:sz w:val="14"/>
                <w:szCs w:val="14"/>
                <w:color w:val="auto"/>
                <w:w w:val="97"/>
              </w:rPr>
              <w:t>PCT/US21/</w:t>
            </w:r>
          </w:p>
        </w:tc>
        <w:tc>
          <w:tcPr>
            <w:tcW w:w="1240" w:type="dxa"/>
            <w:vAlign w:val="bottom"/>
            <w:shd w:val="clear" w:color="auto" w:fill="CCEEFF"/>
          </w:tcPr>
          <w:p>
            <w:pPr>
              <w:jc w:val="right"/>
              <w:ind w:right="251"/>
              <w:spacing w:after="0" w:line="152" w:lineRule="exact"/>
              <w:rPr>
                <w:sz w:val="20"/>
                <w:szCs w:val="20"/>
                <w:color w:val="auto"/>
              </w:rPr>
            </w:pPr>
            <w:r>
              <w:rPr>
                <w:rFonts w:ascii="Times New Roman" w:cs="Times New Roman" w:eastAsia="Times New Roman" w:hAnsi="Times New Roman"/>
                <w:sz w:val="14"/>
                <w:szCs w:val="14"/>
                <w:color w:val="auto"/>
              </w:rPr>
              <w:t>04/19/2021</w:t>
            </w:r>
          </w:p>
        </w:tc>
        <w:tc>
          <w:tcPr>
            <w:tcW w:w="168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8"/>
              </w:rPr>
              <w:t>WO2021 - 216407A1</w:t>
            </w:r>
          </w:p>
        </w:tc>
        <w:tc>
          <w:tcPr>
            <w:tcW w:w="21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Hot and Cold Section drone</w:t>
            </w:r>
          </w:p>
        </w:tc>
        <w:tc>
          <w:tcPr>
            <w:tcW w:w="1720" w:type="dxa"/>
            <w:vAlign w:val="bottom"/>
            <w:shd w:val="clear" w:color="auto" w:fill="CCEEFF"/>
          </w:tcPr>
          <w:p>
            <w:pPr>
              <w:jc w:val="center"/>
              <w:ind w:right="111"/>
              <w:spacing w:after="0" w:line="152" w:lineRule="exact"/>
              <w:rPr>
                <w:sz w:val="20"/>
                <w:szCs w:val="20"/>
                <w:color w:val="auto"/>
              </w:rPr>
            </w:pPr>
            <w:r>
              <w:rPr>
                <w:rFonts w:ascii="Times New Roman" w:cs="Times New Roman" w:eastAsia="Times New Roman" w:hAnsi="Times New Roman"/>
                <w:sz w:val="14"/>
                <w:szCs w:val="14"/>
                <w:color w:val="auto"/>
                <w:w w:val="98"/>
              </w:rPr>
              <w:t>Pending Internationally</w:t>
            </w:r>
          </w:p>
        </w:tc>
        <w:tc>
          <w:tcPr>
            <w:tcW w:w="1280" w:type="dxa"/>
            <w:vAlign w:val="bottom"/>
            <w:shd w:val="clear" w:color="auto" w:fill="CCEEFF"/>
          </w:tcPr>
          <w:p>
            <w:pPr>
              <w:ind w:left="300"/>
              <w:spacing w:after="0" w:line="152" w:lineRule="exact"/>
              <w:rPr>
                <w:sz w:val="20"/>
                <w:szCs w:val="20"/>
                <w:color w:val="auto"/>
              </w:rPr>
            </w:pPr>
            <w:r>
              <w:rPr>
                <w:rFonts w:ascii="Times New Roman" w:cs="Times New Roman" w:eastAsia="Times New Roman" w:hAnsi="Times New Roman"/>
                <w:sz w:val="14"/>
                <w:szCs w:val="14"/>
                <w:color w:val="auto"/>
              </w:rPr>
              <w:t>04/19/2040</w:t>
            </w: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22 countries plus</w:t>
            </w:r>
          </w:p>
        </w:tc>
        <w:tc>
          <w:tcPr>
            <w:tcW w:w="11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7"/>
              </w:rPr>
              <w:t>27895</w:t>
            </w: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docking station Temperature</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8"/>
              </w:rPr>
              <w:t>Ready for National</w:t>
            </w:r>
          </w:p>
        </w:tc>
        <w:tc>
          <w:tcPr>
            <w:tcW w:w="1280" w:type="dxa"/>
            <w:vAlign w:val="bottom"/>
            <w:shd w:val="clear" w:color="auto" w:fill="CCEEFF"/>
          </w:tcPr>
          <w:p>
            <w:pPr>
              <w:spacing w:after="0"/>
              <w:rPr>
                <w:sz w:val="14"/>
                <w:szCs w:val="14"/>
                <w:color w:val="auto"/>
              </w:rPr>
            </w:pPr>
          </w:p>
        </w:tc>
      </w:tr>
      <w:tr>
        <w:trPr>
          <w:trHeight w:val="177"/>
        </w:trPr>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the EU</w:t>
            </w: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Controlled Device</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6"/>
              </w:rPr>
              <w:t>stage - 23 countries</w:t>
            </w:r>
          </w:p>
        </w:tc>
        <w:tc>
          <w:tcPr>
            <w:tcW w:w="1280" w:type="dxa"/>
            <w:vAlign w:val="bottom"/>
            <w:shd w:val="clear" w:color="auto" w:fill="CCEEFF"/>
          </w:tcPr>
          <w:p>
            <w:pPr>
              <w:spacing w:after="0"/>
              <w:rPr>
                <w:sz w:val="15"/>
                <w:szCs w:val="15"/>
                <w:color w:val="auto"/>
              </w:rPr>
            </w:pPr>
          </w:p>
        </w:tc>
      </w:tr>
      <w:tr>
        <w:trPr>
          <w:trHeight w:val="165"/>
        </w:trPr>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2"/>
        </w:trPr>
        <w:tc>
          <w:tcPr>
            <w:tcW w:w="680" w:type="dxa"/>
            <w:vAlign w:val="bottom"/>
            <w:shd w:val="clear" w:color="auto" w:fill="CCEEFF"/>
          </w:tcPr>
          <w:p>
            <w:pPr>
              <w:jc w:val="center"/>
              <w:ind w:right="51"/>
              <w:spacing w:after="0" w:line="152" w:lineRule="exact"/>
              <w:rPr>
                <w:sz w:val="20"/>
                <w:szCs w:val="20"/>
                <w:color w:val="auto"/>
              </w:rPr>
            </w:pPr>
            <w:r>
              <w:rPr>
                <w:rFonts w:ascii="Times New Roman" w:cs="Times New Roman" w:eastAsia="Times New Roman" w:hAnsi="Times New Roman"/>
                <w:sz w:val="14"/>
                <w:szCs w:val="14"/>
                <w:b w:val="1"/>
                <w:bCs w:val="1"/>
                <w:color w:val="auto"/>
                <w:w w:val="98"/>
              </w:rPr>
              <w:t>DD4B</w:t>
            </w:r>
          </w:p>
        </w:tc>
        <w:tc>
          <w:tcPr>
            <w:tcW w:w="13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6"/>
              </w:rPr>
              <w:t>U.S.</w:t>
            </w:r>
          </w:p>
        </w:tc>
        <w:tc>
          <w:tcPr>
            <w:tcW w:w="1180" w:type="dxa"/>
            <w:vAlign w:val="bottom"/>
            <w:shd w:val="clear" w:color="auto" w:fill="CCEEFF"/>
          </w:tcPr>
          <w:p>
            <w:pPr>
              <w:jc w:val="center"/>
              <w:ind w:right="11"/>
              <w:spacing w:after="0" w:line="152" w:lineRule="exact"/>
              <w:rPr>
                <w:sz w:val="20"/>
                <w:szCs w:val="20"/>
                <w:color w:val="auto"/>
              </w:rPr>
            </w:pPr>
            <w:r>
              <w:rPr>
                <w:rFonts w:ascii="Times New Roman" w:cs="Times New Roman" w:eastAsia="Times New Roman" w:hAnsi="Times New Roman"/>
                <w:sz w:val="14"/>
                <w:szCs w:val="14"/>
                <w:color w:val="auto"/>
                <w:w w:val="97"/>
              </w:rPr>
              <w:t>19/173,731</w:t>
            </w:r>
          </w:p>
        </w:tc>
        <w:tc>
          <w:tcPr>
            <w:tcW w:w="1240" w:type="dxa"/>
            <w:vAlign w:val="bottom"/>
            <w:shd w:val="clear" w:color="auto" w:fill="CCEEFF"/>
          </w:tcPr>
          <w:p>
            <w:pPr>
              <w:jc w:val="right"/>
              <w:ind w:right="251"/>
              <w:spacing w:after="0" w:line="152" w:lineRule="exact"/>
              <w:rPr>
                <w:sz w:val="20"/>
                <w:szCs w:val="20"/>
                <w:color w:val="auto"/>
              </w:rPr>
            </w:pPr>
            <w:r>
              <w:rPr>
                <w:rFonts w:ascii="Times New Roman" w:cs="Times New Roman" w:eastAsia="Times New Roman" w:hAnsi="Times New Roman"/>
                <w:sz w:val="14"/>
                <w:szCs w:val="14"/>
                <w:color w:val="auto"/>
              </w:rPr>
              <w:t>07/25/2023</w:t>
            </w:r>
          </w:p>
        </w:tc>
        <w:tc>
          <w:tcPr>
            <w:tcW w:w="1680" w:type="dxa"/>
            <w:vAlign w:val="bottom"/>
            <w:shd w:val="clear" w:color="auto" w:fill="CCEEFF"/>
          </w:tcPr>
          <w:p>
            <w:pPr>
              <w:jc w:val="right"/>
              <w:ind w:right="211"/>
              <w:spacing w:after="0" w:line="152" w:lineRule="exact"/>
              <w:rPr>
                <w:sz w:val="20"/>
                <w:szCs w:val="20"/>
                <w:color w:val="auto"/>
              </w:rPr>
            </w:pPr>
            <w:r>
              <w:rPr>
                <w:rFonts w:ascii="Times New Roman" w:cs="Times New Roman" w:eastAsia="Times New Roman" w:hAnsi="Times New Roman"/>
                <w:sz w:val="14"/>
                <w:szCs w:val="14"/>
                <w:color w:val="auto"/>
              </w:rPr>
              <w:t>US 2025-0325133</w:t>
            </w:r>
          </w:p>
        </w:tc>
        <w:tc>
          <w:tcPr>
            <w:tcW w:w="21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CIP Hot and Cold Section Drone</w:t>
            </w:r>
          </w:p>
        </w:tc>
        <w:tc>
          <w:tcPr>
            <w:tcW w:w="1720" w:type="dxa"/>
            <w:vAlign w:val="bottom"/>
            <w:shd w:val="clear" w:color="auto" w:fill="CCEEFF"/>
          </w:tcPr>
          <w:p>
            <w:pPr>
              <w:jc w:val="center"/>
              <w:ind w:right="111"/>
              <w:spacing w:after="0" w:line="152" w:lineRule="exact"/>
              <w:rPr>
                <w:sz w:val="20"/>
                <w:szCs w:val="20"/>
                <w:color w:val="auto"/>
              </w:rPr>
            </w:pPr>
            <w:r>
              <w:rPr>
                <w:rFonts w:ascii="Times New Roman" w:cs="Times New Roman" w:eastAsia="Times New Roman" w:hAnsi="Times New Roman"/>
                <w:sz w:val="14"/>
                <w:szCs w:val="14"/>
                <w:color w:val="auto"/>
                <w:w w:val="96"/>
              </w:rPr>
              <w:t>Pending in U.S.</w:t>
            </w:r>
          </w:p>
        </w:tc>
        <w:tc>
          <w:tcPr>
            <w:tcW w:w="1280" w:type="dxa"/>
            <w:vAlign w:val="bottom"/>
            <w:shd w:val="clear" w:color="auto" w:fill="CCEEFF"/>
          </w:tcPr>
          <w:p>
            <w:pPr>
              <w:ind w:left="300"/>
              <w:spacing w:after="0" w:line="152" w:lineRule="exact"/>
              <w:rPr>
                <w:sz w:val="20"/>
                <w:szCs w:val="20"/>
                <w:color w:val="auto"/>
              </w:rPr>
            </w:pPr>
            <w:r>
              <w:rPr>
                <w:rFonts w:ascii="Times New Roman" w:cs="Times New Roman" w:eastAsia="Times New Roman" w:hAnsi="Times New Roman"/>
                <w:sz w:val="14"/>
                <w:szCs w:val="14"/>
                <w:color w:val="auto"/>
              </w:rPr>
              <w:t>07/25/2043</w:t>
            </w: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Docking Station Temperature</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7"/>
        </w:trPr>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Controlled Device</w:t>
            </w:r>
          </w:p>
        </w:tc>
        <w:tc>
          <w:tcPr>
            <w:tcW w:w="1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5"/>
        </w:trPr>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2"/>
        </w:trPr>
        <w:tc>
          <w:tcPr>
            <w:tcW w:w="680" w:type="dxa"/>
            <w:vAlign w:val="bottom"/>
            <w:shd w:val="clear" w:color="auto" w:fill="CCEEFF"/>
          </w:tcPr>
          <w:p>
            <w:pPr>
              <w:jc w:val="center"/>
              <w:ind w:right="31"/>
              <w:spacing w:after="0" w:line="152" w:lineRule="exact"/>
              <w:rPr>
                <w:sz w:val="20"/>
                <w:szCs w:val="20"/>
                <w:color w:val="auto"/>
              </w:rPr>
            </w:pPr>
            <w:r>
              <w:rPr>
                <w:rFonts w:ascii="Times New Roman" w:cs="Times New Roman" w:eastAsia="Times New Roman" w:hAnsi="Times New Roman"/>
                <w:sz w:val="14"/>
                <w:szCs w:val="14"/>
                <w:b w:val="1"/>
                <w:bCs w:val="1"/>
                <w:color w:val="auto"/>
                <w:w w:val="95"/>
              </w:rPr>
              <w:t>DD5</w:t>
            </w:r>
          </w:p>
        </w:tc>
        <w:tc>
          <w:tcPr>
            <w:tcW w:w="13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6"/>
              </w:rPr>
              <w:t>U.S.</w:t>
            </w:r>
          </w:p>
        </w:tc>
        <w:tc>
          <w:tcPr>
            <w:tcW w:w="1180" w:type="dxa"/>
            <w:vAlign w:val="bottom"/>
            <w:shd w:val="clear" w:color="auto" w:fill="CCEEFF"/>
          </w:tcPr>
          <w:p>
            <w:pPr>
              <w:jc w:val="center"/>
              <w:ind w:right="11"/>
              <w:spacing w:after="0" w:line="152" w:lineRule="exact"/>
              <w:rPr>
                <w:sz w:val="20"/>
                <w:szCs w:val="20"/>
                <w:color w:val="auto"/>
              </w:rPr>
            </w:pPr>
            <w:r>
              <w:rPr>
                <w:rFonts w:ascii="Times New Roman" w:cs="Times New Roman" w:eastAsia="Times New Roman" w:hAnsi="Times New Roman"/>
                <w:sz w:val="14"/>
                <w:szCs w:val="14"/>
                <w:color w:val="auto"/>
                <w:w w:val="96"/>
              </w:rPr>
              <w:t>18208803</w:t>
            </w:r>
          </w:p>
        </w:tc>
        <w:tc>
          <w:tcPr>
            <w:tcW w:w="1240" w:type="dxa"/>
            <w:vAlign w:val="bottom"/>
            <w:shd w:val="clear" w:color="auto" w:fill="CCEEFF"/>
          </w:tcPr>
          <w:p>
            <w:pPr>
              <w:jc w:val="right"/>
              <w:ind w:right="251"/>
              <w:spacing w:after="0" w:line="152" w:lineRule="exact"/>
              <w:rPr>
                <w:sz w:val="20"/>
                <w:szCs w:val="20"/>
                <w:color w:val="auto"/>
              </w:rPr>
            </w:pPr>
            <w:r>
              <w:rPr>
                <w:rFonts w:ascii="Times New Roman" w:cs="Times New Roman" w:eastAsia="Times New Roman" w:hAnsi="Times New Roman"/>
                <w:sz w:val="14"/>
                <w:szCs w:val="14"/>
                <w:color w:val="auto"/>
              </w:rPr>
              <w:t>06/12/2023</w:t>
            </w:r>
          </w:p>
        </w:tc>
        <w:tc>
          <w:tcPr>
            <w:tcW w:w="1680" w:type="dxa"/>
            <w:vAlign w:val="bottom"/>
            <w:shd w:val="clear" w:color="auto" w:fill="CCEEFF"/>
          </w:tcPr>
          <w:p>
            <w:pPr>
              <w:jc w:val="center"/>
              <w:ind w:left="31"/>
              <w:spacing w:after="0" w:line="152" w:lineRule="exact"/>
              <w:rPr>
                <w:sz w:val="20"/>
                <w:szCs w:val="20"/>
                <w:color w:val="auto"/>
              </w:rPr>
            </w:pPr>
            <w:r>
              <w:rPr>
                <w:rFonts w:ascii="Times New Roman" w:cs="Times New Roman" w:eastAsia="Times New Roman" w:hAnsi="Times New Roman"/>
                <w:sz w:val="14"/>
                <w:szCs w:val="14"/>
                <w:color w:val="auto"/>
                <w:w w:val="98"/>
              </w:rPr>
              <w:t>12,591,840</w:t>
            </w:r>
          </w:p>
        </w:tc>
        <w:tc>
          <w:tcPr>
            <w:tcW w:w="21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CIP Device and system for an</w:t>
            </w:r>
          </w:p>
        </w:tc>
        <w:tc>
          <w:tcPr>
            <w:tcW w:w="1720" w:type="dxa"/>
            <w:vAlign w:val="bottom"/>
            <w:shd w:val="clear" w:color="auto" w:fill="CCEEFF"/>
          </w:tcPr>
          <w:p>
            <w:pPr>
              <w:jc w:val="center"/>
              <w:ind w:right="111"/>
              <w:spacing w:after="0" w:line="152" w:lineRule="exact"/>
              <w:rPr>
                <w:sz w:val="20"/>
                <w:szCs w:val="20"/>
                <w:color w:val="auto"/>
              </w:rPr>
            </w:pPr>
            <w:r>
              <w:rPr>
                <w:rFonts w:ascii="Times New Roman" w:cs="Times New Roman" w:eastAsia="Times New Roman" w:hAnsi="Times New Roman"/>
                <w:sz w:val="14"/>
                <w:szCs w:val="14"/>
                <w:color w:val="auto"/>
                <w:w w:val="97"/>
              </w:rPr>
              <w:t>Granted in U.S.</w:t>
            </w:r>
          </w:p>
        </w:tc>
        <w:tc>
          <w:tcPr>
            <w:tcW w:w="1280" w:type="dxa"/>
            <w:vAlign w:val="bottom"/>
            <w:shd w:val="clear" w:color="auto" w:fill="CCEEFF"/>
          </w:tcPr>
          <w:p>
            <w:pPr>
              <w:ind w:left="300"/>
              <w:spacing w:after="0" w:line="152" w:lineRule="exact"/>
              <w:rPr>
                <w:sz w:val="20"/>
                <w:szCs w:val="20"/>
                <w:color w:val="auto"/>
              </w:rPr>
            </w:pPr>
            <w:r>
              <w:rPr>
                <w:rFonts w:ascii="Times New Roman" w:cs="Times New Roman" w:eastAsia="Times New Roman" w:hAnsi="Times New Roman"/>
                <w:sz w:val="14"/>
                <w:szCs w:val="14"/>
                <w:color w:val="auto"/>
              </w:rPr>
              <w:t>11/20/2044</w:t>
            </w: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autonomous mobile robot,</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5"/>
              </w:rPr>
              <w:t>3/31/2026</w:t>
            </w: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drone, and/or courier to deliver,</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hold, protect, and return parcels</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for multi-users in both</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residential and commercial</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7"/>
        </w:trPr>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applications</w:t>
            </w:r>
          </w:p>
        </w:tc>
        <w:tc>
          <w:tcPr>
            <w:tcW w:w="1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5"/>
        </w:trPr>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2"/>
        </w:trPr>
        <w:tc>
          <w:tcPr>
            <w:tcW w:w="680" w:type="dxa"/>
            <w:vAlign w:val="bottom"/>
            <w:shd w:val="clear" w:color="auto" w:fill="CCEEFF"/>
          </w:tcPr>
          <w:p>
            <w:pPr>
              <w:jc w:val="center"/>
              <w:ind w:right="51"/>
              <w:spacing w:after="0" w:line="152" w:lineRule="exact"/>
              <w:rPr>
                <w:sz w:val="20"/>
                <w:szCs w:val="20"/>
                <w:color w:val="auto"/>
              </w:rPr>
            </w:pPr>
            <w:r>
              <w:rPr>
                <w:rFonts w:ascii="Times New Roman" w:cs="Times New Roman" w:eastAsia="Times New Roman" w:hAnsi="Times New Roman"/>
                <w:sz w:val="14"/>
                <w:szCs w:val="14"/>
                <w:b w:val="1"/>
                <w:bCs w:val="1"/>
                <w:color w:val="auto"/>
                <w:w w:val="96"/>
              </w:rPr>
              <w:t>DD5A</w:t>
            </w:r>
          </w:p>
        </w:tc>
        <w:tc>
          <w:tcPr>
            <w:tcW w:w="13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International</w:t>
            </w:r>
          </w:p>
        </w:tc>
        <w:tc>
          <w:tcPr>
            <w:tcW w:w="1180" w:type="dxa"/>
            <w:vAlign w:val="bottom"/>
            <w:shd w:val="clear" w:color="auto" w:fill="CCEEFF"/>
          </w:tcPr>
          <w:p>
            <w:pPr>
              <w:jc w:val="center"/>
              <w:ind w:right="31"/>
              <w:spacing w:after="0" w:line="152" w:lineRule="exact"/>
              <w:rPr>
                <w:sz w:val="20"/>
                <w:szCs w:val="20"/>
                <w:color w:val="auto"/>
              </w:rPr>
            </w:pPr>
            <w:r>
              <w:rPr>
                <w:rFonts w:ascii="Times New Roman" w:cs="Times New Roman" w:eastAsia="Times New Roman" w:hAnsi="Times New Roman"/>
                <w:sz w:val="14"/>
                <w:szCs w:val="14"/>
                <w:color w:val="auto"/>
                <w:w w:val="97"/>
              </w:rPr>
              <w:t>PCT/US23/</w:t>
            </w:r>
          </w:p>
        </w:tc>
        <w:tc>
          <w:tcPr>
            <w:tcW w:w="1240" w:type="dxa"/>
            <w:vAlign w:val="bottom"/>
            <w:shd w:val="clear" w:color="auto" w:fill="CCEEFF"/>
          </w:tcPr>
          <w:p>
            <w:pPr>
              <w:jc w:val="right"/>
              <w:ind w:right="251"/>
              <w:spacing w:after="0" w:line="152" w:lineRule="exact"/>
              <w:rPr>
                <w:sz w:val="20"/>
                <w:szCs w:val="20"/>
                <w:color w:val="auto"/>
              </w:rPr>
            </w:pPr>
            <w:r>
              <w:rPr>
                <w:rFonts w:ascii="Times New Roman" w:cs="Times New Roman" w:eastAsia="Times New Roman" w:hAnsi="Times New Roman"/>
                <w:sz w:val="14"/>
                <w:szCs w:val="14"/>
                <w:color w:val="auto"/>
              </w:rPr>
              <w:t>06/12/2023</w:t>
            </w:r>
          </w:p>
        </w:tc>
        <w:tc>
          <w:tcPr>
            <w:tcW w:w="168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7"/>
              </w:rPr>
              <w:t>WO2023244549A1</w:t>
            </w:r>
          </w:p>
        </w:tc>
        <w:tc>
          <w:tcPr>
            <w:tcW w:w="21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CIP Device and system for an</w:t>
            </w:r>
          </w:p>
        </w:tc>
        <w:tc>
          <w:tcPr>
            <w:tcW w:w="1720" w:type="dxa"/>
            <w:vAlign w:val="bottom"/>
            <w:shd w:val="clear" w:color="auto" w:fill="CCEEFF"/>
          </w:tcPr>
          <w:p>
            <w:pPr>
              <w:jc w:val="center"/>
              <w:ind w:right="111"/>
              <w:spacing w:after="0" w:line="152" w:lineRule="exact"/>
              <w:rPr>
                <w:sz w:val="20"/>
                <w:szCs w:val="20"/>
                <w:color w:val="auto"/>
              </w:rPr>
            </w:pPr>
            <w:r>
              <w:rPr>
                <w:rFonts w:ascii="Times New Roman" w:cs="Times New Roman" w:eastAsia="Times New Roman" w:hAnsi="Times New Roman"/>
                <w:sz w:val="14"/>
                <w:szCs w:val="14"/>
                <w:color w:val="auto"/>
                <w:w w:val="98"/>
              </w:rPr>
              <w:t>Pending Internationally</w:t>
            </w:r>
          </w:p>
        </w:tc>
        <w:tc>
          <w:tcPr>
            <w:tcW w:w="1280" w:type="dxa"/>
            <w:vAlign w:val="bottom"/>
            <w:shd w:val="clear" w:color="auto" w:fill="CCEEFF"/>
          </w:tcPr>
          <w:p>
            <w:pPr>
              <w:ind w:left="300"/>
              <w:spacing w:after="0" w:line="152" w:lineRule="exact"/>
              <w:rPr>
                <w:sz w:val="20"/>
                <w:szCs w:val="20"/>
                <w:color w:val="auto"/>
              </w:rPr>
            </w:pPr>
            <w:r>
              <w:rPr>
                <w:rFonts w:ascii="Times New Roman" w:cs="Times New Roman" w:eastAsia="Times New Roman" w:hAnsi="Times New Roman"/>
                <w:sz w:val="14"/>
                <w:szCs w:val="14"/>
                <w:color w:val="auto"/>
              </w:rPr>
              <w:t>06/12/2043</w:t>
            </w: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12 countries plus</w:t>
            </w:r>
          </w:p>
        </w:tc>
        <w:tc>
          <w:tcPr>
            <w:tcW w:w="11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7"/>
              </w:rPr>
              <w:t>25086</w:t>
            </w: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autonomous mobile robot,</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8"/>
              </w:rPr>
              <w:t>Ready for National</w:t>
            </w: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the EU</w:t>
            </w: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drone, and/or courier to deliver,</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6"/>
              </w:rPr>
              <w:t>stage - 24 countries</w:t>
            </w: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hold, protect, and return parcels</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for multi-users in both</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residential and commercial</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7"/>
        </w:trPr>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applications</w:t>
            </w:r>
          </w:p>
        </w:tc>
        <w:tc>
          <w:tcPr>
            <w:tcW w:w="1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5"/>
        </w:trPr>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2"/>
        </w:trPr>
        <w:tc>
          <w:tcPr>
            <w:tcW w:w="680" w:type="dxa"/>
            <w:vAlign w:val="bottom"/>
            <w:shd w:val="clear" w:color="auto" w:fill="CCEEFF"/>
          </w:tcPr>
          <w:p>
            <w:pPr>
              <w:jc w:val="center"/>
              <w:ind w:right="31"/>
              <w:spacing w:after="0" w:line="152" w:lineRule="exact"/>
              <w:rPr>
                <w:sz w:val="20"/>
                <w:szCs w:val="20"/>
                <w:color w:val="auto"/>
              </w:rPr>
            </w:pPr>
            <w:r>
              <w:rPr>
                <w:rFonts w:ascii="Times New Roman" w:cs="Times New Roman" w:eastAsia="Times New Roman" w:hAnsi="Times New Roman"/>
                <w:sz w:val="14"/>
                <w:szCs w:val="14"/>
                <w:b w:val="1"/>
                <w:bCs w:val="1"/>
                <w:color w:val="auto"/>
                <w:w w:val="95"/>
              </w:rPr>
              <w:t>DD6</w:t>
            </w:r>
          </w:p>
        </w:tc>
        <w:tc>
          <w:tcPr>
            <w:tcW w:w="13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6"/>
              </w:rPr>
              <w:t>U.S.</w:t>
            </w:r>
          </w:p>
        </w:tc>
        <w:tc>
          <w:tcPr>
            <w:tcW w:w="1180" w:type="dxa"/>
            <w:vAlign w:val="bottom"/>
            <w:shd w:val="clear" w:color="auto" w:fill="CCEEFF"/>
          </w:tcPr>
          <w:p>
            <w:pPr>
              <w:jc w:val="center"/>
              <w:ind w:right="11"/>
              <w:spacing w:after="0" w:line="152" w:lineRule="exact"/>
              <w:rPr>
                <w:sz w:val="20"/>
                <w:szCs w:val="20"/>
                <w:color w:val="auto"/>
              </w:rPr>
            </w:pPr>
            <w:r>
              <w:rPr>
                <w:rFonts w:ascii="Times New Roman" w:cs="Times New Roman" w:eastAsia="Times New Roman" w:hAnsi="Times New Roman"/>
                <w:sz w:val="14"/>
                <w:szCs w:val="14"/>
                <w:color w:val="auto"/>
                <w:w w:val="96"/>
              </w:rPr>
              <w:t>18226016</w:t>
            </w:r>
          </w:p>
        </w:tc>
        <w:tc>
          <w:tcPr>
            <w:tcW w:w="1240" w:type="dxa"/>
            <w:vAlign w:val="bottom"/>
            <w:shd w:val="clear" w:color="auto" w:fill="CCEEFF"/>
          </w:tcPr>
          <w:p>
            <w:pPr>
              <w:jc w:val="right"/>
              <w:ind w:right="251"/>
              <w:spacing w:after="0" w:line="152" w:lineRule="exact"/>
              <w:rPr>
                <w:sz w:val="20"/>
                <w:szCs w:val="20"/>
                <w:color w:val="auto"/>
              </w:rPr>
            </w:pPr>
            <w:r>
              <w:rPr>
                <w:rFonts w:ascii="Times New Roman" w:cs="Times New Roman" w:eastAsia="Times New Roman" w:hAnsi="Times New Roman"/>
                <w:sz w:val="14"/>
                <w:szCs w:val="14"/>
                <w:color w:val="auto"/>
              </w:rPr>
              <w:t>07/25/2023</w:t>
            </w:r>
          </w:p>
        </w:tc>
        <w:tc>
          <w:tcPr>
            <w:tcW w:w="1680" w:type="dxa"/>
            <w:vAlign w:val="bottom"/>
            <w:shd w:val="clear" w:color="auto" w:fill="CCEEFF"/>
          </w:tcPr>
          <w:p>
            <w:pPr>
              <w:jc w:val="center"/>
              <w:ind w:left="31"/>
              <w:spacing w:after="0" w:line="152" w:lineRule="exact"/>
              <w:rPr>
                <w:sz w:val="20"/>
                <w:szCs w:val="20"/>
                <w:color w:val="auto"/>
              </w:rPr>
            </w:pPr>
            <w:r>
              <w:rPr>
                <w:rFonts w:ascii="Times New Roman" w:cs="Times New Roman" w:eastAsia="Times New Roman" w:hAnsi="Times New Roman"/>
                <w:sz w:val="14"/>
                <w:szCs w:val="14"/>
                <w:color w:val="auto"/>
                <w:w w:val="98"/>
              </w:rPr>
              <w:t>12,387,072</w:t>
            </w:r>
          </w:p>
        </w:tc>
        <w:tc>
          <w:tcPr>
            <w:tcW w:w="21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8"/>
              </w:rPr>
              <w:t>CIP A Smart Mailbox receptacle</w:t>
            </w:r>
          </w:p>
        </w:tc>
        <w:tc>
          <w:tcPr>
            <w:tcW w:w="1720" w:type="dxa"/>
            <w:vAlign w:val="bottom"/>
            <w:shd w:val="clear" w:color="auto" w:fill="CCEEFF"/>
          </w:tcPr>
          <w:p>
            <w:pPr>
              <w:jc w:val="center"/>
              <w:ind w:right="111"/>
              <w:spacing w:after="0" w:line="152" w:lineRule="exact"/>
              <w:rPr>
                <w:sz w:val="20"/>
                <w:szCs w:val="20"/>
                <w:color w:val="auto"/>
              </w:rPr>
            </w:pPr>
            <w:r>
              <w:rPr>
                <w:rFonts w:ascii="Times New Roman" w:cs="Times New Roman" w:eastAsia="Times New Roman" w:hAnsi="Times New Roman"/>
                <w:sz w:val="14"/>
                <w:szCs w:val="14"/>
                <w:color w:val="auto"/>
                <w:w w:val="96"/>
              </w:rPr>
              <w:t>Granted in US</w:t>
            </w:r>
          </w:p>
        </w:tc>
        <w:tc>
          <w:tcPr>
            <w:tcW w:w="1280" w:type="dxa"/>
            <w:vAlign w:val="bottom"/>
            <w:shd w:val="clear" w:color="auto" w:fill="CCEEFF"/>
          </w:tcPr>
          <w:p>
            <w:pPr>
              <w:ind w:left="300"/>
              <w:spacing w:after="0" w:line="152" w:lineRule="exact"/>
              <w:rPr>
                <w:sz w:val="20"/>
                <w:szCs w:val="20"/>
                <w:color w:val="auto"/>
              </w:rPr>
            </w:pPr>
            <w:r>
              <w:rPr>
                <w:rFonts w:ascii="Times New Roman" w:cs="Times New Roman" w:eastAsia="Times New Roman" w:hAnsi="Times New Roman"/>
                <w:sz w:val="14"/>
                <w:szCs w:val="14"/>
                <w:color w:val="auto"/>
              </w:rPr>
              <w:t>07/25/2043</w:t>
            </w: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and platform to ship packages</w:t>
            </w:r>
          </w:p>
        </w:tc>
        <w:tc>
          <w:tcPr>
            <w:tcW w:w="17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7"/>
              </w:rPr>
              <w:t>08/12/2025</w:t>
            </w: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and goods from a Trimodal</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system</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that includes a courier service,</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0"/>
              </w:rPr>
              <w:t>an</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automated vehicle</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or robot, and/or an unmanned</w:t>
            </w:r>
          </w:p>
        </w:tc>
        <w:tc>
          <w:tcPr>
            <w:tcW w:w="1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7"/>
        </w:trPr>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drone</w:t>
            </w:r>
          </w:p>
        </w:tc>
        <w:tc>
          <w:tcPr>
            <w:tcW w:w="1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329"/>
        </w:trPr>
        <w:tc>
          <w:tcPr>
            <w:tcW w:w="6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14</w:t>
            </w:r>
          </w:p>
        </w:tc>
        <w:tc>
          <w:tcPr>
            <w:tcW w:w="2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2" w:right="31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AB1</w:t>
            </w: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U.S.</w:t>
            </w:r>
          </w:p>
        </w:tc>
        <w:tc>
          <w:tcPr>
            <w:tcW w:w="13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6"/>
              </w:rPr>
              <w:t>15018696</w:t>
            </w:r>
          </w:p>
        </w:tc>
        <w:tc>
          <w:tcPr>
            <w:tcW w:w="13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7"/>
              </w:rPr>
              <w:t>02/08/2016</w:t>
            </w:r>
          </w:p>
        </w:tc>
        <w:tc>
          <w:tcPr>
            <w:tcW w:w="15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US 10,210,475</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Air Box - Systems, devices,</w:t>
            </w:r>
          </w:p>
        </w:tc>
        <w:tc>
          <w:tcPr>
            <w:tcW w:w="15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96"/>
              </w:rPr>
              <w:t>Granted in US</w:t>
            </w:r>
          </w:p>
        </w:tc>
        <w:tc>
          <w:tcPr>
            <w:tcW w:w="14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02/08/2036</w:t>
            </w:r>
          </w:p>
        </w:tc>
      </w:tr>
      <w:tr>
        <w:trPr>
          <w:trHeight w:val="165"/>
        </w:trPr>
        <w:tc>
          <w:tcPr>
            <w:tcW w:w="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and/or methods for managing</w:t>
            </w:r>
          </w:p>
        </w:tc>
        <w:tc>
          <w:tcPr>
            <w:tcW w:w="15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95"/>
              </w:rPr>
              <w:t>1/30/2019</w:t>
            </w:r>
          </w:p>
        </w:tc>
        <w:tc>
          <w:tcPr>
            <w:tcW w:w="1400" w:type="dxa"/>
            <w:vAlign w:val="bottom"/>
            <w:shd w:val="clear" w:color="auto" w:fill="CCEEFF"/>
          </w:tcPr>
          <w:p>
            <w:pPr>
              <w:spacing w:after="0"/>
              <w:rPr>
                <w:sz w:val="14"/>
                <w:szCs w:val="14"/>
                <w:color w:val="auto"/>
              </w:rPr>
            </w:pPr>
          </w:p>
        </w:tc>
      </w:tr>
      <w:tr>
        <w:trPr>
          <w:trHeight w:val="177"/>
        </w:trPr>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drone deliveries</w:t>
            </w:r>
          </w:p>
        </w:tc>
        <w:tc>
          <w:tcPr>
            <w:tcW w:w="1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5"/>
        </w:trPr>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2"/>
        </w:trPr>
        <w:tc>
          <w:tcPr>
            <w:tcW w:w="820" w:type="dxa"/>
            <w:vAlign w:val="bottom"/>
            <w:shd w:val="clear" w:color="auto" w:fill="CCEEFF"/>
          </w:tcPr>
          <w:p>
            <w:pPr>
              <w:ind w:left="160"/>
              <w:spacing w:after="0" w:line="152" w:lineRule="exact"/>
              <w:rPr>
                <w:sz w:val="20"/>
                <w:szCs w:val="20"/>
                <w:color w:val="auto"/>
              </w:rPr>
            </w:pPr>
            <w:r>
              <w:rPr>
                <w:rFonts w:ascii="Times New Roman" w:cs="Times New Roman" w:eastAsia="Times New Roman" w:hAnsi="Times New Roman"/>
                <w:sz w:val="14"/>
                <w:szCs w:val="14"/>
                <w:b w:val="1"/>
                <w:bCs w:val="1"/>
                <w:color w:val="auto"/>
              </w:rPr>
              <w:t>AB2</w:t>
            </w:r>
          </w:p>
        </w:tc>
        <w:tc>
          <w:tcPr>
            <w:tcW w:w="1060" w:type="dxa"/>
            <w:vAlign w:val="bottom"/>
            <w:shd w:val="clear" w:color="auto" w:fill="CCEEFF"/>
          </w:tcPr>
          <w:p>
            <w:pPr>
              <w:ind w:left="420"/>
              <w:spacing w:after="0" w:line="152" w:lineRule="exact"/>
              <w:rPr>
                <w:sz w:val="20"/>
                <w:szCs w:val="20"/>
                <w:color w:val="auto"/>
              </w:rPr>
            </w:pPr>
            <w:r>
              <w:rPr>
                <w:rFonts w:ascii="Times New Roman" w:cs="Times New Roman" w:eastAsia="Times New Roman" w:hAnsi="Times New Roman"/>
                <w:sz w:val="14"/>
                <w:szCs w:val="14"/>
                <w:color w:val="auto"/>
              </w:rPr>
              <w:t>U.S.</w:t>
            </w:r>
          </w:p>
        </w:tc>
        <w:tc>
          <w:tcPr>
            <w:tcW w:w="134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6"/>
              </w:rPr>
              <w:t>16846280</w:t>
            </w:r>
          </w:p>
        </w:tc>
        <w:tc>
          <w:tcPr>
            <w:tcW w:w="1340" w:type="dxa"/>
            <w:vAlign w:val="bottom"/>
            <w:shd w:val="clear" w:color="auto" w:fill="CCEEFF"/>
          </w:tcPr>
          <w:p>
            <w:pPr>
              <w:jc w:val="center"/>
              <w:ind w:right="11"/>
              <w:spacing w:after="0" w:line="152" w:lineRule="exact"/>
              <w:rPr>
                <w:sz w:val="20"/>
                <w:szCs w:val="20"/>
                <w:color w:val="auto"/>
              </w:rPr>
            </w:pPr>
            <w:r>
              <w:rPr>
                <w:rFonts w:ascii="Times New Roman" w:cs="Times New Roman" w:eastAsia="Times New Roman" w:hAnsi="Times New Roman"/>
                <w:sz w:val="14"/>
                <w:szCs w:val="14"/>
                <w:color w:val="auto"/>
                <w:w w:val="97"/>
              </w:rPr>
              <w:t>04/11/2020</w:t>
            </w:r>
          </w:p>
        </w:tc>
        <w:tc>
          <w:tcPr>
            <w:tcW w:w="150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7"/>
              </w:rPr>
              <w:t>US 11,905,013</w:t>
            </w:r>
          </w:p>
        </w:tc>
        <w:tc>
          <w:tcPr>
            <w:tcW w:w="23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Air Box - Systems, Devices,</w:t>
            </w:r>
          </w:p>
        </w:tc>
        <w:tc>
          <w:tcPr>
            <w:tcW w:w="1500" w:type="dxa"/>
            <w:vAlign w:val="bottom"/>
            <w:shd w:val="clear" w:color="auto" w:fill="CCEEFF"/>
          </w:tcPr>
          <w:p>
            <w:pPr>
              <w:jc w:val="center"/>
              <w:ind w:right="91"/>
              <w:spacing w:after="0" w:line="152" w:lineRule="exact"/>
              <w:rPr>
                <w:sz w:val="20"/>
                <w:szCs w:val="20"/>
                <w:color w:val="auto"/>
              </w:rPr>
            </w:pPr>
            <w:r>
              <w:rPr>
                <w:rFonts w:ascii="Times New Roman" w:cs="Times New Roman" w:eastAsia="Times New Roman" w:hAnsi="Times New Roman"/>
                <w:sz w:val="14"/>
                <w:szCs w:val="14"/>
                <w:color w:val="auto"/>
                <w:w w:val="96"/>
              </w:rPr>
              <w:t>Granted in US</w:t>
            </w:r>
          </w:p>
        </w:tc>
        <w:tc>
          <w:tcPr>
            <w:tcW w:w="1400" w:type="dxa"/>
            <w:vAlign w:val="bottom"/>
            <w:shd w:val="clear" w:color="auto" w:fill="CCEEFF"/>
          </w:tcPr>
          <w:p>
            <w:pPr>
              <w:jc w:val="right"/>
              <w:ind w:right="291"/>
              <w:spacing w:after="0" w:line="152" w:lineRule="exact"/>
              <w:rPr>
                <w:sz w:val="20"/>
                <w:szCs w:val="20"/>
                <w:color w:val="auto"/>
              </w:rPr>
            </w:pPr>
            <w:r>
              <w:rPr>
                <w:rFonts w:ascii="Times New Roman" w:cs="Times New Roman" w:eastAsia="Times New Roman" w:hAnsi="Times New Roman"/>
                <w:sz w:val="14"/>
                <w:szCs w:val="14"/>
                <w:color w:val="auto"/>
              </w:rPr>
              <w:t>04/11/2040</w:t>
            </w:r>
          </w:p>
        </w:tc>
      </w:tr>
      <w:tr>
        <w:trPr>
          <w:trHeight w:val="165"/>
        </w:trPr>
        <w:tc>
          <w:tcPr>
            <w:tcW w:w="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and/or Methods for Managing</w:t>
            </w:r>
          </w:p>
        </w:tc>
        <w:tc>
          <w:tcPr>
            <w:tcW w:w="15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97"/>
              </w:rPr>
              <w:t>02/20/2024</w:t>
            </w:r>
          </w:p>
        </w:tc>
        <w:tc>
          <w:tcPr>
            <w:tcW w:w="1400" w:type="dxa"/>
            <w:vAlign w:val="bottom"/>
            <w:shd w:val="clear" w:color="auto" w:fill="CCEEFF"/>
          </w:tcPr>
          <w:p>
            <w:pPr>
              <w:spacing w:after="0"/>
              <w:rPr>
                <w:sz w:val="14"/>
                <w:szCs w:val="14"/>
                <w:color w:val="auto"/>
              </w:rPr>
            </w:pPr>
          </w:p>
        </w:tc>
      </w:tr>
      <w:tr>
        <w:trPr>
          <w:trHeight w:val="177"/>
        </w:trPr>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Drone Tethering</w:t>
            </w:r>
          </w:p>
        </w:tc>
        <w:tc>
          <w:tcPr>
            <w:tcW w:w="1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5"/>
        </w:trPr>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2"/>
        </w:trPr>
        <w:tc>
          <w:tcPr>
            <w:tcW w:w="820" w:type="dxa"/>
            <w:vAlign w:val="bottom"/>
            <w:shd w:val="clear" w:color="auto" w:fill="CCEEFF"/>
          </w:tcPr>
          <w:p>
            <w:pPr>
              <w:ind w:left="160"/>
              <w:spacing w:after="0" w:line="152" w:lineRule="exact"/>
              <w:rPr>
                <w:sz w:val="20"/>
                <w:szCs w:val="20"/>
                <w:color w:val="auto"/>
              </w:rPr>
            </w:pPr>
            <w:r>
              <w:rPr>
                <w:rFonts w:ascii="Times New Roman" w:cs="Times New Roman" w:eastAsia="Times New Roman" w:hAnsi="Times New Roman"/>
                <w:sz w:val="14"/>
                <w:szCs w:val="14"/>
                <w:b w:val="1"/>
                <w:bCs w:val="1"/>
                <w:color w:val="auto"/>
              </w:rPr>
              <w:t>AB3</w:t>
            </w:r>
          </w:p>
        </w:tc>
        <w:tc>
          <w:tcPr>
            <w:tcW w:w="1060" w:type="dxa"/>
            <w:vAlign w:val="bottom"/>
            <w:shd w:val="clear" w:color="auto" w:fill="CCEEFF"/>
          </w:tcPr>
          <w:p>
            <w:pPr>
              <w:ind w:left="420"/>
              <w:spacing w:after="0" w:line="152" w:lineRule="exact"/>
              <w:rPr>
                <w:sz w:val="20"/>
                <w:szCs w:val="20"/>
                <w:color w:val="auto"/>
              </w:rPr>
            </w:pPr>
            <w:r>
              <w:rPr>
                <w:rFonts w:ascii="Times New Roman" w:cs="Times New Roman" w:eastAsia="Times New Roman" w:hAnsi="Times New Roman"/>
                <w:sz w:val="14"/>
                <w:szCs w:val="14"/>
                <w:color w:val="auto"/>
              </w:rPr>
              <w:t>U.S.</w:t>
            </w:r>
          </w:p>
        </w:tc>
        <w:tc>
          <w:tcPr>
            <w:tcW w:w="134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7"/>
              </w:rPr>
              <w:t>18/078,985</w:t>
            </w:r>
          </w:p>
        </w:tc>
        <w:tc>
          <w:tcPr>
            <w:tcW w:w="1340" w:type="dxa"/>
            <w:vAlign w:val="bottom"/>
            <w:shd w:val="clear" w:color="auto" w:fill="CCEEFF"/>
          </w:tcPr>
          <w:p>
            <w:pPr>
              <w:jc w:val="center"/>
              <w:ind w:right="11"/>
              <w:spacing w:after="0" w:line="152" w:lineRule="exact"/>
              <w:rPr>
                <w:sz w:val="20"/>
                <w:szCs w:val="20"/>
                <w:color w:val="auto"/>
              </w:rPr>
            </w:pPr>
            <w:r>
              <w:rPr>
                <w:rFonts w:ascii="Times New Roman" w:cs="Times New Roman" w:eastAsia="Times New Roman" w:hAnsi="Times New Roman"/>
                <w:sz w:val="14"/>
                <w:szCs w:val="14"/>
                <w:color w:val="auto"/>
                <w:w w:val="97"/>
              </w:rPr>
              <w:t>12/11/2022</w:t>
            </w:r>
          </w:p>
        </w:tc>
        <w:tc>
          <w:tcPr>
            <w:tcW w:w="150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8"/>
              </w:rPr>
              <w:t>12,369,736</w:t>
            </w:r>
          </w:p>
        </w:tc>
        <w:tc>
          <w:tcPr>
            <w:tcW w:w="23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7"/>
              </w:rPr>
              <w:t>Air Box CIP - Systems, Devices,</w:t>
            </w:r>
          </w:p>
        </w:tc>
        <w:tc>
          <w:tcPr>
            <w:tcW w:w="1500" w:type="dxa"/>
            <w:vAlign w:val="bottom"/>
            <w:shd w:val="clear" w:color="auto" w:fill="CCEEFF"/>
          </w:tcPr>
          <w:p>
            <w:pPr>
              <w:jc w:val="center"/>
              <w:ind w:right="91"/>
              <w:spacing w:after="0" w:line="152" w:lineRule="exact"/>
              <w:rPr>
                <w:sz w:val="20"/>
                <w:szCs w:val="20"/>
                <w:color w:val="auto"/>
              </w:rPr>
            </w:pPr>
            <w:r>
              <w:rPr>
                <w:rFonts w:ascii="Times New Roman" w:cs="Times New Roman" w:eastAsia="Times New Roman" w:hAnsi="Times New Roman"/>
                <w:sz w:val="14"/>
                <w:szCs w:val="14"/>
                <w:color w:val="auto"/>
                <w:w w:val="96"/>
              </w:rPr>
              <w:t>Granted in US</w:t>
            </w:r>
          </w:p>
        </w:tc>
        <w:tc>
          <w:tcPr>
            <w:tcW w:w="1400" w:type="dxa"/>
            <w:vAlign w:val="bottom"/>
            <w:shd w:val="clear" w:color="auto" w:fill="CCEEFF"/>
          </w:tcPr>
          <w:p>
            <w:pPr>
              <w:jc w:val="right"/>
              <w:ind w:right="291"/>
              <w:spacing w:after="0" w:line="152" w:lineRule="exact"/>
              <w:rPr>
                <w:sz w:val="20"/>
                <w:szCs w:val="20"/>
                <w:color w:val="auto"/>
              </w:rPr>
            </w:pPr>
            <w:r>
              <w:rPr>
                <w:rFonts w:ascii="Times New Roman" w:cs="Times New Roman" w:eastAsia="Times New Roman" w:hAnsi="Times New Roman"/>
                <w:sz w:val="14"/>
                <w:szCs w:val="14"/>
                <w:color w:val="auto"/>
              </w:rPr>
              <w:t>12/11/2042</w:t>
            </w:r>
          </w:p>
        </w:tc>
      </w:tr>
      <w:tr>
        <w:trPr>
          <w:trHeight w:val="165"/>
        </w:trPr>
        <w:tc>
          <w:tcPr>
            <w:tcW w:w="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and/or Methods for Managing</w:t>
            </w:r>
          </w:p>
        </w:tc>
        <w:tc>
          <w:tcPr>
            <w:tcW w:w="15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98"/>
              </w:rPr>
              <w:t>07/29/2025.</w:t>
            </w:r>
          </w:p>
        </w:tc>
        <w:tc>
          <w:tcPr>
            <w:tcW w:w="1400" w:type="dxa"/>
            <w:vAlign w:val="bottom"/>
            <w:shd w:val="clear" w:color="auto" w:fill="CCEEFF"/>
          </w:tcPr>
          <w:p>
            <w:pPr>
              <w:spacing w:after="0"/>
              <w:rPr>
                <w:sz w:val="14"/>
                <w:szCs w:val="14"/>
                <w:color w:val="auto"/>
              </w:rPr>
            </w:pPr>
          </w:p>
        </w:tc>
      </w:tr>
      <w:tr>
        <w:trPr>
          <w:trHeight w:val="177"/>
        </w:trPr>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Drone Deliveries</w:t>
            </w:r>
          </w:p>
        </w:tc>
        <w:tc>
          <w:tcPr>
            <w:tcW w:w="1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5"/>
        </w:trPr>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2"/>
        </w:trPr>
        <w:tc>
          <w:tcPr>
            <w:tcW w:w="820" w:type="dxa"/>
            <w:vAlign w:val="bottom"/>
            <w:shd w:val="clear" w:color="auto" w:fill="CCEEFF"/>
          </w:tcPr>
          <w:p>
            <w:pPr>
              <w:ind w:left="160"/>
              <w:spacing w:after="0" w:line="152" w:lineRule="exact"/>
              <w:rPr>
                <w:sz w:val="20"/>
                <w:szCs w:val="20"/>
                <w:color w:val="auto"/>
              </w:rPr>
            </w:pPr>
            <w:r>
              <w:rPr>
                <w:rFonts w:ascii="Times New Roman" w:cs="Times New Roman" w:eastAsia="Times New Roman" w:hAnsi="Times New Roman"/>
                <w:sz w:val="14"/>
                <w:szCs w:val="14"/>
                <w:b w:val="1"/>
                <w:bCs w:val="1"/>
                <w:color w:val="auto"/>
              </w:rPr>
              <w:t>AB4</w:t>
            </w:r>
          </w:p>
        </w:tc>
        <w:tc>
          <w:tcPr>
            <w:tcW w:w="1060" w:type="dxa"/>
            <w:vAlign w:val="bottom"/>
            <w:shd w:val="clear" w:color="auto" w:fill="CCEEFF"/>
          </w:tcPr>
          <w:p>
            <w:pPr>
              <w:ind w:left="420"/>
              <w:spacing w:after="0" w:line="152" w:lineRule="exact"/>
              <w:rPr>
                <w:sz w:val="20"/>
                <w:szCs w:val="20"/>
                <w:color w:val="auto"/>
              </w:rPr>
            </w:pPr>
            <w:r>
              <w:rPr>
                <w:rFonts w:ascii="Times New Roman" w:cs="Times New Roman" w:eastAsia="Times New Roman" w:hAnsi="Times New Roman"/>
                <w:sz w:val="14"/>
                <w:szCs w:val="14"/>
                <w:color w:val="auto"/>
              </w:rPr>
              <w:t>U.S.</w:t>
            </w:r>
          </w:p>
        </w:tc>
        <w:tc>
          <w:tcPr>
            <w:tcW w:w="134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7"/>
              </w:rPr>
              <w:t>16/054,305</w:t>
            </w:r>
          </w:p>
        </w:tc>
        <w:tc>
          <w:tcPr>
            <w:tcW w:w="1340" w:type="dxa"/>
            <w:vAlign w:val="bottom"/>
            <w:shd w:val="clear" w:color="auto" w:fill="CCEEFF"/>
          </w:tcPr>
          <w:p>
            <w:pPr>
              <w:jc w:val="center"/>
              <w:ind w:right="11"/>
              <w:spacing w:after="0" w:line="152" w:lineRule="exact"/>
              <w:rPr>
                <w:sz w:val="20"/>
                <w:szCs w:val="20"/>
                <w:color w:val="auto"/>
              </w:rPr>
            </w:pPr>
            <w:r>
              <w:rPr>
                <w:rFonts w:ascii="Times New Roman" w:cs="Times New Roman" w:eastAsia="Times New Roman" w:hAnsi="Times New Roman"/>
                <w:sz w:val="14"/>
                <w:szCs w:val="14"/>
                <w:color w:val="auto"/>
                <w:w w:val="95"/>
              </w:rPr>
              <w:t>08/3/2018</w:t>
            </w:r>
          </w:p>
        </w:tc>
        <w:tc>
          <w:tcPr>
            <w:tcW w:w="1500" w:type="dxa"/>
            <w:vAlign w:val="bottom"/>
            <w:shd w:val="clear" w:color="auto" w:fill="CCEEFF"/>
          </w:tcPr>
          <w:p>
            <w:pPr>
              <w:jc w:val="center"/>
              <w:ind w:left="51"/>
              <w:spacing w:after="0" w:line="152" w:lineRule="exact"/>
              <w:rPr>
                <w:sz w:val="20"/>
                <w:szCs w:val="20"/>
                <w:color w:val="auto"/>
              </w:rPr>
            </w:pPr>
            <w:r>
              <w:rPr>
                <w:rFonts w:ascii="Times New Roman" w:cs="Times New Roman" w:eastAsia="Times New Roman" w:hAnsi="Times New Roman"/>
                <w:sz w:val="14"/>
                <w:szCs w:val="14"/>
                <w:color w:val="auto"/>
                <w:w w:val="97"/>
              </w:rPr>
              <w:t>US 11,556,887</w:t>
            </w:r>
          </w:p>
        </w:tc>
        <w:tc>
          <w:tcPr>
            <w:tcW w:w="23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8"/>
              </w:rPr>
              <w:t>Air Box -Systems, devices,</w:t>
            </w:r>
          </w:p>
        </w:tc>
        <w:tc>
          <w:tcPr>
            <w:tcW w:w="1500" w:type="dxa"/>
            <w:vAlign w:val="bottom"/>
            <w:shd w:val="clear" w:color="auto" w:fill="CCEEFF"/>
          </w:tcPr>
          <w:p>
            <w:pPr>
              <w:jc w:val="center"/>
              <w:ind w:right="91"/>
              <w:spacing w:after="0" w:line="152" w:lineRule="exact"/>
              <w:rPr>
                <w:sz w:val="20"/>
                <w:szCs w:val="20"/>
                <w:color w:val="auto"/>
              </w:rPr>
            </w:pPr>
            <w:r>
              <w:rPr>
                <w:rFonts w:ascii="Times New Roman" w:cs="Times New Roman" w:eastAsia="Times New Roman" w:hAnsi="Times New Roman"/>
                <w:sz w:val="14"/>
                <w:szCs w:val="14"/>
                <w:color w:val="auto"/>
                <w:w w:val="97"/>
              </w:rPr>
              <w:t>Granted in U.S.</w:t>
            </w:r>
          </w:p>
        </w:tc>
        <w:tc>
          <w:tcPr>
            <w:tcW w:w="1400" w:type="dxa"/>
            <w:vAlign w:val="bottom"/>
            <w:shd w:val="clear" w:color="auto" w:fill="CCEEFF"/>
          </w:tcPr>
          <w:p>
            <w:pPr>
              <w:jc w:val="right"/>
              <w:ind w:right="291"/>
              <w:spacing w:after="0" w:line="152" w:lineRule="exact"/>
              <w:rPr>
                <w:sz w:val="20"/>
                <w:szCs w:val="20"/>
                <w:color w:val="auto"/>
              </w:rPr>
            </w:pPr>
            <w:r>
              <w:rPr>
                <w:rFonts w:ascii="Times New Roman" w:cs="Times New Roman" w:eastAsia="Times New Roman" w:hAnsi="Times New Roman"/>
                <w:sz w:val="14"/>
                <w:szCs w:val="14"/>
                <w:color w:val="auto"/>
              </w:rPr>
              <w:t>08/03/2038</w:t>
            </w:r>
          </w:p>
        </w:tc>
      </w:tr>
      <w:tr>
        <w:trPr>
          <w:trHeight w:val="165"/>
        </w:trPr>
        <w:tc>
          <w:tcPr>
            <w:tcW w:w="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and/or methods for managing</w:t>
            </w:r>
          </w:p>
        </w:tc>
        <w:tc>
          <w:tcPr>
            <w:tcW w:w="15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97"/>
              </w:rPr>
              <w:t>01/17/2023</w:t>
            </w:r>
          </w:p>
        </w:tc>
        <w:tc>
          <w:tcPr>
            <w:tcW w:w="1400" w:type="dxa"/>
            <w:vAlign w:val="bottom"/>
            <w:shd w:val="clear" w:color="auto" w:fill="CCEEFF"/>
          </w:tcPr>
          <w:p>
            <w:pPr>
              <w:spacing w:after="0"/>
              <w:rPr>
                <w:sz w:val="14"/>
                <w:szCs w:val="14"/>
                <w:color w:val="auto"/>
              </w:rPr>
            </w:pPr>
          </w:p>
        </w:tc>
      </w:tr>
      <w:tr>
        <w:trPr>
          <w:trHeight w:val="177"/>
        </w:trPr>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drone deliveries.</w:t>
            </w:r>
          </w:p>
        </w:tc>
        <w:tc>
          <w:tcPr>
            <w:tcW w:w="1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bl>
    <w:p>
      <w:pPr>
        <w:spacing w:after="0" w:line="152" w:lineRule="exact"/>
        <w:rPr>
          <w:sz w:val="20"/>
          <w:szCs w:val="20"/>
          <w:color w:val="auto"/>
        </w:rPr>
      </w:pPr>
    </w:p>
    <w:p>
      <w:pPr>
        <w:ind w:left="500" w:hanging="498"/>
        <w:spacing w:after="0" w:line="267" w:lineRule="auto"/>
        <w:tabs>
          <w:tab w:leader="none" w:pos="25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Anticipated expiration is the terminology used since maintenance fees are required to be paid to assure the full amount of twenty years. Management is not aware of any circumstances that would prevent the timely payment of the maintenance fees as they become due.</w:t>
      </w:r>
    </w:p>
    <w:p>
      <w:pPr>
        <w:spacing w:after="0" w:line="135" w:lineRule="exact"/>
        <w:rPr>
          <w:rFonts w:ascii="Times New Roman" w:cs="Times New Roman" w:eastAsia="Times New Roman" w:hAnsi="Times New Roman"/>
          <w:sz w:val="14"/>
          <w:szCs w:val="14"/>
          <w:color w:val="auto"/>
        </w:rPr>
      </w:pPr>
    </w:p>
    <w:p>
      <w:pPr>
        <w:ind w:left="500" w:hanging="498"/>
        <w:spacing w:after="0" w:line="256" w:lineRule="auto"/>
        <w:tabs>
          <w:tab w:leader="none" w:pos="25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Maintenance fees are payments to keep the patents active (alive). These payments are made to the patenting agency for that country or nation. For example, in the U.S., the regulatory action and fees are made to the USPTO. For other countries, the payment of fees is commonly paid to the patent regulatory office, specific for each country, where the patent application was originally examined, approved, and issued.</w:t>
      </w:r>
    </w:p>
    <w:p>
      <w:pPr>
        <w:spacing w:after="0" w:line="143" w:lineRule="exact"/>
        <w:rPr>
          <w:rFonts w:ascii="Times New Roman" w:cs="Times New Roman" w:eastAsia="Times New Roman" w:hAnsi="Times New Roman"/>
          <w:sz w:val="14"/>
          <w:szCs w:val="14"/>
          <w:color w:val="auto"/>
        </w:rPr>
      </w:pPr>
    </w:p>
    <w:p>
      <w:pPr>
        <w:ind w:left="500" w:hanging="498"/>
        <w:spacing w:after="0" w:line="252" w:lineRule="auto"/>
        <w:tabs>
          <w:tab w:leader="none" w:pos="25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regulatory maintenance fee (often called an annuity) is paid every year for most countries. However, for patents issued from the USPTO, the maintenance fee for each of the issued patent is due at 3 to 3.5 years, then at 7 to 7.5 years, and finally 11 to 11.5 years, respectively, after the date of issue with no early payment options. In the event of a late payment, there is a “six-month grace period” to reactivate a late, unintentional, missed payment of the fee, but a surcharge will be incurred during such grace period at 3.5 to 4 years, 7.5 to 8 years, and 11.5 to 12 years, respectively, after the date of issue.</w:t>
      </w:r>
    </w:p>
    <w:p>
      <w:pPr>
        <w:spacing w:after="0" w:line="14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Company will be responsible for paying patent issue fee, maintenance fees, and annuity fees due on each patent granted, transferred, or licensed to it.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1, 2026, Arrive has 51 full-time employees. The Company also has approximately 10 part-time contract employees.</w:t>
      </w:r>
    </w:p>
    <w:p>
      <w:pPr>
        <w:spacing w:after="0" w:line="16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DESCRIPTION OF SECURITIES WE MAY OFFER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issue from time to time, in one or more offerings the following securities:</w:t>
      </w:r>
    </w:p>
    <w:p>
      <w:pPr>
        <w:spacing w:after="0" w:line="168" w:lineRule="exact"/>
        <w:rPr>
          <w:sz w:val="20"/>
          <w:szCs w:val="20"/>
          <w:color w:val="auto"/>
        </w:rPr>
      </w:pPr>
    </w:p>
    <w:p>
      <w:pPr>
        <w:ind w:left="500" w:hanging="251"/>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which may be convertible into shares of Common Stock;</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which may be senior or subordinated and may be convertible into or exchangeable for shares of Common Stock or shares of Preferred Stock;</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exercisable for debt securities, shares of Common Stock, or shares of Preferred Stock;</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to purchase any of such securities;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composed of our debt securities, shares of Common Stock, shares of Preferred Stock, and warrants, in any combination.</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This prospectus contains a summary of the material general terms of the various securities that we may offer. The specific terms of the securities will be described in a prospectus supplement, information or document incorporated by reference, related free writing prospectus, or other offering materials, which may be in addition to or different from the general terms summarized in this prospectus. Where applicable, the prospectus supplement, information or document incorporated by reference, related free writing prospectus, or other offering materials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 information or document incorporated by reference, related free writing prospectus, or other offering materials, as applicable, may not contain all of the information that you would find useful. Accordingly, you should read the actual documents relating to any securities sold pursuant to this prospectus. See “Available Information” and “Incorporation of Certain Information by Reference” for information about how to obtain copies of those documents.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terms of any particular offering, the initial offering price, and the net proceeds to us will be contained in the prospectus supplement, information or document incorporated by reference, related free writing prospectus, or other offering materials, as applicable, relating to such offering.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i w:val="1"/>
          <w:iCs w:val="1"/>
          <w:color w:val="auto"/>
        </w:rPr>
        <w:t>The following descriptions are summaries of the material terms of our certificate of incorporation and bylaws. Reference is made to the more detailed provisions of, and the descriptions are qualified in their entirety by reference to, the certificate of incorporation and bylaws, which have been publicly filed with the SEC. See “Where You Can Find More Information” and “Incorporation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authorized capital stock consists of 200,000,000 shares of common stock, par value $0.0002 per share, of which 51,859,347 are issued and outstanding as of June 1, 2026, after giving effect to the Reverse Stock Split retrospectively for all periods presented.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common stock is quoted on Nasdaq under the symbol “ARAI”. As of June 1, 2026, there were approximately 9,376 stockholders of record of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current certificate of incorporation does not authorize the issuance of preferred stock, and we have no preferred stock outstanding as of the date of this prospectus. Prior to any offering of preferred stock pursuant to this prospectus, we intend to take the necessary corporate action to amend our organizational documents to authorize the issuance of preferred stock, and any prospectus supplement relating to preferred stock will be filed only after such authorization is in effect. We cannot assure you that such corporate action will be completed on the terms or timeline we currently anticipate.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Anti-takeover Provisions of Delaware Law, our Certificate of Incorporation and Bylaws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As a Delaware corporation, we are governed by the provisions of Section 203 of the Delaware General Corporation Law, which generally has an anti-takeover effect for transactions not approved in advance by our Board. This may discourage takeover attempts that might result in payment of a premium over the market price for the shares of common stock held by stockholders. 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Company’s voting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Section 203, a business combination between a corporation and an interested stockholder is prohibited unless it satisfies one of the following conditions:</w:t>
      </w:r>
    </w:p>
    <w:p>
      <w:pPr>
        <w:spacing w:after="0" w:line="168" w:lineRule="exact"/>
        <w:rPr>
          <w:sz w:val="20"/>
          <w:szCs w:val="20"/>
          <w:color w:val="auto"/>
        </w:rPr>
      </w:pPr>
    </w:p>
    <w:p>
      <w:pPr>
        <w:ind w:left="500" w:hanging="251"/>
        <w:spacing w:after="0" w:line="267"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the board of directors approved either the business combination or the transaction which resulted in the stockholder becoming an interested stockholder; or</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outstanding, shares owned by:</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are directors and also officers,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stock plans, in some instances; or</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the board of directors are authorized at an annual or special meeting of the stockholders by the affirmative vote of at least two-thirds of the outstanding voting stock which is not owned by the interested stockholder.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Forum for certain lawsuits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current certificate of incorporation provides, that unless we consent in writing to the selection of an alternative forum, the sole and exclusive forum for (i) any derivative action or proceeding brought on behalf of us, (ii) any action asserting a claim of breach of a fiduciary duty owed by our directors, officers or other employees to us or our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indispensable parties named as defendants. Any person or entity purchasing or otherwise acquiring any interest in shares of our capital stock shall be deemed to have notice of and consented to the above forum exclusivity provisions. The enforceability of similar choice of forum provisions in other companies’ certificates of incorporation and bylaws has been challenged in legal proceedings, and it is possible that a court could find these types of provisions to be inapplicable or unenforceable.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4"/>
          <w:szCs w:val="14"/>
          <w:color w:val="auto"/>
        </w:rPr>
        <w:t>The forum selection provision is intended to apply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the exclusive forum provision will not apply to actions brought under the Securities Act, or the rules and regulations thereunder.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meeting of stockholders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bylaws further provide that special meetings of our stockholders may be called by the Chairman of the Board, the Board, President of Arrive AI Inc., or by the Board upon written request by the holders of a majority of the voting authority of Arrive AI Inc.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bylaws provide that a member of our Board may be removed from service as a director, with or without cause, only by the affirmative vote of the holders of a majority of the shares of voting stock then outstanding and entitled to vote in an election of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of Liability and Indemnification of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bylaws provide that our directors and officers will be indemnified by us to the fullest extent authorized by Delaware law.</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insurance and the indemnity agreements are necessary to attract and retain talented and experienced directors and officers.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not aware of any threatened litigation or proceeding that might result in a claim for such indemnification, except as disclosed below.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are currently engaged in legal proceedings which may require us to indemnify certain officers and directors if the outcome of either proceeding is adverse to our interests. Please see the section titled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 xml:space="preserve"> in our Annual Report on Form 10-K for the year ended December 31, 2025, incorporated by reference into this prospectus.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currently listed on the Nasdaq Global Market under the symbol “</w:t>
      </w:r>
      <w:r>
        <w:rPr>
          <w:rFonts w:ascii="Times New Roman" w:cs="Times New Roman" w:eastAsia="Times New Roman" w:hAnsi="Times New Roman"/>
          <w:sz w:val="14"/>
          <w:szCs w:val="14"/>
          <w:b w:val="1"/>
          <w:bCs w:val="1"/>
          <w:color w:val="auto"/>
        </w:rPr>
        <w:t>ARAI</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transfer agent and registrar for our common stock is Odyssey Transfer and Trust Company. The transfer agent and registrar’s address is 2155 Woodlane Drive, Suite 100, Woodbury, MN 55125. The transfer agent and registrar can be contacted by phone at: (612) 482-5100 or (888) 290-1175.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debt securities that we may offer by this prospectus consist of notes, debentures, or other evidences of indebtedness. The debt securities may constitute either senior or subordinated debt securities, and in either case may be either secured or unsecured. Any debt securities that we offer and sell will be our direct obligations. Debt securities may be issued in one or more series. All debt securities of any one series need not be issued at the same time, and unless otherwise provided, a series of debt securities may be reopened, with the required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The form of indenture has been filed as an exhibit to the registration statement of which this prospectus is a part and is subject to any amendments or supplements that we may enter into with the trustee(s), however, we may issue debt securities not subject to the indenture provided such terms of debt securities are not otherwise required to be set forth in the indenture.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spacing w:after="0" w:line="136" w:lineRule="exact"/>
        <w:rPr>
          <w:sz w:val="20"/>
          <w:szCs w:val="20"/>
          <w:color w:val="auto"/>
        </w:rPr>
      </w:pPr>
    </w:p>
    <w:p>
      <w:pPr>
        <w:ind w:left="500" w:hanging="251"/>
        <w:spacing w:after="0" w:line="267"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including, as applicable, whether the debt securities will be issued as senior debt securities, senior subordinated debt securities or subordinated debt securities, any subordination provisions particular to the series of debt securities;</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senior debt securities or subordinated debt securities and applicable subordination provisions, if any;</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secured or unsecured;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100% of the aggregate principal amount, the percentage of the aggregate principal amount at which we will sell the debt securities, such as an original issuance discount;</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whether fixed or extendable, on which the principal of the debt securities will be payable;</w:t>
      </w:r>
    </w:p>
    <w:p>
      <w:pPr>
        <w:spacing w:after="0" w:line="168" w:lineRule="exact"/>
        <w:rPr>
          <w:rFonts w:ascii="Times New Roman" w:cs="Times New Roman" w:eastAsia="Times New Roman" w:hAnsi="Times New Roman"/>
          <w:sz w:val="14"/>
          <w:szCs w:val="14"/>
          <w:color w:val="auto"/>
        </w:rPr>
      </w:pPr>
    </w:p>
    <w:p>
      <w:pPr>
        <w:jc w:val="both"/>
        <w:ind w:left="500" w:hanging="251"/>
        <w:spacing w:after="0" w:line="256"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w:t>
      </w:r>
    </w:p>
    <w:p>
      <w:pPr>
        <w:spacing w:after="0" w:line="143"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or interest on the debt securities will be payable and where the debt securities may be surrendered for conversion or exchange;</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may, at our option, redeem the debt securities, and if so, the price or prices at which, the period or periods within which, and the terms and conditions upon which, we may redeem the debt securities, in whole or in part, pursuant to any sinking fund or otherwise;</w:t>
      </w:r>
    </w:p>
    <w:p>
      <w:pPr>
        <w:spacing w:after="0" w:line="135"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22" w:name="page23"/>
    <w:bookmarkEnd w:id="22"/>
    <w:p>
      <w:pPr>
        <w:jc w:val="both"/>
        <w:ind w:left="260" w:hanging="251"/>
        <w:spacing w:after="0" w:line="25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may have to redeem, purchase or repay the debt securities pursuant to any sinking fund or analogous provisions or at the option of a holder of debt securities, and the price or prices at which, the currency in which and the period or periods within which, and the terms and conditions upon which, the debt securities will be redeemed, purchased or repaid, in whole or in part, pursuant to any such obligation, and any provision for the remarketing of the debt securities;</w:t>
      </w:r>
    </w:p>
    <w:p>
      <w:pPr>
        <w:spacing w:after="0" w:line="143" w:lineRule="exact"/>
        <w:rPr>
          <w:rFonts w:ascii="Times New Roman" w:cs="Times New Roman" w:eastAsia="Times New Roman" w:hAnsi="Times New Roman"/>
          <w:sz w:val="14"/>
          <w:szCs w:val="14"/>
          <w:color w:val="auto"/>
        </w:rPr>
      </w:pPr>
    </w:p>
    <w:p>
      <w:pPr>
        <w:ind w:left="260" w:hanging="251"/>
        <w:spacing w:after="0" w:line="26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debt securities as registered securities or unregistered securities or both, and the rights of the holders of the debt securities to exchange unregistered securities for registered securities, or vice versa, and the circumstances under which any such exchanges, if permitted, may be made;</w:t>
      </w:r>
    </w:p>
    <w:p>
      <w:pPr>
        <w:spacing w:after="0" w:line="135" w:lineRule="exact"/>
        <w:rPr>
          <w:rFonts w:ascii="Times New Roman" w:cs="Times New Roman" w:eastAsia="Times New Roman" w:hAnsi="Times New Roman"/>
          <w:sz w:val="14"/>
          <w:szCs w:val="14"/>
          <w:color w:val="auto"/>
        </w:rPr>
      </w:pPr>
    </w:p>
    <w:p>
      <w:pPr>
        <w:ind w:left="260" w:hanging="251"/>
        <w:spacing w:after="0" w:line="26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which may be in United States Dollars or in any foreign currency, in which the debt securities will be issued, if other than denominations of $1,000 and any integral multiple thereof;</w:t>
      </w:r>
    </w:p>
    <w:p>
      <w:pPr>
        <w:spacing w:after="0" w:line="135" w:lineRule="exact"/>
        <w:rPr>
          <w:rFonts w:ascii="Times New Roman" w:cs="Times New Roman" w:eastAsia="Times New Roman" w:hAnsi="Times New Roman"/>
          <w:sz w:val="14"/>
          <w:szCs w:val="14"/>
          <w:color w:val="auto"/>
        </w:rPr>
      </w:pPr>
    </w:p>
    <w:p>
      <w:pPr>
        <w:jc w:val="both"/>
        <w:ind w:left="260" w:hanging="251"/>
        <w:spacing w:after="0" w:line="25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w:t>
      </w:r>
    </w:p>
    <w:p>
      <w:pPr>
        <w:spacing w:after="0" w:line="143" w:lineRule="exact"/>
        <w:rPr>
          <w:rFonts w:ascii="Times New Roman" w:cs="Times New Roman" w:eastAsia="Times New Roman" w:hAnsi="Times New Roman"/>
          <w:sz w:val="14"/>
          <w:szCs w:val="14"/>
          <w:color w:val="auto"/>
        </w:rPr>
      </w:pPr>
    </w:p>
    <w:p>
      <w:pPr>
        <w:ind w:left="260" w:hanging="251"/>
        <w:spacing w:after="0" w:line="26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United States Dollars, the currency or currencies in which payments of principal, interest and other amounts payable with respect to the debt securities will be denominated, payable, redeemable or repurchasable, as the case may be;</w:t>
      </w:r>
    </w:p>
    <w:p>
      <w:pPr>
        <w:spacing w:after="0" w:line="135"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may be issuable in tranches;</w:t>
      </w:r>
    </w:p>
    <w:p>
      <w:pPr>
        <w:spacing w:after="0" w:line="168" w:lineRule="exact"/>
        <w:rPr>
          <w:rFonts w:ascii="Times New Roman" w:cs="Times New Roman" w:eastAsia="Times New Roman" w:hAnsi="Times New Roman"/>
          <w:sz w:val="14"/>
          <w:szCs w:val="14"/>
          <w:color w:val="auto"/>
        </w:rPr>
      </w:pPr>
    </w:p>
    <w:p>
      <w:pPr>
        <w:jc w:val="both"/>
        <w:ind w:left="260" w:hanging="251"/>
        <w:spacing w:after="0" w:line="25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conversion price or exchange ratio), and any limitations on the ownership or transferability of the securities or property into which the debt securities may be converted or exchanged;</w:t>
      </w:r>
    </w:p>
    <w:p>
      <w:pPr>
        <w:spacing w:after="0" w:line="143"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trustee under the indenture, any trustees, authenticating or paying agents, transfer agents or registrars or any other agents with respect to the debt securities;</w:t>
      </w:r>
    </w:p>
    <w:p>
      <w:pPr>
        <w:spacing w:after="0" w:line="168" w:lineRule="exact"/>
        <w:rPr>
          <w:rFonts w:ascii="Times New Roman" w:cs="Times New Roman" w:eastAsia="Times New Roman" w:hAnsi="Times New Roman"/>
          <w:sz w:val="14"/>
          <w:szCs w:val="14"/>
          <w:color w:val="auto"/>
        </w:rPr>
      </w:pPr>
    </w:p>
    <w:p>
      <w:pPr>
        <w:ind w:left="260" w:hanging="251"/>
        <w:spacing w:after="0" w:line="26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deletions from, modifications of or additions to the events of default with respect to the debt securities or the right of the Trustee or the holders of the debt securities in connection with events of default;</w:t>
      </w:r>
    </w:p>
    <w:p>
      <w:pPr>
        <w:spacing w:after="0" w:line="135"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deletions from, modifications of or additions to the covenants with respect to the debt securities;</w:t>
      </w:r>
    </w:p>
    <w:p>
      <w:pPr>
        <w:spacing w:after="0" w:line="168" w:lineRule="exact"/>
        <w:rPr>
          <w:rFonts w:ascii="Times New Roman" w:cs="Times New Roman" w:eastAsia="Times New Roman" w:hAnsi="Times New Roman"/>
          <w:sz w:val="14"/>
          <w:szCs w:val="14"/>
          <w:color w:val="auto"/>
        </w:rPr>
      </w:pPr>
    </w:p>
    <w:p>
      <w:pPr>
        <w:ind w:left="260" w:hanging="251"/>
        <w:spacing w:after="0" w:line="26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and make-whole amount, if any, and interest on the debt securities may be determined with reference to an index, the manner in which such amount will be determined;</w:t>
      </w:r>
    </w:p>
    <w:p>
      <w:pPr>
        <w:spacing w:after="0" w:line="135" w:lineRule="exact"/>
        <w:rPr>
          <w:rFonts w:ascii="Times New Roman" w:cs="Times New Roman" w:eastAsia="Times New Roman" w:hAnsi="Times New Roman"/>
          <w:sz w:val="14"/>
          <w:szCs w:val="14"/>
          <w:color w:val="auto"/>
        </w:rPr>
      </w:pPr>
    </w:p>
    <w:p>
      <w:pPr>
        <w:jc w:val="both"/>
        <w:ind w:left="260" w:hanging="251"/>
        <w:spacing w:after="0" w:line="25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w:t>
      </w:r>
    </w:p>
    <w:p>
      <w:pPr>
        <w:spacing w:after="0" w:line="143" w:lineRule="exact"/>
        <w:rPr>
          <w:rFonts w:ascii="Times New Roman" w:cs="Times New Roman" w:eastAsia="Times New Roman" w:hAnsi="Times New Roman"/>
          <w:sz w:val="14"/>
          <w:szCs w:val="14"/>
          <w:color w:val="auto"/>
        </w:rPr>
      </w:pPr>
    </w:p>
    <w:p>
      <w:pPr>
        <w:ind w:left="260" w:hanging="251"/>
        <w:spacing w:after="0" w:line="307" w:lineRule="auto"/>
        <w:tabs>
          <w:tab w:leader="none" w:pos="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under what circumstances and the currency in which, we will pay additional amounts on the debt securities to any holder of the debt securities who is not a United States person in respect of any tax, assessment or governmental charge and, if so, whether we will have the option to redeem such debt securities rather than pay such additional amounts, and the terms of any such option;</w:t>
      </w:r>
    </w:p>
    <w:p>
      <w:pPr>
        <w:spacing w:after="0" w:line="111" w:lineRule="exact"/>
        <w:rPr>
          <w:rFonts w:ascii="Times New Roman" w:cs="Times New Roman" w:eastAsia="Times New Roman" w:hAnsi="Times New Roman"/>
          <w:sz w:val="13"/>
          <w:szCs w:val="13"/>
          <w:color w:val="auto"/>
        </w:rPr>
      </w:pPr>
    </w:p>
    <w:p>
      <w:pPr>
        <w:ind w:left="260" w:hanging="251"/>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secured by any collateral and, if so, a general description of the collateral and the terms of any related security, pledge or other agreements;</w:t>
      </w:r>
    </w:p>
    <w:p>
      <w:pPr>
        <w:spacing w:after="0" w:line="1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716470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40"/>
          </w:cols>
          <w:pgMar w:left="540" w:top="559" w:right="319" w:bottom="1440" w:gutter="0" w:footer="0" w:header="0"/>
        </w:sectPr>
      </w:pPr>
    </w:p>
    <w:bookmarkStart w:id="23" w:name="page24"/>
    <w:bookmarkEnd w:id="23"/>
    <w:p>
      <w:pPr>
        <w:ind w:left="500" w:hanging="251"/>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persons to whom any interest on the debt securities will be payable, if other than the registered holders thereof on the regular record date therefore;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or conditions upon which the debt securities will be issued.</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 “Business day” means any calendar day that is not a Saturday, Sunday or legal holiday in New York, New York, and on which the trustee and commercial banks are open for business in New York, New York.</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Unless we inform you otherwise in a prospectus supplement, each series of our senior debt securities will rank equally in right of payment with all of our other unsubordinated debt. The subordinated debt securities will rank junior in right of payment and be subordinate to all of our unsubordinated debt.</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trustee will act as paying agent and registrar for the debt securities under the indenture. We may act as paying agent under the indenture.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will contain a description of United States federal income tax consequences relating to the debt securities, to the extent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applicable prospectus supplement will describe any covenants, such as restrictive covenants restricting us or our subsidiaries, if any, from incurring, issuing, assuming or guarantying any indebtedness or restricting us or our subsidiaries, if any, from paying dividends or acquiring any of our or its capital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and Transfer of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permits a consolidation or merger between us and another entity and/or the sale, conveyance or lease by us of all or substantially all of our property and assets, provided that:</w:t>
      </w:r>
    </w:p>
    <w:p>
      <w:pPr>
        <w:spacing w:after="0" w:line="168" w:lineRule="exact"/>
        <w:rPr>
          <w:sz w:val="20"/>
          <w:szCs w:val="20"/>
          <w:color w:val="auto"/>
        </w:rPr>
      </w:pPr>
    </w:p>
    <w:p>
      <w:pPr>
        <w:ind w:left="500" w:hanging="251"/>
        <w:spacing w:after="0" w:line="267"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resulting or acquiring entity, if other than us, is organized and existing under the laws of a United States jurisdiction and assumes all of our responsibilities and liabilities under the indenture, including the payment of all amounts due on the debt securities and performance of the covenants in the indenture;</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the transaction, and giving effect to the transaction, no event of default under the indenture exists; and</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Notwithstanding the foregoing, we may transfer all of our property and assets to another entity if, immediately after giving effect to the transfer, such entity is our wholly owned subsidiary. The term “wholly owned subsidiary” means any subsidiary in which we and/or our other wholly owned subsidiaries, if any, own all of the outstanding capital stock.</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w:t>
      </w:r>
    </w:p>
    <w:p>
      <w:pPr>
        <w:spacing w:after="0" w:line="143" w:lineRule="exact"/>
        <w:rPr>
          <w:sz w:val="20"/>
          <w:szCs w:val="20"/>
          <w:color w:val="auto"/>
        </w:rPr>
      </w:pPr>
    </w:p>
    <w:p>
      <w:pPr>
        <w:ind w:left="500" w:hanging="251"/>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stated maturity date of any payment of principal or interest;</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the principal amount of or interest on any debt securities;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alteration or impairment of any right to convert at the rate or upon the terms provided in the indenture;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currency in which any payment on the debt securities is payable;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impairment of a holder’s right to sue us for the enforcement of payments due on the debt securities; or</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the percentage of outstanding debt securities required to consent to a modification or amendment of the indenture or required to consent to a waiver of compliance with certain provisions of the indenture or certain defaults under the indenture.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indenture, the holders of not less than a majority in aggregate principal amount of the outstanding debt securities may, on behalf of all holders of the debt securities:</w:t>
      </w:r>
    </w:p>
    <w:p>
      <w:pPr>
        <w:spacing w:after="0" w:line="168" w:lineRule="exact"/>
        <w:rPr>
          <w:sz w:val="20"/>
          <w:szCs w:val="20"/>
          <w:color w:val="auto"/>
        </w:rPr>
      </w:pPr>
    </w:p>
    <w:p>
      <w:pPr>
        <w:ind w:left="500" w:hanging="251"/>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compliance by us with certain restrictive provisions of the indenture; and</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past default under the indenture in accordance with the applicable provisions of the indenture, except a default in the payment of the principal of or interest on any series of debt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we indicate otherwise in the applicable prospectus supplement, “event of default” under the indenture will mean, with respect to any series of debt securities, any of the following:</w:t>
      </w:r>
    </w:p>
    <w:p>
      <w:pPr>
        <w:spacing w:after="0" w:line="168" w:lineRule="exact"/>
        <w:rPr>
          <w:sz w:val="20"/>
          <w:szCs w:val="20"/>
          <w:color w:val="auto"/>
        </w:rPr>
      </w:pPr>
    </w:p>
    <w:p>
      <w:pPr>
        <w:ind w:left="500" w:hanging="251"/>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any debt security for 30 days after the payment is due;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the principal of any debt security when due, either at maturity, upon redemption, by declaration or otherwise;</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on our part to observe or perform any other covenant or agreement in the indenture that applies to the debt securities for 90 days after we have received written notice of the failure to perform in the manner specified in the indenture; and</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Remedies Upon an Event of Default</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is caused by certain events in bankruptcy, insolvency or reorganization,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4"/>
          <w:szCs w:val="14"/>
          <w:color w:val="auto"/>
        </w:rPr>
        <w:t>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best interests of the holders. For purposes of this paragraph, “default” means any event which is, or after notice or lapse of time or both would become, an event of default under the indenture.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w:t>
      </w:r>
    </w:p>
    <w:p>
      <w:pPr>
        <w:spacing w:after="0" w:line="143" w:lineRule="exact"/>
        <w:rPr>
          <w:sz w:val="20"/>
          <w:szCs w:val="20"/>
          <w:color w:val="auto"/>
        </w:rPr>
      </w:pPr>
    </w:p>
    <w:p>
      <w:pPr>
        <w:ind w:left="500" w:hanging="251"/>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or</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upon the trustee.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holder of a debt security will have the right to begin any proceeding with respect to the indenture or for any remedy only if:</w:t>
      </w:r>
    </w:p>
    <w:p>
      <w:pPr>
        <w:spacing w:after="0" w:line="168" w:lineRule="exact"/>
        <w:rPr>
          <w:sz w:val="20"/>
          <w:szCs w:val="20"/>
          <w:color w:val="auto"/>
        </w:rPr>
      </w:pPr>
    </w:p>
    <w:p>
      <w:pPr>
        <w:ind w:left="500" w:hanging="251"/>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previously given the trustee written notice of a continuing event of default;</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a majority in aggregate principal amount of the outstanding debt securities have made a written request of, and offered reasonable indemnity to, the trustee to begin such proceeding;</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not started such proceeding within 60 days after receiving the request;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under the indenture.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However, the holder of any debt security will have an absolute right to receive payment of principal of and interest on the debt security when due and to institute suit to enforce this payment.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Satisfaction and Discharge of Indenture. </w:t>
      </w:r>
      <w:r>
        <w:rPr>
          <w:rFonts w:ascii="Times New Roman" w:cs="Times New Roman" w:eastAsia="Times New Roman" w:hAnsi="Times New Roman"/>
          <w:sz w:val="14"/>
          <w:szCs w:val="14"/>
          <w:color w:val="auto"/>
        </w:rPr>
        <w:t>Unless otherwise indicated in the applicable prospectus supplement, if at any time,</w:t>
      </w:r>
    </w:p>
    <w:p>
      <w:pPr>
        <w:spacing w:after="0" w:line="172" w:lineRule="exact"/>
        <w:rPr>
          <w:sz w:val="20"/>
          <w:szCs w:val="20"/>
          <w:color w:val="auto"/>
        </w:rPr>
      </w:pPr>
    </w:p>
    <w:p>
      <w:pPr>
        <w:ind w:left="500" w:hanging="251"/>
        <w:spacing w:after="0" w:line="267"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the principal of and interest on all the debt securities of any series, except for debt securities which have been destroyed, lost or stolen and which have been replaced or paid in accordance with the indenture, as and when the same shall have become due and payable, or</w:t>
      </w:r>
    </w:p>
    <w:p>
      <w:pPr>
        <w:spacing w:after="0" w:line="135"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for cancellation all debt securities of any series theretofore authenticated, except for debt securities of such series which have been destroyed, lost or stolen and which have been replaced or paid as provided in the indenture, or</w:t>
      </w:r>
    </w:p>
    <w:p>
      <w:pPr>
        <w:spacing w:after="0" w:line="135" w:lineRule="exact"/>
        <w:rPr>
          <w:rFonts w:ascii="Times New Roman" w:cs="Times New Roman" w:eastAsia="Times New Roman" w:hAnsi="Times New Roman"/>
          <w:sz w:val="14"/>
          <w:szCs w:val="14"/>
          <w:color w:val="auto"/>
        </w:rPr>
      </w:pPr>
    </w:p>
    <w:p>
      <w:pPr>
        <w:jc w:val="both"/>
        <w:ind w:left="500" w:hanging="251"/>
        <w:spacing w:after="0" w:line="256"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debt securities of such series not theretofore delivered to the trustee for cancellation have become due and payable, or are by their terms are to become due and payable within one year or are to be called for redemption within one year, and we have deposited with the trustee, in trust, sufficient money or government obligations, or a combination thereof, to pay the principal, any interest and any other sums due on the debt securities, on the dates the payments are due or become due under the indenture and the terms of the debt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then the indenture shall cease to be of further effect with respect to the debt securities of such series, except for:</w:t>
      </w:r>
    </w:p>
    <w:p>
      <w:pPr>
        <w:spacing w:after="0" w:line="168" w:lineRule="exact"/>
        <w:rPr>
          <w:sz w:val="20"/>
          <w:szCs w:val="20"/>
          <w:color w:val="auto"/>
        </w:rPr>
      </w:pPr>
    </w:p>
    <w:p>
      <w:pPr>
        <w:ind w:left="500" w:hanging="251"/>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registration of transfer and exchange, and our right of optional redemption;</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substitution of mutilated, defaced, destroyed, lost or stolen debt securities;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26" w:name="page27"/>
    <w:bookmarkEnd w:id="26"/>
    <w:p>
      <w:pPr>
        <w:ind w:left="500" w:hanging="251"/>
        <w:spacing w:after="0" w:line="267"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holders to receive payments of principal thereof and interest thereon upon the original stated due dates therefor (but not upon acceleration) and remaining rights of the holders to receive mandatory sinking fund payments, if any;</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obligations and immunities of the trustee under the indenture;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the holders of such series of debt securities as beneficiaries thereof with respect to the property so deposited with the trustee payable to all or any of them.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Defeasance and Covenant Defeasance. </w:t>
      </w:r>
      <w:r>
        <w:rPr>
          <w:rFonts w:ascii="Times New Roman" w:cs="Times New Roman" w:eastAsia="Times New Roman" w:hAnsi="Times New Roman"/>
          <w:sz w:val="14"/>
          <w:szCs w:val="14"/>
          <w:color w:val="auto"/>
        </w:rPr>
        <w:t>Unless otherwise indicated in the applicable prospectus supplement, we may elect with respect to any debt securities of any series either:</w:t>
      </w:r>
    </w:p>
    <w:p>
      <w:pPr>
        <w:spacing w:after="0" w:line="172" w:lineRule="exact"/>
        <w:rPr>
          <w:sz w:val="20"/>
          <w:szCs w:val="20"/>
          <w:color w:val="auto"/>
        </w:rPr>
      </w:pPr>
    </w:p>
    <w:p>
      <w:pPr>
        <w:ind w:left="500" w:hanging="251"/>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defease and be discharged from all of our obligations with respect to such debt securities (“defeasance”), with certain exceptions described below; or</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(“covenant defeasance”).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must comply with the following conditions before the defeasance or covenant defeasance can be effected:</w:t>
      </w:r>
    </w:p>
    <w:p>
      <w:pPr>
        <w:spacing w:after="0" w:line="168" w:lineRule="exact"/>
        <w:rPr>
          <w:sz w:val="20"/>
          <w:szCs w:val="20"/>
          <w:color w:val="auto"/>
        </w:rPr>
      </w:pPr>
    </w:p>
    <w:p>
      <w:pPr>
        <w:jc w:val="both"/>
        <w:ind w:left="500" w:hanging="251"/>
        <w:spacing w:after="0" w:line="256"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irrevocably deposit with the indenture trustee or other qualifying trustee, under the terms of an irrevocable trust agreement in form and substance satisfactory to the trustee, trust funds in trust solely for the benefit of the holders of such debt securities, sufficient money or government obligations, or a combination thereof, to pay the principal, any interest and any other sums on the due dates for those payments; and</w:t>
      </w:r>
    </w:p>
    <w:p>
      <w:pPr>
        <w:spacing w:after="0" w:line="143" w:lineRule="exact"/>
        <w:rPr>
          <w:rFonts w:ascii="Times New Roman" w:cs="Times New Roman" w:eastAsia="Times New Roman" w:hAnsi="Times New Roman"/>
          <w:sz w:val="14"/>
          <w:szCs w:val="14"/>
          <w:color w:val="auto"/>
        </w:rPr>
      </w:pPr>
    </w:p>
    <w:p>
      <w:pPr>
        <w:jc w:val="both"/>
        <w:ind w:left="500" w:hanging="251"/>
        <w:spacing w:after="0" w:line="256"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an opinion of counsel to the effect that the holders of such debt securities will not recognize income, gain or loss for federal income tax purposes as a result of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defeasance, any irrevocable trust agreement contemplated by the indenture must include, among other things, provision for:</w:t>
      </w:r>
    </w:p>
    <w:p>
      <w:pPr>
        <w:spacing w:after="0" w:line="168" w:lineRule="exact"/>
        <w:rPr>
          <w:sz w:val="20"/>
          <w:szCs w:val="20"/>
          <w:color w:val="auto"/>
        </w:rPr>
      </w:pPr>
    </w:p>
    <w:p>
      <w:pPr>
        <w:ind w:left="500" w:hanging="251"/>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the principal of and interest on such debt securities, if any, appertaining thereto when due (by redemption, sinking fund payments or otherwise),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the expenses of the trustee incurred or to be incurred in connection with carrying out such trust provisions,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registration, transfer, substitution and exchange of such debt securities in accordance with the terms stated in the indenture,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continuation of the rights, obligations and immunities of the trustee as against the holders of such debt securities as stated in the indenture.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prospectus supplement may further describe any provisions permitting or restricting defeasance or covenant defeasance with respect to the debt securities of a particular series.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will give notices to holders of the debt securities by mail at the addresses listed in the security register. In the case of notice in respect of unregistered securities or coupon securities, we may give notice by publication in a newspaper of general circulation in New York, New York.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particular terms of a series of debt securities will be described in a prospectus supplement relating to such series of debt securities. Any indentures will be subject to and governed by the Trust Indenture Act of 1939, as amended, and may be supplemented or amended from time to time following their execution. Unless otherwise stated in the applicable prospectus supplement, we will not be limited in the amount of debt securities that we may issue, and neither the senior debt securities nor the subordinated debt securities will be secured by any of our property or assets. Thus, by owning debt securities, you are one of our unsecured creditors.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From time to time, we may maintain deposit accounts and conduct other banking transactions with the trustee to be appointed under the indenture or its affiliates in the ordinary course of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may offer to sell warrants from time to time. If we do so, we will describe the specific terms of the warrants in a prospectus supplement. In particular, we may issue warrants for the purchase of common stock, preferred stock and/or debt securities in one or more series. We may also issue warrants independently or together with other securities and the warrants may be attached to or separate from those securities.</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agreement. We will enter into the warrant agreement with a warrant agent. We will indicate the name and address of the warrant agent in the applicable prospectus supplement relating to a particular series of warrants.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168" w:lineRule="exact"/>
        <w:rPr>
          <w:sz w:val="20"/>
          <w:szCs w:val="20"/>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designation and terms of the securities with which the warrants are issued and the number of warrants issued with each such security or each principal amount of such security;</w:t>
      </w:r>
    </w:p>
    <w:p>
      <w:pPr>
        <w:spacing w:after="0" w:line="179" w:lineRule="exact"/>
        <w:rPr>
          <w:rFonts w:ascii="Times New Roman" w:cs="Times New Roman" w:eastAsia="Times New Roman" w:hAnsi="Times New Roman"/>
          <w:sz w:val="13"/>
          <w:szCs w:val="13"/>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35"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United States federal income tax consequences of holding or exercising the warrants;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material terms, preferences, rights or limitations of or restrictions on the warrants.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Holders may exercise the warrants by delivering the warrant certificate representing the warrants to be exercised together with other requested information, and paying the required amount to the warrant agent in immediately available funds, as provided in the applicable prospectus supplement. We will set forth in the applicable prospectus supplement the information that the holder of the warrant will be required to deliver to the warrant agent.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4"/>
          <w:szCs w:val="14"/>
          <w:color w:val="auto"/>
        </w:rPr>
        <w:t>Upon receipt of the required payment and the warrant certificate properly completed and duly executed at the office of the warrant agent or any other office indicated in the applicable prospectus supplement, we will issue and deliver the securities purchasable upon such exercise. If a holder exercises fewer than all of the warrants represented by the warrant certificate, then we will issue a new warrant certificate for the remaining amount of warrants.</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Holder will not have any of the rights of the holders of the securities purchasable upon the exercise of warrants until you exercise them. Accordingly, holder will not be entitled to, among other things, vote or receive dividend payments or similar distributions on the securities you can purchase upon exercise of the warrants.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information provided above is only a summary of the terms under which we may offer warrants for sale. Accordingly, investors must carefully review the applicable warrant agreement for more information about the specific terms and conditions of these warrants before investing in us. In addition, please carefully review the information provided in the applicable prospectus supplement, which contains additional information that is important for you to consider in evaluating an investment in our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may issue rights to purchase shares of our Common Stock. These rights may be issued independently or together with any other security offered hereby and may or may not be transferable by the stockholder receiving the rights in such offering. In connection with any offering of such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Each series of rights will be issued under a separate rights agreement that we will enter with a bank or trust company, as rights agent, all of which will be set forth in the relevant offering material. The rights agent will act solely as our agent in connection with the certificates relating to the rights and will not assume any obligation or relationship of agency or trust with any holders of rights certificates or beneficial owners of rights.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rights that we may offer. The summary is not complete. When rights are offered in the future, a prospectus supplement, information, or document incorporated by reference, related free writing prospectus, or other offering materials, as applicable, will explain the particular terms of those securities and the extent to which these general provisions may apply. The specific terms of the rights as described in a prospectus supplement, information or document incorporated by reference, related free writing prospectus, or other offering materials, as applicable, will supplement and, if applicable, may modify or replace the general terms described in this section.</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This summary and any description of rights in the applicable prospectus supplement, information or document incorporated by reference, related free writing prospectus, or other offering materials is subject to and is qualified in its entirety by reference to the rights agreement and the rights certificates. We will file each of these documents, as applicable, with the SEC and incorporate them by reference as an exhibit to the Registration Statement of which this prospectus is a part on or before the time we issue a series of rights. See “Available Information” and “Incorporation of Certain Documents by Reference” above for information on how to obtain a copy of a document when it is filed.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applicable prospectus supplement, information or document incorporated by reference, related free writing prospectus, or other offering materials may describe:</w:t>
      </w:r>
    </w:p>
    <w:p>
      <w:pPr>
        <w:spacing w:after="0" w:line="168" w:lineRule="exact"/>
        <w:rPr>
          <w:sz w:val="20"/>
          <w:szCs w:val="20"/>
          <w:color w:val="auto"/>
        </w:rPr>
      </w:pPr>
    </w:p>
    <w:p>
      <w:pPr>
        <w:ind w:left="500" w:hanging="251"/>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distribution of rights to our stockholders, the date of determining the stockholders entitled to the rights distribution;</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distribution of rights to our stockholders, the number of rights issued or to be issued to each stockholder;</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the underlying debt securities, shares of our Common Stock upon the exercise of the rights;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29" w:name="page30"/>
    <w:bookmarkEnd w:id="29"/>
    <w:p>
      <w:pPr>
        <w:ind w:left="500" w:hanging="251"/>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the shares of our Common Stock that may be purchased per each right;</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are transferable;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holder’s ability to exercise the rights shall commence, and the date on which the rights shall expire;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may include an over-subscription privilege with respect to unsubscribed securities;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such rights; and</w:t>
      </w:r>
    </w:p>
    <w:p>
      <w:pPr>
        <w:spacing w:after="0" w:line="168" w:lineRule="exact"/>
        <w:rPr>
          <w:rFonts w:ascii="Times New Roman" w:cs="Times New Roman" w:eastAsia="Times New Roman" w:hAnsi="Times New Roman"/>
          <w:sz w:val="14"/>
          <w:szCs w:val="14"/>
          <w:color w:val="auto"/>
        </w:rPr>
      </w:pPr>
    </w:p>
    <w:p>
      <w:pPr>
        <w:ind w:right="2060" w:firstLine="249"/>
        <w:spacing w:after="0" w:line="525" w:lineRule="auto"/>
        <w:tabs>
          <w:tab w:leader="none" w:pos="49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rights, including, but not limited to, the terms, procedures, conditions, and limitations relating to the exchange and exercise of the rights. The provisions described in this section, as well as those described under “Description of Capital Stock” above, will apply, as applicable, to any rights we offer.</w:t>
      </w: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may issue units composed of shares of our common stock, debt securities, shares of preferred stock, and warrants, in any combination.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units that we may offer. The summary is not complete. When units are offered in the future, a prospectus supplement, information, or document incorporated by reference, related free writing prospectus, or other offering materials, as applicable, will explain the particular terms of those securities and the extent to which these general provisions may apply. The specific terms of the units as described in a prospectus supplement, information or document incorporated by reference, related free writing prospectus, or other offering materials, as applicable, will supplement and, if applicable, may modify or replace the general terms described in this section.</w:t>
      </w:r>
    </w:p>
    <w:p>
      <w:pPr>
        <w:spacing w:after="0" w:line="14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This summary and any description of units in the applicable prospectus supplement, information or document incorporated by reference, related free writing prospectus, or other offering materials is subject to and is qualified in its entirety by reference to the unit agreement, collateral arrangements, and depositary arrangements, if applicable. We will file these documents with the SEC for incorporation by reference into this prospectus, as applicable. See “Available Information” and “Incorporation of Certain Information by Reference” for information on how to obtain a copy of a document when it is filed.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applicable prospectus supplement, information or document incorporated by reference, related free writing prospectus, or other offering materials may describe:</w:t>
      </w:r>
    </w:p>
    <w:p>
      <w:pPr>
        <w:spacing w:after="0" w:line="168" w:lineRule="exact"/>
        <w:rPr>
          <w:sz w:val="20"/>
          <w:szCs w:val="20"/>
          <w:color w:val="auto"/>
        </w:rPr>
      </w:pPr>
    </w:p>
    <w:p>
      <w:pPr>
        <w:ind w:left="500" w:hanging="251"/>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composing the units;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applicable provisions described in this section, as well as those described under “Description of Capital Stock” will apply to each unit and to each security included in each unit, respectively.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or other offering materials, we intend to use the net proceeds from the sale of securities under this prospectus for general corporate purposes, which may include funding our ongoing commercial operations and product development, sales and marketing activities, capital expenditures, working capital, and general and administrative expenses. We may also use a portion of the net proceeds to repay outstanding indebtedness, including amounts outstanding under our Pre-Paid Purchase Agreements with Streeterville Capital, LLC. The amounts and timing of our actual expenditures will depend on numerous factors, including the size and timing of each offering, the state of our commercial operations, and any unforeseen cash needs that may arise. We will set forth in the applicable prospectus supplement our intended use of proceeds for each specific offering conducted pursuant to this prospectus.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may sell the securities through underwriters or dealers, through agents, directly to one or more purchasers, through a rights offering, or otherwise. We will describe the terms of the offering of the securities in a prospectus supplement, information or document incorporated by reference, related free writing prospectus, or other offering materials, as applicable, including:</w:t>
      </w:r>
    </w:p>
    <w:p>
      <w:pPr>
        <w:spacing w:after="0" w:line="136" w:lineRule="exact"/>
        <w:rPr>
          <w:sz w:val="20"/>
          <w:szCs w:val="20"/>
          <w:color w:val="auto"/>
        </w:rPr>
      </w:pPr>
    </w:p>
    <w:p>
      <w:pPr>
        <w:ind w:left="500" w:hanging="251"/>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if any;</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will receive from the sale;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and other items constituting underwriters’ compensation;</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Only underwriters we name in the prospectus supplement, information or document incorporated by reference, related free writing prospectus, or other offering materials, as applicable, are underwriters of the securities offered thereby.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distribution of securities may be effected, from time to time, in one or more transactions, including:</w:t>
      </w:r>
    </w:p>
    <w:p>
      <w:pPr>
        <w:spacing w:after="0" w:line="168" w:lineRule="exact"/>
        <w:rPr>
          <w:sz w:val="20"/>
          <w:szCs w:val="20"/>
          <w:color w:val="auto"/>
        </w:rPr>
      </w:pPr>
    </w:p>
    <w:p>
      <w:pPr>
        <w:ind w:left="500" w:hanging="251"/>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transactions (which may involve crosses) and transactions on The Nasdaq Global Market or any other organized market on which the securities may be traded;</w:t>
      </w:r>
    </w:p>
    <w:p>
      <w:pPr>
        <w:spacing w:after="0" w:line="168"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own account pursuant to a prospectus supplement, information or document incorporated by reference, related free writing prospectus, or other offering materials, as applicable;</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a broker-dealer solicits purchasers;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“at the market” to or through a market maker or into an existing trading market, on an exchange or otherwise; and</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in other ways not involving market makers or established trading markets, including direct sales to purchase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4"/>
          <w:szCs w:val="14"/>
          <w:color w:val="auto"/>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Agents may, from time to time, solicit offers to purchase the securities. If required, we will name in the applicable prospectus supplement, information or document incorporated by reference, related free writing prospectus or other offering materials,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information or document incorporated by reference, related free writing prospectus, or other offering materials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information or document incorporated by reference, related free writing prospectus, or other offering materials will be used by the underwriters to resell the securities.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information or document incorporated by reference, related free writing prospectus, or other offering materials, as applicable, the name of the dealer and the terms of the transactions.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information or document incorporated by reference, related free writing prospectus, or other offering materials, as applicable, will describe the terms of any such sales, including the terms of any bidding or auction process, if used.</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Agents, underwriters, and dealers may be entitled under agreements that may be entered into with us to indemnification against specified liabilities, including liabilities incurred under the Securities Act, or to contribution to payments they may be required to make in respect of such liabilities. If required, the prospectus supplement, information or document incorporated by reference, related free writing prospectus, or other offering materials, as applicable, will describe the terms and conditions of such indemnification or contribution. Some of the agents, underwriters or dealers, or their affiliates may be customers of, engage in transactions with or perform services for us, our subsidiaries, or affiliates in the ordinary course of business. Under the securities laws of some states, the securities offered by this prospectus may be sold in those states only through registered or licensed brokers or dealers.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4"/>
          <w:szCs w:val="14"/>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occur, they will be described in the applicable prospectus supplement, information or document incorporated by reference, related free writing prospectus, or other offering materials.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specific plan of distribution.</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All securities we offer other than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Lucosky Brookman LLP will pass upon certain legal matters relating to the issuance and sale of the securities offered hereby on behalf of Arrive AI Inc. The legality of the securities for any underwriters, dealers, or agents will be passed upon by counsel as may be specified in the applicable prospectus supplement.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The financial statements of Arrive AI Inc. as of and for the year ended December 31, 2025, incorporated by reference in this prospectus and elsewhere in this Registration Statement, have been audited by Stephano Slack LLC, an independent registered public accounting firm, as set forth in their report, which contains an explanatory paragraph relating to substantial doubt about Arrive AI Inc.’s ability to continue as a going concern, incorporated by reference herein, and have been so incorporated in reliance upon the report of such firm given on their authority as experts in accounting and auditing.</w:t>
      </w:r>
    </w:p>
    <w:p>
      <w:pPr>
        <w:spacing w:after="0" w:line="12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The financial statements of Arrive AI Inc. as of and for the year ended December 31, 2024, incorporated by reference in this prospectus and elsewhere in this Registration Statement, have been audited by Assurance Dimensions LLC, an independent registered public accounting firm, as set forth in their report, which contains an explanatory paragraph relating to substantial doubt about Arrive AI Inc.’s ability to continue as a going concern, incorporated by reference herein, and have been so incorporated in reliance upon the report of such firm given on their authority as experts in accounting and auditing.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Resignation of Independent Registered Public Accounting Firm</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April 4, 2025, in conjunction with its exit from providing audit services to publicly traded companies, Assurance Dimensions, LLC (“Assurance Dimensions”) resigned from its role as independent registered public accounting firm for Arrive AI Inc. (the “Company”). Assurance Dimensions’ reports on the Company’s consolidated financial statements as of and for the fiscal years ended December 31, 2024, and December 31, 2023 did not contain an adverse opinion or disclaimer of opinion and were not qualified or modified as to uncertainty, audit scope or accounting principles. During the fiscal years ended December 31, 2024 and December 31, 2023, (i) there were no disagreements within the meaning of Item 304(a)(1)(iv) of Regulation S-K, between the Company and Assurance Dimensions on any matter of accounting principles or practices, financial statement disclosure, or auditing scope or procedure, any of which that, if not resolved to Assurance Dimensions’ satisfaction, would have caused Assurance Dimensions to make reference to the subject matter of any such disagreement in connection with its reports for such years, and (ii) there were no reportable events within the meaning of Item 304(a)(1)(v) of Regulation S-K.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3" w:name="page34"/>
    <w:bookmarkEnd w:id="33"/>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provided Assurance Dimensions with a copy of the above disclosures and requested that Assurance Dimensions furnish a letter addressed to the Securities and Exchange Commission stating whether it agrees with the statements made herein. A copy of Assurance Dimensions’ letter dated April 16, 2025 is filed as Exhibit 16.1 to our Direct Listing Registration Statement.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Newly Engaged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18, 2025, the Company engaged Stephano Slack LLC (“Stephano Slack”) as the Company’s new independent registered public accounting firm for the fiscal year ending December 31, 2025.</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During the Company’s fiscal years ended December 31, 2024 and December 31, 2023, neither the Company nor anyone on its behalf has consulted with Stephano Slack regarding (i) the application of accounting principles to a specified transaction, either completed or proposed, or the type of audit opinion that might be rendered on the Company’s financial statements, and neither a written report nor oral advice was provided to the Company that Stephano Slack concluded was an important factor considered by the Company in reaching a decision as to any accounting, auditing, or financial reporting issue,</w:t>
      </w:r>
    </w:p>
    <w:p>
      <w:pPr>
        <w:spacing w:after="0" w:line="1" w:lineRule="exact"/>
        <w:rPr>
          <w:sz w:val="20"/>
          <w:szCs w:val="20"/>
          <w:color w:val="auto"/>
        </w:rPr>
      </w:pPr>
    </w:p>
    <w:p>
      <w:pPr>
        <w:ind w:left="200" w:hanging="198"/>
        <w:spacing w:after="0"/>
        <w:tabs>
          <w:tab w:leader="none" w:pos="2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matter that was the subject of a disagreement within the meaning of Item 304(a)(1)(iv) of Regulation S-K, or (iii) any reportable event within the meaning of Item 304(a)(1)(v) of Regulation S-K.</w:t>
      </w:r>
    </w:p>
    <w:p>
      <w:pPr>
        <w:spacing w:after="0" w:line="164" w:lineRule="exact"/>
        <w:rPr>
          <w:rFonts w:ascii="Times New Roman" w:cs="Times New Roman" w:eastAsia="Times New Roman" w:hAnsi="Times New Roman"/>
          <w:sz w:val="13"/>
          <w:szCs w:val="13"/>
          <w:color w:val="auto"/>
        </w:rPr>
      </w:pPr>
    </w:p>
    <w:p>
      <w:pPr>
        <w:ind w:left="4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WHERE YOU CAN FIND MORE INFORMATION</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with respect to the shares of common stock being offered by this prospectus. This prospectus, which constitutes part of the registration statement, does not contain all of the information set forth in the registration statement or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subject to the information and reporting requirements of the Exchange Act and, in accordance with this law, have filed and will continue to file periodic reports, proxy statements and other information with the SEC. We also maintain a website at ArriveAI.com. where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following table sets forth all costs and expenses paid or payable by us in connection with the sale of the common stock being registered. All amounts shown are estimates except for the SEC registration fee, and the FINRA filing fee.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13,810</w:t>
            </w:r>
          </w:p>
        </w:tc>
        <w:tc>
          <w:tcPr>
            <w:tcW w:w="0" w:type="dxa"/>
            <w:vAlign w:val="bottom"/>
          </w:tcPr>
          <w:p>
            <w:pPr>
              <w:spacing w:after="0"/>
              <w:rPr>
                <w:sz w:val="1"/>
                <w:szCs w:val="1"/>
                <w:color w:val="auto"/>
              </w:rPr>
            </w:pPr>
          </w:p>
        </w:tc>
      </w:tr>
      <w:tr>
        <w:trPr>
          <w:trHeight w:val="165"/>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13,810*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 These fees are calculated based on the securities offered and the number of issuances and accordingly cannot be estimated at this time.</w:t>
            </w:r>
          </w:p>
        </w:tc>
        <w:tc>
          <w:tcPr>
            <w:tcW w:w="9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8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are incorporated under the laws of the State of Delaware. Section 145 of the Delaware General Corporation Law (“DGCL”)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Our bylaws include such provisions related to our authority to indemnify a director, officer, employee, fiduciary, or agent.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Section 145 of the DGCL also provides that Delaware corporation may indemnify any person who is, or is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Under the DGCL, where an officer or director is successful on the merits or otherwise in the defense of any action referred to above, the corporation must indemnify him or her against the expenses which such officer or director has actually and reasonably incurred. Article VI, Section 6.1 of our bylaws contains a mandatory indemnification provision, which requires us to indemnify a person in the defense of any proceeding to which the person was a party because the person is or was a director or officer, against reasonable expenses incurred by him or her in connection with the proceeding.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35" w:name="page36"/>
    <w:bookmarkEnd w:id="35"/>
    <w:p>
      <w:pPr>
        <w:spacing w:after="0" w:line="267" w:lineRule="auto"/>
        <w:rPr>
          <w:sz w:val="20"/>
          <w:szCs w:val="20"/>
          <w:color w:val="auto"/>
        </w:rPr>
      </w:pPr>
      <w:r>
        <w:rPr>
          <w:rFonts w:ascii="Times New Roman" w:cs="Times New Roman" w:eastAsia="Times New Roman" w:hAnsi="Times New Roman"/>
          <w:sz w:val="14"/>
          <w:szCs w:val="14"/>
          <w:color w:val="auto"/>
        </w:rPr>
        <w:t>Section 102(b)(7) of the DGCL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36" w:lineRule="exact"/>
        <w:rPr>
          <w:sz w:val="20"/>
          <w:szCs w:val="20"/>
          <w:color w:val="auto"/>
        </w:rPr>
      </w:pPr>
    </w:p>
    <w:p>
      <w:pPr>
        <w:ind w:left="500" w:hanging="251"/>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a director’s duty of loyalty to the corporation or its stockholders;</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 or omission not in good faith or that involves intentional misconduct or a knowing violation of law;</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 payment of dividends, stock purchase or redemption of shares; or</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from which the director derives an improper personal benefit.</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Pursuant to Article VI, Section 6.2 of our bylaws, expenses incurred by any officer or director in defending any proceeding in advance of its final disposition shall be paid by us upon delivery to us of an undertaking by or on behalf of such director or officer, to repay all amounts advanced if it should ultimately be determined that such director or officer is not entitled to be indemnified by us.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on the books containing minutes of the meetings of the board of directors at the time such action occurred or immediately after such absent director receives notice of the unlawful acts.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an insurance policy covering our officers and directors with respect to certain liabilities, including liabilities arising under the Securities Act, or otherwise.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the Exhibit Index immediately preceding the signature page hereto for a list of exhibits filed as part of this registration statement on Form S-3, which Exhibit Index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Statement Schedules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financial statement schedules are omitted because the information called for is not required or is shown either in the financial statements or in the accompanying notes.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2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Filed or</w:t>
            </w:r>
          </w:p>
        </w:tc>
        <w:tc>
          <w:tcPr>
            <w:tcW w:w="0" w:type="dxa"/>
            <w:vAlign w:val="bottom"/>
          </w:tcPr>
          <w:p>
            <w:pPr>
              <w:spacing w:after="0"/>
              <w:rPr>
                <w:sz w:val="1"/>
                <w:szCs w:val="1"/>
                <w:color w:val="auto"/>
              </w:rPr>
            </w:pPr>
          </w:p>
        </w:tc>
      </w:tr>
      <w:tr>
        <w:trPr>
          <w:trHeight w:val="190"/>
        </w:trPr>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Furnished</w:t>
            </w:r>
          </w:p>
        </w:tc>
        <w:tc>
          <w:tcPr>
            <w:tcW w:w="0" w:type="dxa"/>
            <w:vAlign w:val="bottom"/>
          </w:tcPr>
          <w:p>
            <w:pPr>
              <w:spacing w:after="0"/>
              <w:rPr>
                <w:sz w:val="1"/>
                <w:szCs w:val="1"/>
                <w:color w:val="auto"/>
              </w:rPr>
            </w:pPr>
          </w:p>
        </w:tc>
      </w:tr>
      <w:tr>
        <w:trPr>
          <w:trHeight w:val="166"/>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7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35"/>
        </w:trPr>
        <w:tc>
          <w:tcPr>
            <w:tcW w:w="500" w:type="dxa"/>
            <w:vAlign w:val="bottom"/>
            <w:tcBorders>
              <w:top w:val="single" w:sz="8" w:color="auto"/>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520" w:type="dxa"/>
            <w:vAlign w:val="bottom"/>
            <w:tcBorders>
              <w:top w:val="single" w:sz="8" w:color="auto"/>
              <w:bottom w:val="single" w:sz="8" w:color="0000EE"/>
            </w:tcBorders>
            <w:gridSpan w:val="4"/>
            <w:shd w:val="clear" w:color="auto" w:fill="CCEEFF"/>
          </w:tcPr>
          <w:p>
            <w:pPr>
              <w:spacing w:after="0" w:line="124" w:lineRule="exact"/>
              <w:rPr>
                <w:rFonts w:ascii="Times New Roman" w:cs="Times New Roman" w:eastAsia="Times New Roman" w:hAnsi="Times New Roman"/>
                <w:sz w:val="14"/>
                <w:szCs w:val="14"/>
                <w:color w:val="0000EE"/>
                <w:w w:val="97"/>
              </w:rPr>
            </w:pPr>
            <w:hyperlink r:id="rId63">
              <w:r>
                <w:rPr>
                  <w:rFonts w:ascii="Times New Roman" w:cs="Times New Roman" w:eastAsia="Times New Roman" w:hAnsi="Times New Roman"/>
                  <w:sz w:val="14"/>
                  <w:szCs w:val="14"/>
                  <w:color w:val="0000EE"/>
                  <w:w w:val="97"/>
                </w:rPr>
                <w:t>Certificate of Incorporation</w:t>
              </w:r>
            </w:hyperlink>
          </w:p>
        </w:tc>
        <w:tc>
          <w:tcPr>
            <w:tcW w:w="6080" w:type="dxa"/>
            <w:vAlign w:val="bottom"/>
            <w:tcBorders>
              <w:top w:val="single" w:sz="8" w:color="auto"/>
              <w:bottom w:val="single" w:sz="8" w:color="CCEEFF"/>
            </w:tcBorders>
            <w:gridSpan w:val="8"/>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CCEEFF"/>
            </w:tcBorders>
            <w:shd w:val="clear" w:color="auto" w:fill="CCEEFF"/>
          </w:tcPr>
          <w:p>
            <w:pPr>
              <w:jc w:val="center"/>
              <w:spacing w:after="0" w:line="124" w:lineRule="exact"/>
              <w:rPr>
                <w:sz w:val="20"/>
                <w:szCs w:val="20"/>
                <w:color w:val="auto"/>
              </w:rPr>
            </w:pPr>
            <w:r>
              <w:rPr>
                <w:rFonts w:ascii="Times New Roman" w:cs="Times New Roman" w:eastAsia="Times New Roman" w:hAnsi="Times New Roman"/>
                <w:sz w:val="14"/>
                <w:szCs w:val="14"/>
                <w:color w:val="auto"/>
                <w:w w:val="95"/>
              </w:rPr>
              <w:t>S-1/A</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jc w:val="center"/>
              <w:spacing w:after="0" w:line="124"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4"/>
                <w:szCs w:val="14"/>
                <w:color w:val="auto"/>
              </w:rPr>
              <w:t>03/24/2025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1"/>
                <w:szCs w:val="11"/>
                <w:color w:val="auto"/>
              </w:rPr>
            </w:pPr>
          </w:p>
        </w:tc>
        <w:tc>
          <w:tcPr>
            <w:tcW w:w="3140" w:type="dxa"/>
            <w:vAlign w:val="bottom"/>
            <w:tcBorders>
              <w:bottom w:val="single" w:sz="8" w:color="0000EE"/>
            </w:tcBorders>
            <w:gridSpan w:val="9"/>
          </w:tcPr>
          <w:p>
            <w:pPr>
              <w:spacing w:after="0" w:line="134" w:lineRule="exact"/>
              <w:rPr>
                <w:rFonts w:ascii="Times New Roman" w:cs="Times New Roman" w:eastAsia="Times New Roman" w:hAnsi="Times New Roman"/>
                <w:sz w:val="14"/>
                <w:szCs w:val="14"/>
                <w:color w:val="0000EE"/>
                <w:w w:val="97"/>
              </w:rPr>
            </w:pPr>
            <w:hyperlink r:id="rId64">
              <w:r>
                <w:rPr>
                  <w:rFonts w:ascii="Times New Roman" w:cs="Times New Roman" w:eastAsia="Times New Roman" w:hAnsi="Times New Roman"/>
                  <w:sz w:val="14"/>
                  <w:szCs w:val="14"/>
                  <w:color w:val="0000EE"/>
                  <w:w w:val="97"/>
                </w:rPr>
                <w:t>Certificate of Amendment of Certificate of Incorporation</w:t>
              </w:r>
            </w:hyperlink>
          </w:p>
        </w:tc>
        <w:tc>
          <w:tcPr>
            <w:tcW w:w="4560" w:type="dxa"/>
            <w:vAlign w:val="bottom"/>
            <w:gridSpan w:val="4"/>
          </w:tcPr>
          <w:p>
            <w:pPr>
              <w:spacing w:after="0"/>
              <w:rPr>
                <w:sz w:val="11"/>
                <w:szCs w:val="11"/>
                <w:color w:val="auto"/>
              </w:rPr>
            </w:pPr>
          </w:p>
        </w:tc>
        <w:tc>
          <w:tcPr>
            <w:tcW w:w="5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color w:val="auto"/>
                <w:w w:val="95"/>
              </w:rPr>
              <w:t>S-1/A</w:t>
            </w:r>
          </w:p>
        </w:tc>
        <w:tc>
          <w:tcPr>
            <w:tcW w:w="5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color w:val="auto"/>
              </w:rPr>
              <w:t>03/24/2025</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0000EE"/>
            </w:tcBorders>
            <w:shd w:val="clear" w:color="auto" w:fill="CCEEFF"/>
          </w:tcPr>
          <w:p>
            <w:pPr>
              <w:spacing w:after="0" w:line="145" w:lineRule="exact"/>
              <w:rPr>
                <w:rFonts w:ascii="Times New Roman" w:cs="Times New Roman" w:eastAsia="Times New Roman" w:hAnsi="Times New Roman"/>
                <w:sz w:val="14"/>
                <w:szCs w:val="14"/>
                <w:color w:val="0000EE"/>
                <w:w w:val="95"/>
              </w:rPr>
            </w:pPr>
            <w:hyperlink r:id="rId65">
              <w:r>
                <w:rPr>
                  <w:rFonts w:ascii="Times New Roman" w:cs="Times New Roman" w:eastAsia="Times New Roman" w:hAnsi="Times New Roman"/>
                  <w:sz w:val="14"/>
                  <w:szCs w:val="14"/>
                  <w:color w:val="0000EE"/>
                  <w:w w:val="95"/>
                </w:rPr>
                <w:t>Bylaws</w:t>
              </w:r>
            </w:hyperlink>
          </w:p>
        </w:tc>
        <w:tc>
          <w:tcPr>
            <w:tcW w:w="7280" w:type="dxa"/>
            <w:vAlign w:val="bottom"/>
            <w:tcBorders>
              <w:bottom w:val="single" w:sz="8" w:color="CCEEFF"/>
            </w:tcBorders>
            <w:gridSpan w:val="12"/>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5"/>
              </w:rPr>
              <w:t>S-1/A</w:t>
            </w:r>
          </w:p>
        </w:tc>
        <w:tc>
          <w:tcPr>
            <w:tcW w:w="500" w:type="dxa"/>
            <w:vAlign w:val="bottom"/>
            <w:tcBorders>
              <w:bottom w:val="single" w:sz="8" w:color="CCEEFF"/>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03/24/2025</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1"/>
                <w:szCs w:val="11"/>
                <w:color w:val="auto"/>
              </w:rPr>
            </w:pPr>
          </w:p>
        </w:tc>
        <w:tc>
          <w:tcPr>
            <w:tcW w:w="2740" w:type="dxa"/>
            <w:vAlign w:val="bottom"/>
            <w:tcBorders>
              <w:bottom w:val="single" w:sz="8" w:color="0000EE"/>
            </w:tcBorders>
            <w:gridSpan w:val="8"/>
          </w:tcPr>
          <w:p>
            <w:pPr>
              <w:spacing w:after="0" w:line="134" w:lineRule="exact"/>
              <w:rPr>
                <w:sz w:val="20"/>
                <w:szCs w:val="20"/>
                <w:color w:val="auto"/>
              </w:rPr>
            </w:pPr>
            <w:r>
              <w:rPr>
                <w:rFonts w:ascii="Times New Roman" w:cs="Times New Roman" w:eastAsia="Times New Roman" w:hAnsi="Times New Roman"/>
                <w:sz w:val="14"/>
                <w:szCs w:val="14"/>
                <w:color w:val="0000EE"/>
                <w:w w:val="97"/>
              </w:rPr>
              <w:t>Form of Indenture with respect to Debt Securities</w:t>
            </w:r>
          </w:p>
        </w:tc>
        <w:tc>
          <w:tcPr>
            <w:tcW w:w="4960" w:type="dxa"/>
            <w:vAlign w:val="bottom"/>
            <w:gridSpan w:val="5"/>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7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Specimen Common Stock Certificate</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c>
          <w:tcPr>
            <w:tcW w:w="77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Form of Specimen Preferred Stock Certificate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4"/>
                <w:szCs w:val="14"/>
                <w:color w:val="auto"/>
              </w:rPr>
            </w:pPr>
          </w:p>
        </w:tc>
        <w:tc>
          <w:tcPr>
            <w:tcW w:w="7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Certificate of Designation of Preferred Stock</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4"/>
                <w:szCs w:val="14"/>
                <w:color w:val="auto"/>
              </w:rPr>
            </w:pPr>
          </w:p>
        </w:tc>
        <w:tc>
          <w:tcPr>
            <w:tcW w:w="77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Form of Warrant Agreement (including Warrant Certificate) with respect to Warrants to purchase Debt Securities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4"/>
                <w:szCs w:val="14"/>
                <w:color w:val="auto"/>
              </w:rPr>
            </w:pPr>
          </w:p>
        </w:tc>
        <w:tc>
          <w:tcPr>
            <w:tcW w:w="7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Warrant Agreement (including Warrant Certificate) with respect to Warrants to purchase Common Stock</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4"/>
                <w:szCs w:val="14"/>
                <w:color w:val="auto"/>
              </w:rPr>
            </w:pPr>
          </w:p>
        </w:tc>
        <w:tc>
          <w:tcPr>
            <w:tcW w:w="77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Form of Warrant Agreement (including Warrant Certificate) with respect to Warrants to purchase Preferred Stock</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4"/>
                <w:szCs w:val="14"/>
                <w:color w:val="auto"/>
              </w:rPr>
            </w:pPr>
          </w:p>
        </w:tc>
        <w:tc>
          <w:tcPr>
            <w:tcW w:w="7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Warrant Agreement (including Warrant Certificate) with respect to Warrants to purchase Units</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77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Form of Unit Agreement (including Unit Certificate)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4"/>
                <w:szCs w:val="14"/>
                <w:color w:val="auto"/>
              </w:rPr>
            </w:pPr>
          </w:p>
        </w:tc>
        <w:tc>
          <w:tcPr>
            <w:tcW w:w="7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Rights Agreement (including Form of Rights Certificate)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1"/>
                <w:szCs w:val="11"/>
                <w:color w:val="auto"/>
              </w:rPr>
            </w:pPr>
          </w:p>
        </w:tc>
        <w:tc>
          <w:tcPr>
            <w:tcW w:w="7700" w:type="dxa"/>
            <w:vAlign w:val="bottom"/>
            <w:gridSpan w:val="13"/>
          </w:tcPr>
          <w:p>
            <w:pPr>
              <w:spacing w:after="0" w:line="134" w:lineRule="exact"/>
              <w:rPr>
                <w:sz w:val="20"/>
                <w:szCs w:val="20"/>
                <w:color w:val="auto"/>
              </w:rPr>
            </w:pPr>
            <w:r>
              <w:rPr>
                <w:rFonts w:ascii="Times New Roman" w:cs="Times New Roman" w:eastAsia="Times New Roman" w:hAnsi="Times New Roman"/>
                <w:sz w:val="14"/>
                <w:szCs w:val="14"/>
                <w:color w:val="0000EE"/>
              </w:rPr>
              <w:t>Opinion of Lucosky Brookman LLP</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3"/>
                <w:szCs w:val="13"/>
                <w:color w:val="auto"/>
              </w:rPr>
            </w:pPr>
          </w:p>
        </w:tc>
        <w:tc>
          <w:tcPr>
            <w:tcW w:w="7700" w:type="dxa"/>
            <w:vAlign w:val="bottom"/>
            <w:gridSpan w:val="13"/>
            <w:shd w:val="clear" w:color="auto" w:fill="CCEEFF"/>
          </w:tcPr>
          <w:p>
            <w:pPr>
              <w:spacing w:after="0" w:line="145"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Standstill Agreement, dated May 14, 2026, by and between Arrive AI Inc. and Streeterville Capital, LLC.</w:t>
              </w:r>
            </w:hyperlink>
          </w:p>
        </w:tc>
        <w:tc>
          <w:tcPr>
            <w:tcW w:w="58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1"/>
              </w:rPr>
              <w:t>8-K</w:t>
            </w:r>
          </w:p>
        </w:tc>
        <w:tc>
          <w:tcPr>
            <w:tcW w:w="5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05/18/2026</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0" w:type="dxa"/>
            <w:vAlign w:val="bottom"/>
            <w:tcBorders>
              <w:top w:val="single" w:sz="8" w:color="CCEEFF"/>
            </w:tcBorders>
          </w:tcPr>
          <w:p>
            <w:pPr>
              <w:spacing w:after="0" w:line="134" w:lineRule="exact"/>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top w:val="single" w:sz="8" w:color="CCEEFF"/>
            </w:tcBorders>
          </w:tcPr>
          <w:p>
            <w:pPr>
              <w:spacing w:after="0"/>
              <w:rPr>
                <w:sz w:val="11"/>
                <w:szCs w:val="11"/>
                <w:color w:val="auto"/>
              </w:rPr>
            </w:pPr>
          </w:p>
        </w:tc>
        <w:tc>
          <w:tcPr>
            <w:tcW w:w="5800" w:type="dxa"/>
            <w:vAlign w:val="bottom"/>
            <w:tcBorders>
              <w:top w:val="single" w:sz="8" w:color="0000EE"/>
            </w:tcBorders>
            <w:gridSpan w:val="11"/>
          </w:tcPr>
          <w:p>
            <w:pPr>
              <w:spacing w:after="0" w:line="134" w:lineRule="exact"/>
              <w:rPr>
                <w:sz w:val="20"/>
                <w:szCs w:val="20"/>
                <w:color w:val="auto"/>
              </w:rPr>
            </w:pPr>
            <w:r>
              <w:rPr>
                <w:rFonts w:ascii="Times New Roman" w:cs="Times New Roman" w:eastAsia="Times New Roman" w:hAnsi="Times New Roman"/>
                <w:sz w:val="14"/>
                <w:szCs w:val="14"/>
                <w:color w:val="0000EE"/>
              </w:rPr>
              <w:t>Consent of Stephano Slack</w:t>
            </w:r>
          </w:p>
        </w:tc>
        <w:tc>
          <w:tcPr>
            <w:tcW w:w="1900" w:type="dxa"/>
            <w:vAlign w:val="bottom"/>
            <w:tcBorders>
              <w:top w:val="single" w:sz="8" w:color="CCEEFF"/>
            </w:tcBorders>
            <w:gridSpan w:val="2"/>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2"/>
                <w:szCs w:val="12"/>
                <w:color w:val="auto"/>
              </w:rPr>
            </w:pPr>
          </w:p>
        </w:tc>
        <w:tc>
          <w:tcPr>
            <w:tcW w:w="7700" w:type="dxa"/>
            <w:vAlign w:val="bottom"/>
            <w:gridSpan w:val="1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Consent of Assurance Dimensions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1"/>
        </w:trPr>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50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1"/>
                <w:szCs w:val="11"/>
                <w:color w:val="auto"/>
              </w:rPr>
            </w:pPr>
          </w:p>
        </w:tc>
        <w:tc>
          <w:tcPr>
            <w:tcW w:w="7700" w:type="dxa"/>
            <w:vAlign w:val="bottom"/>
            <w:gridSpan w:val="13"/>
          </w:tcPr>
          <w:p>
            <w:pPr>
              <w:spacing w:after="0" w:line="134" w:lineRule="exact"/>
              <w:rPr>
                <w:sz w:val="20"/>
                <w:szCs w:val="20"/>
                <w:color w:val="auto"/>
              </w:rPr>
            </w:pPr>
            <w:r>
              <w:rPr>
                <w:rFonts w:ascii="Times New Roman" w:cs="Times New Roman" w:eastAsia="Times New Roman" w:hAnsi="Times New Roman"/>
                <w:sz w:val="14"/>
                <w:szCs w:val="14"/>
                <w:color w:val="0000EE"/>
              </w:rPr>
              <w:t>Consent of Lucosky Brookman LLP (included in Exhibit 5.1)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5"/>
        </w:trPr>
        <w:tc>
          <w:tcPr>
            <w:tcW w:w="5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2"/>
                <w:szCs w:val="12"/>
                <w:color w:val="auto"/>
              </w:rPr>
            </w:pPr>
          </w:p>
        </w:tc>
        <w:tc>
          <w:tcPr>
            <w:tcW w:w="3380" w:type="dxa"/>
            <w:vAlign w:val="bottom"/>
            <w:tcBorders>
              <w:top w:val="single" w:sz="8" w:color="0000EE"/>
            </w:tcBorders>
            <w:gridSpan w:val="10"/>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Power of Attorney (included on signature page)</w:t>
            </w:r>
          </w:p>
        </w:tc>
        <w:tc>
          <w:tcPr>
            <w:tcW w:w="4320" w:type="dxa"/>
            <w:vAlign w:val="bottom"/>
            <w:gridSpan w:val="3"/>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1"/>
        </w:trPr>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3"/>
                <w:szCs w:val="13"/>
                <w:color w:val="auto"/>
              </w:rPr>
            </w:pPr>
          </w:p>
        </w:tc>
        <w:tc>
          <w:tcPr>
            <w:tcW w:w="770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auto"/>
              </w:rPr>
              <w:t>Form T-1 Statement of Eligibility under Trust Indenture Act of 1939 of Debt Trustee (to be filed prior to any issuance of Senior Debt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70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auto"/>
              </w:rPr>
              <w:t>Securities)</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7700" w:type="dxa"/>
            <w:vAlign w:val="bottom"/>
            <w:gridSpan w:val="13"/>
            <w:vMerge w:val="continue"/>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3"/>
                <w:szCs w:val="13"/>
                <w:color w:val="auto"/>
              </w:rPr>
            </w:pPr>
          </w:p>
        </w:tc>
        <w:tc>
          <w:tcPr>
            <w:tcW w:w="7700" w:type="dxa"/>
            <w:vAlign w:val="bottom"/>
            <w:gridSpan w:val="13"/>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Form T-1 Statement of Eligibility under Trust Indenture Act of 1939 of Debt Trustee (to be filed prior to any issuance of Subordinated</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5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700" w:type="dxa"/>
            <w:vAlign w:val="bottom"/>
            <w:gridSpan w:val="1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700" w:type="dxa"/>
            <w:vAlign w:val="bottom"/>
            <w:gridSpan w:val="13"/>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1"/>
                <w:szCs w:val="11"/>
                <w:color w:val="auto"/>
              </w:rPr>
            </w:pPr>
          </w:p>
        </w:tc>
        <w:tc>
          <w:tcPr>
            <w:tcW w:w="7700" w:type="dxa"/>
            <w:vAlign w:val="bottom"/>
            <w:gridSpan w:val="13"/>
          </w:tcPr>
          <w:p>
            <w:pPr>
              <w:spacing w:after="0" w:line="134" w:lineRule="exact"/>
              <w:rPr>
                <w:sz w:val="20"/>
                <w:szCs w:val="20"/>
                <w:color w:val="auto"/>
              </w:rPr>
            </w:pPr>
            <w:r>
              <w:rPr>
                <w:rFonts w:ascii="Times New Roman" w:cs="Times New Roman" w:eastAsia="Times New Roman" w:hAnsi="Times New Roman"/>
                <w:sz w:val="14"/>
                <w:szCs w:val="14"/>
                <w:color w:val="0000EE"/>
              </w:rPr>
              <w:t>Filing Fee Table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2720" w:firstLine="2"/>
        <w:spacing w:after="0" w:line="267" w:lineRule="auto"/>
        <w:tabs>
          <w:tab w:leader="none" w:pos="24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as an amendment or as an exhibit to a document filed under the Exchange Act and incorporated by reference into this registration statement. ** To be filed in accordance with the requirements of Section 305(b)(2) of the Trust Indenture Act of 1939.</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68" w:lineRule="exact"/>
        <w:rPr>
          <w:sz w:val="20"/>
          <w:szCs w:val="20"/>
          <w:color w:val="auto"/>
        </w:rPr>
      </w:pPr>
    </w:p>
    <w:p>
      <w:pPr>
        <w:ind w:left="500" w:hanging="251"/>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8" w:lineRule="exact"/>
        <w:rPr>
          <w:rFonts w:ascii="Times New Roman" w:cs="Times New Roman" w:eastAsia="Times New Roman" w:hAnsi="Times New Roman"/>
          <w:sz w:val="14"/>
          <w:szCs w:val="14"/>
          <w:color w:val="auto"/>
        </w:rPr>
      </w:pPr>
    </w:p>
    <w:p>
      <w:pPr>
        <w:ind w:left="740" w:hanging="244"/>
        <w:spacing w:after="0"/>
        <w:tabs>
          <w:tab w:leader="none" w:pos="7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68" w:lineRule="exact"/>
        <w:rPr>
          <w:rFonts w:ascii="Times New Roman" w:cs="Times New Roman" w:eastAsia="Times New Roman" w:hAnsi="Times New Roman"/>
          <w:sz w:val="14"/>
          <w:szCs w:val="14"/>
          <w:color w:val="auto"/>
        </w:rPr>
      </w:pPr>
    </w:p>
    <w:p>
      <w:pPr>
        <w:jc w:val="both"/>
        <w:ind w:left="740" w:hanging="244"/>
        <w:spacing w:after="0" w:line="251" w:lineRule="auto"/>
        <w:tabs>
          <w:tab w:leader="none" w:pos="7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45" w:lineRule="exact"/>
        <w:rPr>
          <w:rFonts w:ascii="Times New Roman" w:cs="Times New Roman" w:eastAsia="Times New Roman" w:hAnsi="Times New Roman"/>
          <w:sz w:val="14"/>
          <w:szCs w:val="14"/>
          <w:color w:val="auto"/>
        </w:rPr>
      </w:pPr>
    </w:p>
    <w:p>
      <w:pPr>
        <w:ind w:left="740" w:hanging="244"/>
        <w:spacing w:after="0" w:line="267" w:lineRule="auto"/>
        <w:tabs>
          <w:tab w:leader="none" w:pos="7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(1)(ii) and (1)(iii) above do not apply if the information required to be included in a post-effective amendment by those paragraphs is contained in reports filed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1" w:lineRule="exact"/>
        <w:rPr>
          <w:sz w:val="20"/>
          <w:szCs w:val="20"/>
          <w:color w:val="auto"/>
        </w:rPr>
      </w:pPr>
    </w:p>
    <w:p>
      <w:pPr>
        <w:ind w:left="500" w:hanging="251"/>
        <w:spacing w:after="0" w:line="267" w:lineRule="auto"/>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68" w:lineRule="exact"/>
        <w:rPr>
          <w:rFonts w:ascii="Times New Roman" w:cs="Times New Roman" w:eastAsia="Times New Roman" w:hAnsi="Times New Roman"/>
          <w:sz w:val="14"/>
          <w:szCs w:val="14"/>
          <w:color w:val="auto"/>
        </w:rPr>
      </w:pPr>
    </w:p>
    <w:p>
      <w:pPr>
        <w:ind w:left="740" w:hanging="244"/>
        <w:spacing w:after="0" w:line="267" w:lineRule="auto"/>
        <w:tabs>
          <w:tab w:leader="none" w:pos="7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5" w:lineRule="exact"/>
        <w:rPr>
          <w:rFonts w:ascii="Times New Roman" w:cs="Times New Roman" w:eastAsia="Times New Roman" w:hAnsi="Times New Roman"/>
          <w:sz w:val="14"/>
          <w:szCs w:val="14"/>
          <w:color w:val="auto"/>
        </w:rPr>
      </w:pPr>
    </w:p>
    <w:p>
      <w:pPr>
        <w:ind w:left="740" w:hanging="244"/>
        <w:spacing w:after="0"/>
        <w:tabs>
          <w:tab w:leader="none" w:pos="74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w:t>
      </w:r>
    </w:p>
    <w:p>
      <w:pPr>
        <w:spacing w:after="0" w:line="26" w:lineRule="exact"/>
        <w:rPr>
          <w:rFonts w:ascii="Times New Roman" w:cs="Times New Roman" w:eastAsia="Times New Roman" w:hAnsi="Times New Roman"/>
          <w:sz w:val="13"/>
          <w:szCs w:val="13"/>
          <w:color w:val="auto"/>
        </w:rPr>
      </w:pPr>
    </w:p>
    <w:p>
      <w:pPr>
        <w:jc w:val="both"/>
        <w:ind w:left="740"/>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statement made in a registration statement or prospectus that is part of the registration statement or made in a document incorporated or deemed incorporated by reference into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38" w:name="page39"/>
    <w:bookmarkEnd w:id="38"/>
    <w:p>
      <w:pPr>
        <w:jc w:val="both"/>
        <w:ind w:left="260" w:hanging="251"/>
        <w:spacing w:after="0" w:line="252"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68"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68" w:lineRule="exact"/>
        <w:rPr>
          <w:rFonts w:ascii="Times New Roman" w:cs="Times New Roman" w:eastAsia="Times New Roman" w:hAnsi="Times New Roman"/>
          <w:sz w:val="14"/>
          <w:szCs w:val="14"/>
          <w:color w:val="auto"/>
        </w:rPr>
      </w:pPr>
    </w:p>
    <w:p>
      <w:pPr>
        <w:ind w:left="500" w:hanging="244"/>
        <w:spacing w:after="0" w:line="267" w:lineRule="auto"/>
        <w:tabs>
          <w:tab w:leader="none" w:pos="5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8" w:lineRule="exact"/>
        <w:rPr>
          <w:rFonts w:ascii="Times New Roman" w:cs="Times New Roman" w:eastAsia="Times New Roman" w:hAnsi="Times New Roman"/>
          <w:sz w:val="14"/>
          <w:szCs w:val="14"/>
          <w:color w:val="auto"/>
        </w:rPr>
      </w:pPr>
    </w:p>
    <w:p>
      <w:pPr>
        <w:jc w:val="both"/>
        <w:ind w:left="260" w:hanging="251"/>
        <w:spacing w:after="0" w:line="252"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146" w:lineRule="exact"/>
        <w:rPr>
          <w:rFonts w:ascii="Times New Roman" w:cs="Times New Roman" w:eastAsia="Times New Roman" w:hAnsi="Times New Roman"/>
          <w:sz w:val="14"/>
          <w:szCs w:val="14"/>
          <w:color w:val="auto"/>
        </w:rPr>
      </w:pPr>
    </w:p>
    <w:p>
      <w:pPr>
        <w:jc w:val="both"/>
        <w:ind w:left="260" w:hanging="251"/>
        <w:spacing w:after="0" w:line="252"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6" w:lineRule="exact"/>
        <w:rPr>
          <w:rFonts w:ascii="Times New Roman" w:cs="Times New Roman" w:eastAsia="Times New Roman" w:hAnsi="Times New Roman"/>
          <w:sz w:val="14"/>
          <w:szCs w:val="14"/>
          <w:color w:val="auto"/>
        </w:rPr>
      </w:pPr>
    </w:p>
    <w:p>
      <w:pPr>
        <w:ind w:left="260" w:hanging="251"/>
        <w:spacing w:after="0" w:line="267"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35" w:lineRule="exact"/>
        <w:rPr>
          <w:rFonts w:ascii="Times New Roman" w:cs="Times New Roman" w:eastAsia="Times New Roman" w:hAnsi="Times New Roman"/>
          <w:sz w:val="14"/>
          <w:szCs w:val="14"/>
          <w:color w:val="auto"/>
        </w:rPr>
      </w:pPr>
    </w:p>
    <w:p>
      <w:pPr>
        <w:jc w:val="both"/>
        <w:ind w:left="260" w:hanging="251"/>
        <w:spacing w:after="0" w:line="249"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71647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40"/>
          </w:cols>
          <w:pgMar w:left="540" w:top="559"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on Form S-3 to be signed on its behalf by the undersigned, thereunto duly authorized on June 1, 2026.</w:t>
      </w:r>
    </w:p>
    <w:p>
      <w:pPr>
        <w:spacing w:after="0" w:line="1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ARRIVE AI INC.</w:t>
      </w:r>
    </w:p>
    <w:p>
      <w:pPr>
        <w:spacing w:after="0" w:line="168" w:lineRule="exact"/>
        <w:rPr>
          <w:sz w:val="20"/>
          <w:szCs w:val="20"/>
          <w:color w:val="auto"/>
        </w:rPr>
      </w:pPr>
    </w:p>
    <w:tbl>
      <w:tblPr>
        <w:tblLayout w:type="fixed"/>
        <w:tblInd w:w="564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Daniel S. O’Toole</w:t>
            </w:r>
          </w:p>
        </w:tc>
      </w:tr>
      <w:tr>
        <w:trPr>
          <w:trHeight w:val="142"/>
        </w:trPr>
        <w:tc>
          <w:tcPr>
            <w:tcW w:w="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Daniel S. O’Toole</w:t>
            </w:r>
          </w:p>
        </w:tc>
      </w:tr>
      <w:tr>
        <w:trPr>
          <w:trHeight w:val="17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Todd Pepmeier</w:t>
            </w:r>
          </w:p>
        </w:tc>
      </w:tr>
      <w:tr>
        <w:trPr>
          <w:trHeight w:val="142"/>
        </w:trPr>
        <w:tc>
          <w:tcPr>
            <w:tcW w:w="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Todd Pepmeier</w:t>
            </w:r>
          </w:p>
        </w:tc>
      </w:tr>
      <w:tr>
        <w:trPr>
          <w:trHeight w:val="17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constitutes and appoints John Ritchison, his true and lawful attorney-in-fact and agent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his, hers or their substitute or substitutes, may lawfully do or cause to be done or by virtue hereof.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80"/>
          </w:cols>
          <w:pgMar w:left="300" w:top="555" w:right="319" w:bottom="1440" w:gutter="0" w:footer="0" w:header="0"/>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172402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 Daniel S. O’Toole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Daniel S.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 Daniel S. O’Toole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Daniel S.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Todd Pepmeier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Mark Hamm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Neerav Shah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Neerav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John Ritchison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Ritchison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John Gallina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Gallina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Kevin McAdams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Kevin 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Laurie A. Tucker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Laurie A.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Michael T. Fitz</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Michael T. Fitz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72402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172402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9"/>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Chairman of the Board of Directors</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492"/>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Chief Executive Officer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176"/>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(Principal Executive Officer)</w:t>
            </w: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8"/>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Financial Officer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176"/>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(Principal Financial and Accounting Officer)</w:t>
            </w: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39"/>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Operating Officer, 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504"/>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Strategy Officer, 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504"/>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General Counsel, 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504"/>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504"/>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504"/>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504"/>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1, 2026</w:t>
            </w:r>
          </w:p>
        </w:tc>
      </w:tr>
      <w:tr>
        <w:trPr>
          <w:trHeight w:val="494"/>
        </w:trPr>
        <w:tc>
          <w:tcPr>
            <w:tcW w:w="5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II-6</w:t>
            </w: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635</wp:posOffset>
            </wp:positionV>
            <wp:extent cx="716470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2">
            <w:col w:w="2220" w:space="720"/>
            <w:col w:w="8340"/>
          </w:cols>
          <w:pgMar w:left="300" w:top="555" w:right="319"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center"/>
              <w:ind w:left="1231"/>
              <w:spacing w:after="0"/>
              <w:rPr>
                <w:sz w:val="20"/>
                <w:szCs w:val="20"/>
                <w:color w:val="auto"/>
              </w:rPr>
            </w:pPr>
            <w:r>
              <w:rPr>
                <w:rFonts w:ascii="Times New Roman" w:cs="Times New Roman" w:eastAsia="Times New Roman" w:hAnsi="Times New Roman"/>
                <w:sz w:val="14"/>
                <w:szCs w:val="14"/>
                <w:color w:val="auto"/>
                <w:w w:val="96"/>
              </w:rPr>
              <w:t>ARRIVE AI INC.</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center"/>
              <w:ind w:left="1231"/>
              <w:spacing w:after="0"/>
              <w:rPr>
                <w:sz w:val="20"/>
                <w:szCs w:val="20"/>
                <w:color w:val="auto"/>
              </w:rPr>
            </w:pPr>
            <w:r>
              <w:rPr>
                <w:rFonts w:ascii="Times New Roman" w:cs="Times New Roman" w:eastAsia="Times New Roman" w:hAnsi="Times New Roman"/>
                <w:sz w:val="14"/>
                <w:szCs w:val="14"/>
                <w:color w:val="auto"/>
                <w:w w:val="98"/>
              </w:rPr>
              <w:t>AND</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_______________________,</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center"/>
              <w:ind w:left="1211"/>
              <w:spacing w:after="0"/>
              <w:rPr>
                <w:sz w:val="20"/>
                <w:szCs w:val="20"/>
                <w:color w:val="auto"/>
              </w:rPr>
            </w:pPr>
            <w:r>
              <w:rPr>
                <w:rFonts w:ascii="Times New Roman" w:cs="Times New Roman" w:eastAsia="Times New Roman" w:hAnsi="Times New Roman"/>
                <w:sz w:val="14"/>
                <w:szCs w:val="14"/>
                <w:color w:val="auto"/>
                <w:w w:val="97"/>
              </w:rPr>
              <w:t>TRUSTEE</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center"/>
              <w:ind w:left="1231"/>
              <w:spacing w:after="0"/>
              <w:rPr>
                <w:sz w:val="20"/>
                <w:szCs w:val="20"/>
                <w:color w:val="auto"/>
              </w:rPr>
            </w:pPr>
            <w:r>
              <w:rPr>
                <w:rFonts w:ascii="Times New Roman" w:cs="Times New Roman" w:eastAsia="Times New Roman" w:hAnsi="Times New Roman"/>
                <w:sz w:val="14"/>
                <w:szCs w:val="14"/>
                <w:color w:val="auto"/>
                <w:w w:val="97"/>
              </w:rPr>
              <w:t>INDENTURE</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center"/>
              <w:ind w:left="1231"/>
              <w:spacing w:after="0"/>
              <w:rPr>
                <w:sz w:val="20"/>
                <w:szCs w:val="20"/>
                <w:color w:val="auto"/>
              </w:rPr>
            </w:pPr>
            <w:r>
              <w:rPr>
                <w:rFonts w:ascii="Times New Roman" w:cs="Times New Roman" w:eastAsia="Times New Roman" w:hAnsi="Times New Roman"/>
                <w:sz w:val="14"/>
                <w:szCs w:val="14"/>
                <w:color w:val="auto"/>
                <w:w w:val="95"/>
              </w:rPr>
              <w:t>DATED AS OF</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right"/>
              <w:ind w:right="1111"/>
              <w:spacing w:after="0"/>
              <w:rPr>
                <w:sz w:val="20"/>
                <w:szCs w:val="20"/>
                <w:color w:val="auto"/>
              </w:rPr>
            </w:pPr>
            <w:r>
              <w:rPr>
                <w:rFonts w:ascii="Times New Roman" w:cs="Times New Roman" w:eastAsia="Times New Roman" w:hAnsi="Times New Roman"/>
                <w:sz w:val="14"/>
                <w:szCs w:val="14"/>
                <w:color w:val="auto"/>
              </w:rPr>
              <w:t>_______, 2026</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center"/>
              <w:ind w:left="1211"/>
              <w:spacing w:after="0"/>
              <w:rPr>
                <w:sz w:val="20"/>
                <w:szCs w:val="20"/>
                <w:color w:val="auto"/>
              </w:rPr>
            </w:pPr>
            <w:r>
              <w:rPr>
                <w:rFonts w:ascii="Times New Roman" w:cs="Times New Roman" w:eastAsia="Times New Roman" w:hAnsi="Times New Roman"/>
                <w:sz w:val="14"/>
                <w:szCs w:val="14"/>
                <w:color w:val="auto"/>
                <w:w w:val="97"/>
              </w:rPr>
              <w:t>DEBT SECURITIES</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jc w:val="center"/>
              <w:ind w:left="1231"/>
              <w:spacing w:after="0"/>
              <w:rPr>
                <w:sz w:val="20"/>
                <w:szCs w:val="20"/>
                <w:color w:val="auto"/>
              </w:rPr>
            </w:pPr>
            <w:r>
              <w:rPr>
                <w:rFonts w:ascii="Times New Roman" w:cs="Times New Roman" w:eastAsia="Times New Roman" w:hAnsi="Times New Roman"/>
                <w:sz w:val="14"/>
                <w:szCs w:val="14"/>
                <w:color w:val="auto"/>
                <w:w w:val="96"/>
              </w:rPr>
              <w:t>ARRIVE AI INC.</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520" w:type="dxa"/>
            <w:vAlign w:val="bottom"/>
            <w:gridSpan w:val="2"/>
          </w:tcPr>
          <w:p>
            <w:pPr>
              <w:jc w:val="center"/>
              <w:ind w:right="2691"/>
              <w:spacing w:after="0"/>
              <w:rPr>
                <w:sz w:val="20"/>
                <w:szCs w:val="20"/>
                <w:color w:val="auto"/>
              </w:rPr>
            </w:pPr>
            <w:r>
              <w:rPr>
                <w:rFonts w:ascii="Times New Roman" w:cs="Times New Roman" w:eastAsia="Times New Roman" w:hAnsi="Times New Roman"/>
                <w:sz w:val="14"/>
                <w:szCs w:val="14"/>
                <w:color w:val="auto"/>
                <w:w w:val="97"/>
              </w:rPr>
              <w:t>RECONCILIATION AND TIE BETWEEN TRUST INDENTURE ACT OF 1939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480" w:type="dxa"/>
            <w:vAlign w:val="bottom"/>
          </w:tcPr>
          <w:p>
            <w:pPr>
              <w:jc w:val="center"/>
              <w:ind w:left="1211"/>
              <w:spacing w:after="0"/>
              <w:rPr>
                <w:sz w:val="20"/>
                <w:szCs w:val="20"/>
                <w:color w:val="auto"/>
              </w:rPr>
            </w:pPr>
            <w:r>
              <w:rPr>
                <w:rFonts w:ascii="Times New Roman" w:cs="Times New Roman" w:eastAsia="Times New Roman" w:hAnsi="Times New Roman"/>
                <w:sz w:val="14"/>
                <w:szCs w:val="14"/>
                <w:color w:val="auto"/>
                <w:w w:val="97"/>
              </w:rPr>
              <w:t>AND INDENTURE, DATED AS OF _______ ___, 2026</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740" w:type="dxa"/>
            <w:vAlign w:val="bottom"/>
          </w:tcPr>
          <w:p>
            <w:pPr>
              <w:spacing w:after="0"/>
              <w:rPr>
                <w:sz w:val="14"/>
                <w:szCs w:val="14"/>
                <w:color w:val="auto"/>
              </w:rPr>
            </w:pPr>
          </w:p>
        </w:tc>
        <w:tc>
          <w:tcPr>
            <w:tcW w:w="8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of Trust Indenture Act of 1939</w:t>
            </w:r>
          </w:p>
        </w:tc>
        <w:tc>
          <w:tcPr>
            <w:tcW w:w="8520" w:type="dxa"/>
            <w:vAlign w:val="bottom"/>
            <w:gridSpan w:val="2"/>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Section(s) of Indenture</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7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310(a)(1)</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609</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609</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(a)(3)</w:t>
            </w:r>
          </w:p>
        </w:tc>
        <w:tc>
          <w:tcPr>
            <w:tcW w:w="8520" w:type="dxa"/>
            <w:vAlign w:val="bottom"/>
            <w:gridSpan w:val="2"/>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(a)(4)</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(a)(5)</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609</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608, 610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311(a)</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613</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613</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8520" w:type="dxa"/>
            <w:vAlign w:val="bottom"/>
            <w:gridSpan w:val="2"/>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 312(a)</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701, 702 (a)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702</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702</w:t>
            </w: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313(a)</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703</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703</w:t>
            </w: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703</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703</w:t>
            </w: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314(a)</w:t>
            </w:r>
          </w:p>
        </w:tc>
        <w:tc>
          <w:tcPr>
            <w:tcW w:w="8520" w:type="dxa"/>
            <w:vAlign w:val="bottom"/>
            <w:gridSpan w:val="2"/>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704, 1005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(c)(1)</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103</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(c)(2)</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103</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(c)(3)</w:t>
            </w:r>
          </w:p>
        </w:tc>
        <w:tc>
          <w:tcPr>
            <w:tcW w:w="8520" w:type="dxa"/>
            <w:vAlign w:val="bottom"/>
            <w:gridSpan w:val="2"/>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103</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 315(a)</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601</w:t>
            </w: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602</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601</w:t>
            </w: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601</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(d)(1)</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601</w:t>
            </w: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 (1)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(d)(2)</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601</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 (2)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(d)(3)</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601</w:t>
            </w: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 (3)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511</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 316(a)(1)(A)</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505</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(a)(1)(B)</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504</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(a)(last sentence)</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101</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507</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105</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 317(a)(1)</w:t>
            </w:r>
          </w:p>
        </w:tc>
        <w:tc>
          <w:tcPr>
            <w:tcW w:w="448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503</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(a)(2)</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509</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318(a)</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108</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8520" w:type="dxa"/>
            <w:vAlign w:val="bottom"/>
            <w:gridSpan w:val="2"/>
          </w:tcPr>
          <w:p>
            <w:pPr>
              <w:ind w:left="424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448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4"/>
                <w:szCs w:val="14"/>
                <w:color w:val="auto"/>
              </w:rPr>
              <w:t>108</w:t>
            </w:r>
          </w:p>
        </w:tc>
        <w:tc>
          <w:tcPr>
            <w:tcW w:w="4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16470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8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900" w:type="dxa"/>
            <w:vAlign w:val="bottom"/>
          </w:tcPr>
          <w:p>
            <w:pPr>
              <w:spacing w:after="0"/>
              <w:rPr>
                <w:sz w:val="13"/>
                <w:szCs w:val="13"/>
                <w:color w:val="auto"/>
              </w:rPr>
            </w:pPr>
          </w:p>
        </w:tc>
        <w:tc>
          <w:tcPr>
            <w:tcW w:w="9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0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 DEFINITIONS AND OTHER PROVISIONS OF GENERAL APPLICATION</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101.</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DEFINITIONS.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c>
          <w:tcPr>
            <w:tcW w:w="9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INCORPORATION BY REFERENCE OF TRUST INDENTURE ACT.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103.</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COMPLIANCE CERTIFICATES AND OPINIONS.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104.</w:t>
            </w:r>
          </w:p>
        </w:tc>
        <w:tc>
          <w:tcPr>
            <w:tcW w:w="9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OF DOCUMENTS DELIVERED TO TRUSTEE.</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105.</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ACTS OF HOLDERS; RECORD DATES.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106.</w:t>
            </w:r>
          </w:p>
        </w:tc>
        <w:tc>
          <w:tcPr>
            <w:tcW w:w="9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NOTICES, ETC., TO TRUSTEE AND COMPANY.</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107.</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NOTICE TO HOLDERS; WAIVER.</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108.</w:t>
            </w:r>
          </w:p>
        </w:tc>
        <w:tc>
          <w:tcPr>
            <w:tcW w:w="9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109.</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EFFECT OF HEADINGS AND TABLE OF CONTENTS.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110.  SUCCESSORS AND ASSIGNS.</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111.</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SEPARABILITY CLAUSE.</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112.  BENEFITS OF INDENTURE.</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113.</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GOVERNING LAW.</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114.</w:t>
            </w:r>
          </w:p>
        </w:tc>
        <w:tc>
          <w:tcPr>
            <w:tcW w:w="9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HOLIDAYS.</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115.</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CORPORATE OBLIGATION.</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116.  WAIVER OF TRIAL JURY.</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117.</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FORCE MAJEURE.</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078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0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II SECURITY FORMS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201.</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FORMS GENERALLY.</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202.</w:t>
            </w:r>
          </w:p>
        </w:tc>
        <w:tc>
          <w:tcPr>
            <w:tcW w:w="9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OF TRUSTEE’S CERTIFICATE OF AUTHENTICATION.</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203.</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SECURITIES IN GLOBAL FORM.</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204.</w:t>
            </w:r>
          </w:p>
        </w:tc>
        <w:tc>
          <w:tcPr>
            <w:tcW w:w="9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BOOK-ENTRY SECURITIES.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III THE SECURITIES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90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301.  AMOUNT UNLIMITED; ISSUABLE IN SERIES.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302.</w:t>
            </w:r>
          </w:p>
        </w:tc>
        <w:tc>
          <w:tcPr>
            <w:tcW w:w="9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DENOMINATIONS.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303.  EXECUTION, AUTHENTICATION, DELIVERY AND DATING.</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304.</w:t>
            </w:r>
          </w:p>
        </w:tc>
        <w:tc>
          <w:tcPr>
            <w:tcW w:w="9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TEMPORARY SECURITIES.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305.  REGISTRATION, REGISTRATION OF TRANSFER AND EXCHANGE.</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306.  MUTILATED, DESTROYED, LOST AND STOLEN SECURITIES.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307.  PAYMENT OF INTEREST; INTEREST RIGHTS PRESERVED.</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308.  PERSONS DEEMED OWNERS.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309.</w:t>
            </w:r>
          </w:p>
        </w:tc>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CANCELLATION.</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310.  COMPUTATION OF INTEREST.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311.</w:t>
            </w:r>
          </w:p>
        </w:tc>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CUSIP NUMBERS.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90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IV SATISFACTION AND DISCHARGE; LEGAL DEFEASANCE AND COVENANT DEFEASANCE</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90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401.  SATISFACTION AND DISCHARGE OF INDENTURE.</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402.  OPTION TO EFFECT LEGAL DEFEASANCE OR COVENANT DEFEASANCE.</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990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403.  LEGAL DEFEASANCE AND DISCHARGE.</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404.</w:t>
            </w:r>
          </w:p>
        </w:tc>
        <w:tc>
          <w:tcPr>
            <w:tcW w:w="9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COVENANT DEFEASANCE.</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405.  CONDITIONS TO LEGAL OR COVENANT DEFEASANCE.</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406.  DEPOSITED MONEY AND U.S. GOVERNMENT OBLIGATIONS TO BE HELD IN TRUST; OTHER MISCELLANEOUS PROVISIONS.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407.  REPAYMENT TO COMPANY.</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408.</w:t>
            </w:r>
          </w:p>
        </w:tc>
        <w:tc>
          <w:tcPr>
            <w:tcW w:w="9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REINSTATEMENT.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900" w:type="dxa"/>
            <w:vAlign w:val="bottom"/>
            <w:gridSpan w:val="2"/>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REMEDIES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900" w:type="dxa"/>
            <w:vAlign w:val="bottom"/>
            <w:gridSpan w:val="2"/>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501.  EVENTS OF DEFAULT.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502.</w:t>
            </w:r>
          </w:p>
        </w:tc>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ACCELERATION.</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SECTION 503.</w:t>
            </w:r>
          </w:p>
        </w:tc>
        <w:tc>
          <w:tcPr>
            <w:tcW w:w="9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REMEDIES.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504.  WAIVER OF PAST DEFAULTS.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505.  CONTROL BY MAJORITY.</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506.  LIMITATION ON SUITS.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507.  RIGHTS OF HOLDERS OF SECURITIES TO RECEIVE PAYMENT.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508.  COLLECTION SUIT BY TRUSTEE.</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509.  TRUSTEE MAY FILE PROOFS OF CLAIM.</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510.</w:t>
            </w:r>
          </w:p>
        </w:tc>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PRIORITIES.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511.  UNDERTAKING FOR COSTS.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900" w:type="dxa"/>
            <w:vAlign w:val="bottom"/>
            <w:gridSpan w:val="2"/>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THE TRUSTEE</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900" w:type="dxa"/>
            <w:vAlign w:val="bottom"/>
            <w:gridSpan w:val="2"/>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601.  CERTAIN DUTIES AND RESPONSIBILITIES.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602.  NOTICE OF DEFAULTS.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603.  CERTAIN RIGHTS OF TRUSTEE.</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604.  NOT RESPONSIBLE FOR RECITALS OR ISSUANCE OF SECURITIES.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605.  MAY HOLD SECURITIES.</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606.  MONEY HELD IN TRUST.</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607.  COMPENSATION AND REIMBURSEMENT.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608.  DISQUALIFICATION; CONFLICTING INTERESTS.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609.  CORPORATE TRUSTEE REQUIRED; ELIGIBILITY.</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610.  RESIGNATION AND REMOVAL; APPOINTMENT OF SUCCESSOR.</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611.  ACCEPTANCE OF APPOINTMENT BY SUCCESSOR.</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612.  MERGER, CONVERSION, CONSOLIDATION OR SUCCESSION TO BUSINESS.</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613.  PREFERENTIAL COLLECTION OF CLAIMS AGAINST COMPANY.</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614.</w:t>
            </w:r>
          </w:p>
        </w:tc>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72"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VII HOLDER’S LISTS AND REPORTS BY TRUSTEE AND COMPANY</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701.</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TO FURNISH TRUSTEE NAMES AND ADDRESSES OF HOLDERS.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SECTION 702.</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PRESERVATION OF INFORMATION; COMMUNICATIONS TO HOLDERS.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703.</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REPORTS BY TRUSTEE.</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SECTION 704.</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REPORTS BY COMPANY.</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720" w:type="dxa"/>
            <w:vAlign w:val="bottom"/>
            <w:gridSpan w:val="2"/>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CONSOLIDATION, MERGER, CONVEYANCE, TRANSFER OR LEASE</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7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MAY CONSOLIDATE, ETC., ONLY ON CERTAIN TERMS.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802.</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SUCCESSOR PERSON SUBSTITUTED.</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720" w:type="dxa"/>
            <w:vAlign w:val="bottom"/>
            <w:gridSpan w:val="2"/>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IX SUPPLEMENTAL INDENTURES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901.</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SECTION 902.</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CONSENT OF HOLDERS.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903.</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SECTION 904.</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905.</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SECTION 906.</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TRUSTEE TO SIGN AMENDMENTS, ETC.</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720" w:type="dxa"/>
            <w:vAlign w:val="bottom"/>
            <w:gridSpan w:val="2"/>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COVENANTS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7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1001.</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1002.</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1003.</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FOR SECURITIES PAYMENTS TO BE HELD IN TRUST.</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1004.</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EXISTENCE.</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1005.</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STATEMENT BY OFFICERS AS TO DEFAULT.</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1006.</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WAIVER OF CERTAIN COVENANTS.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1007.</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AMOUNTS.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720" w:type="dxa"/>
            <w:vAlign w:val="bottom"/>
            <w:gridSpan w:val="2"/>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REDEMPTION OF SECURITIES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7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1101.</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1102.</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ELECTION TO REDEEM; NOTICE TO TRUSTEE.</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1103.</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SELECTION BY TRUSTEE OF SECURITIES TO BE REDEEMED.</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1104.</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NOTICE OF REDEMPTION.</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1105.</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1106.</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PAYABLE ON REDEMPTION DATE.</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1107.</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1108.</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SECURITIES.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720" w:type="dxa"/>
            <w:vAlign w:val="bottom"/>
            <w:gridSpan w:val="2"/>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XII SINKING FUNDS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1201.</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1202.</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1203.</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720" w:type="dxa"/>
            <w:vAlign w:val="bottom"/>
            <w:gridSpan w:val="2"/>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XIII MEETINGS OF HOLDERS OF SECURITIES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1301.</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PURPOSES FOR WHICH MEETINGS MAY BE CALLED.</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1302.</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CALL, NOTICE AND PLACE OF MEETINGS.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1303.</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PERSONS ENTITLED TO VOTE AT MEETINGS.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1304.</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QUORUM; ACTION.</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SECTION 1305.</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DETERMINATION OF VOTING RIGHTS; CONDUCT AND ADJOURNMENT OF MEETINGS.</w:t>
            </w:r>
          </w:p>
        </w:tc>
        <w:tc>
          <w:tcPr>
            <w:tcW w:w="2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w w:val="97"/>
              </w:rPr>
              <w:t>SECTION 1306.</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COUNTING VOTES AND RECORDING ACTION OF MEETINGS.</w:t>
            </w:r>
          </w:p>
        </w:tc>
        <w:tc>
          <w:tcPr>
            <w:tcW w:w="2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72"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THIS Indenture, dated as of ________ ___, 2026, between Arrive AI Inc., a corporation duly organized and existing under the laws of the State of Delaware (herein called the “Company”), having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its principal office at 9100 Fall View Drive, Fishers, Indiana 46037, and ________________, a ________ banking corporation, as Trustee (herein called the “Trustee”) the office of the Trustee at which at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date hereof its corporate trust business is principally administered being ______________________.</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 OF THE COMPANY</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36"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The Securities of each series will be in such form as may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w:t>
      </w:r>
    </w:p>
    <w:p>
      <w:pPr>
        <w:spacing w:after="0" w:line="147"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This Indenture is subject to the provisions of the Trust Indenture Act and the rules and regulations of the SEC promulgated thereunder that are required to be part of this Indenture and, to the extent applicable, shall be governed by such provisions.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things necessary to make this Indenture a valid agreement of the Company, in accordance with its terms, have been done.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NOW, THEREFORE, THIS INDENTURE WITNESSETH:</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For and in consideration of the premises and the purchase of the Securities by the Holders thereof, it is mutually covenanted and agreed, for the equal and proportionate benefit of all Holders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or of series thereof,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OTHER PROVISIONS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GENERAL APPLICATION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101. DEFINITIONS.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all purposes of this Indenture, except as otherwise expressly provided or unless the context otherwise requires:</w:t>
      </w:r>
    </w:p>
    <w:p>
      <w:pPr>
        <w:spacing w:after="0" w:line="168" w:lineRule="exact"/>
        <w:rPr>
          <w:sz w:val="20"/>
          <w:szCs w:val="20"/>
          <w:color w:val="auto"/>
        </w:rPr>
      </w:pPr>
    </w:p>
    <w:p>
      <w:pPr>
        <w:ind w:left="700" w:hanging="204"/>
        <w:spacing w:after="0"/>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defined in this Article have the meanings assigned to them in this Article and include the plural as well as the singular;</w:t>
      </w:r>
    </w:p>
    <w:p>
      <w:pPr>
        <w:spacing w:after="0" w:line="168" w:lineRule="exact"/>
        <w:rPr>
          <w:rFonts w:ascii="Times New Roman" w:cs="Times New Roman" w:eastAsia="Times New Roman" w:hAnsi="Times New Roman"/>
          <w:sz w:val="14"/>
          <w:szCs w:val="14"/>
          <w:color w:val="auto"/>
        </w:rPr>
      </w:pPr>
    </w:p>
    <w:p>
      <w:pPr>
        <w:jc w:val="both"/>
        <w:ind w:firstLine="496"/>
        <w:spacing w:after="0" w:line="256" w:lineRule="auto"/>
        <w:tabs>
          <w:tab w:leader="none" w:pos="688"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accounting terms not otherwise defined herein have the meanings assigned to them in accordance with generally accepted accounting principles in the United States, and, except as otherwise herein expressly provided, the term “generally accepted accounting principles” with respect to any computation required or permitted hereunder shall mean such accounting principles as are generally accepted in the United States at the date of such computation; and</w:t>
      </w:r>
    </w:p>
    <w:p>
      <w:pPr>
        <w:spacing w:after="0" w:line="143"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“herein,” “hereof” and “hereunder” and other words of similar import refer to this Indenture as a whole and not to any particular Article, Section or other subdivision.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45" w:name="page46"/>
    <w:bookmarkEnd w:id="45"/>
    <w:p>
      <w:pPr>
        <w:ind w:left="500"/>
        <w:spacing w:after="0"/>
        <w:rPr>
          <w:sz w:val="20"/>
          <w:szCs w:val="20"/>
          <w:color w:val="auto"/>
        </w:rPr>
      </w:pPr>
      <w:r>
        <w:rPr>
          <w:rFonts w:ascii="Times New Roman" w:cs="Times New Roman" w:eastAsia="Times New Roman" w:hAnsi="Times New Roman"/>
          <w:sz w:val="14"/>
          <w:szCs w:val="14"/>
          <w:color w:val="auto"/>
        </w:rPr>
        <w:t>Certain terms, used principally in Article V, are defined in Section 102.</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“Act” when used with respect to any Holder, has the meaning specified in Section 105.</w:t>
      </w:r>
    </w:p>
    <w:p>
      <w:pPr>
        <w:spacing w:after="0" w:line="16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“Additional Amounts” means any additional amounts that are required by the express terms of a Security or by or pursuant to a Board Resolution, under circumstances specified therein or pursuant thereto, to be paid by the Company with respect to certain taxes, assessments or other governmental charges imposed on certain Holders and that are owing to such Holders.</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“Authenticating Agent” means any Person authorized by the Trustee to act on behalf of the Trustee pursuant to Section 614 to authenticate Securities of one or more series.</w:t>
      </w:r>
    </w:p>
    <w:p>
      <w:pPr>
        <w:spacing w:after="0" w:line="168"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“Authorized Newspaper”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“Board of Directors” means</w:t>
      </w:r>
    </w:p>
    <w:p>
      <w:pPr>
        <w:spacing w:after="0" w:line="168" w:lineRule="exact"/>
        <w:rPr>
          <w:sz w:val="20"/>
          <w:szCs w:val="20"/>
          <w:color w:val="auto"/>
        </w:rPr>
      </w:pPr>
    </w:p>
    <w:p>
      <w:pPr>
        <w:ind w:left="700" w:hanging="204"/>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 corporation, the board of directors of the corporation;</w:t>
      </w:r>
    </w:p>
    <w:p>
      <w:pPr>
        <w:spacing w:after="0" w:line="168"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 partnership, the board of directors of the general partner of the partnership; and</w:t>
      </w:r>
    </w:p>
    <w:p>
      <w:pPr>
        <w:spacing w:after="0" w:line="168"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other Person, the board or committee of such Person serving a similar function.</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“Board Resolution” means, with respect to any Person, a resolution of such Person duly adopted by the Board of Directors of such Person and in full force and effect.</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“Book-Entry Security” has the meaning specified in Section 204.</w:t>
      </w:r>
    </w:p>
    <w:p>
      <w:pPr>
        <w:spacing w:after="0" w:line="168"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“Business Day,” when used with respect to any Place of Payment, means each Monday, Tuesday, Wednesday, Thursday and Friday that is not a day on which banking institutions in that Place of Payment or the city in which the Corporate Trust Office is located are authorized or obligated by law or executive order to close.</w:t>
      </w:r>
    </w:p>
    <w:p>
      <w:pPr>
        <w:spacing w:after="0" w:line="136"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“Capital Stock” means:</w:t>
      </w:r>
    </w:p>
    <w:p>
      <w:pPr>
        <w:spacing w:after="0" w:line="168" w:lineRule="exact"/>
        <w:rPr>
          <w:sz w:val="20"/>
          <w:szCs w:val="20"/>
          <w:color w:val="auto"/>
        </w:rPr>
      </w:pPr>
    </w:p>
    <w:p>
      <w:pPr>
        <w:ind w:left="660" w:hanging="164"/>
        <w:spacing w:after="0"/>
        <w:tabs>
          <w:tab w:leader="none" w:pos="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168"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association or business entity, any and all shares, interests, participations, rights or other equivalents (however designated) of corporate stock;</w:t>
      </w:r>
    </w:p>
    <w:p>
      <w:pPr>
        <w:spacing w:after="0" w:line="168" w:lineRule="exact"/>
        <w:rPr>
          <w:rFonts w:ascii="Times New Roman" w:cs="Times New Roman" w:eastAsia="Times New Roman" w:hAnsi="Times New Roman"/>
          <w:sz w:val="14"/>
          <w:szCs w:val="14"/>
          <w:color w:val="auto"/>
        </w:rPr>
      </w:pPr>
    </w:p>
    <w:p>
      <w:pPr>
        <w:ind w:left="740" w:hanging="244"/>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or limited liability company, partnership or membership interests (whether general or limited); and</w:t>
      </w:r>
    </w:p>
    <w:p>
      <w:pPr>
        <w:spacing w:after="0" w:line="168" w:lineRule="exact"/>
        <w:rPr>
          <w:rFonts w:ascii="Times New Roman" w:cs="Times New Roman" w:eastAsia="Times New Roman" w:hAnsi="Times New Roman"/>
          <w:sz w:val="14"/>
          <w:szCs w:val="14"/>
          <w:color w:val="auto"/>
        </w:rPr>
      </w:pPr>
    </w:p>
    <w:p>
      <w:pPr>
        <w:ind w:left="5600" w:right="1740" w:hanging="5104"/>
        <w:spacing w:after="0" w:line="513" w:lineRule="auto"/>
        <w:tabs>
          <w:tab w:leader="none" w:pos="71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interest or participation that confers on a Person the right to receive a share of the profits and losses of, or distributions of assets of, the issuing 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6470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46" w:name="page47"/>
    <w:bookmarkEnd w:id="46"/>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“Company Request” and “Company Order” mean, respectively, a written request or order signed in the name of the Company by its Chairman of the Board, its President or a Vice President, and by its Treasurer, an Assistant Treasurer, its Controller, an Assistant Controller, its Secretary or an Assistant Secretary, and delivered to the Trustee.</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“Corporate Trust Office” means the office of the Trustee at which at any particular time its corporate trust business shall be principally administered, which office at the date hereof is that indicated in the introductory paragraph of this Indenture or such other address as the Trustee may designate from time to time by notice to the Holders and the Company.</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“Currency Agreement” means, with respect to any specified Person, any foreign exchange contract, currency swap agreement or other similar agreement or arrangement designed to protect such specified Person against fluctuations in currency values.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“Default” means an event or condition the occurrence of which is, or with the lapse of time or the giving of notice or both would be, an Event of Default.</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“Defaulted Interest” has the meaning specified in Section 307.</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“Depositary” means, with respect to the Securities of any series issuable or issued in the form of a global Security,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series shall mean the Depositary with respect to the Securities of that series.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“Dollar” or “$” means a dollar or other equivalent unit in such coin or currency of the United States as at the time shall be legal tender for the payment of public and private debts.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“Event of Default” has the meaning specified in Section 501.</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of America, as in effect as of the date of issuance of Securities.</w:t>
      </w:r>
    </w:p>
    <w:p>
      <w:pPr>
        <w:spacing w:after="0" w:line="143"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of all or any part of Indebtedness.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“Guarantor” means any Subsidiary that incurs a Guarantee.</w:t>
      </w:r>
    </w:p>
    <w:p>
      <w:pPr>
        <w:spacing w:after="0" w:line="16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“Hedging Agreement” means, with respect to any Person, any agreement with respect to the hedging of price risk associated with the purchase of commodities used in the business of such Person, so long as any such agreement has been entered into in the ordinary course of business and not for purposes of speculation.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47" w:name="page48"/>
    <w:bookmarkEnd w:id="47"/>
    <w:p>
      <w:pPr>
        <w:ind w:left="500"/>
        <w:spacing w:after="0"/>
        <w:rPr>
          <w:sz w:val="20"/>
          <w:szCs w:val="20"/>
          <w:color w:val="auto"/>
        </w:rPr>
      </w:pPr>
      <w:r>
        <w:rPr>
          <w:rFonts w:ascii="Times New Roman" w:cs="Times New Roman" w:eastAsia="Times New Roman" w:hAnsi="Times New Roman"/>
          <w:sz w:val="14"/>
          <w:szCs w:val="14"/>
          <w:color w:val="auto"/>
        </w:rPr>
        <w:t>“Holder” when used with respect to any Security, means the Person in whose name the Security is registered in the Security Register.</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“Indebtedness” means, with respect to any specified Person, any indebtedness of such Person, whether or not contingent, in respect of:</w:t>
      </w:r>
    </w:p>
    <w:p>
      <w:pPr>
        <w:spacing w:after="0" w:line="168" w:lineRule="exact"/>
        <w:rPr>
          <w:sz w:val="20"/>
          <w:szCs w:val="20"/>
          <w:color w:val="auto"/>
        </w:rPr>
      </w:pPr>
    </w:p>
    <w:p>
      <w:pPr>
        <w:ind w:left="700" w:hanging="204"/>
        <w:spacing w:after="0"/>
        <w:tabs>
          <w:tab w:leader="none" w:pos="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borrowed money;</w:t>
      </w:r>
    </w:p>
    <w:p>
      <w:pPr>
        <w:spacing w:after="0" w:line="168" w:lineRule="exact"/>
        <w:rPr>
          <w:rFonts w:ascii="Times New Roman" w:cs="Times New Roman" w:eastAsia="Times New Roman" w:hAnsi="Times New Roman"/>
          <w:sz w:val="14"/>
          <w:szCs w:val="14"/>
          <w:color w:val="auto"/>
        </w:rPr>
      </w:pPr>
    </w:p>
    <w:p>
      <w:pPr>
        <w:jc w:val="both"/>
        <w:ind w:firstLine="496"/>
        <w:spacing w:after="0" w:line="256" w:lineRule="auto"/>
        <w:tabs>
          <w:tab w:leader="none" w:pos="68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bonds, notes, debentures or similar instruments or letters of credit (or reimbursement agreements in respect thereof) (other than obligations with respect to letters of credit securing obligations (other than obligations described in clause (1), (2) and (4) of this definition) entered into in the ordinary course of business of such Person to the extent that such letters of credit are not drawn upon);</w:t>
      </w:r>
    </w:p>
    <w:p>
      <w:pPr>
        <w:spacing w:after="0" w:line="143"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banker’s acceptances;</w:t>
      </w:r>
    </w:p>
    <w:p>
      <w:pPr>
        <w:spacing w:after="0" w:line="168"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Capital Lease Obligations;</w:t>
      </w:r>
    </w:p>
    <w:p>
      <w:pPr>
        <w:spacing w:after="0" w:line="168"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balance deferred and unpaid of the purchase price of any property, except any such balance that constitutes an accrued expense or trade payable incurred in the ordinary course of business;</w:t>
      </w:r>
    </w:p>
    <w:p>
      <w:pPr>
        <w:spacing w:after="0" w:line="2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or</w:t>
      </w:r>
    </w:p>
    <w:p>
      <w:pPr>
        <w:spacing w:after="0" w:line="156" w:lineRule="exact"/>
        <w:rPr>
          <w:rFonts w:ascii="Times New Roman" w:cs="Times New Roman" w:eastAsia="Times New Roman" w:hAnsi="Times New Roman"/>
          <w:sz w:val="13"/>
          <w:szCs w:val="13"/>
          <w:color w:val="auto"/>
        </w:rPr>
      </w:pPr>
    </w:p>
    <w:p>
      <w:pPr>
        <w:ind w:left="700" w:hanging="204"/>
        <w:spacing w:after="0"/>
        <w:tabs>
          <w:tab w:leader="none" w:pos="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Hedging Agreements,</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if and to the extent any of the preceding items (other than letters of credit and Hedging Agreements)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amount of any Indebtedness outstanding as of any date shall be:</w:t>
      </w:r>
    </w:p>
    <w:p>
      <w:pPr>
        <w:spacing w:after="0" w:line="168" w:lineRule="exact"/>
        <w:rPr>
          <w:sz w:val="20"/>
          <w:szCs w:val="20"/>
          <w:color w:val="auto"/>
        </w:rPr>
      </w:pPr>
    </w:p>
    <w:p>
      <w:pPr>
        <w:ind w:left="700" w:hanging="204"/>
        <w:spacing w:after="0"/>
        <w:tabs>
          <w:tab w:leader="none" w:pos="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accreted value thereof, in the case of any Indebtedness issued with original issue discount; and</w:t>
      </w:r>
    </w:p>
    <w:p>
      <w:pPr>
        <w:spacing w:after="0" w:line="168"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thereof, together with any interest thereon that is more than 30 days past due, in the case of any other Indebtedness.</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and the provisions of the Trust Indenture Act that are deemed to be a part of and govern this instrument.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“Interest Payment Date,” means the Stated Maturity of an installment of interest on such Security.</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“Interest Swap Obligations,”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other Person calculated by applying a fixed or a floating rate of interest on the same notional amount and shall include, without limitation, interest rate swaps, options, caps, floors, collars and similar agreements.</w:t>
      </w:r>
    </w:p>
    <w:p>
      <w:pPr>
        <w:spacing w:after="0" w:line="143"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“Lien”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48" w:name="page49"/>
    <w:bookmarkEnd w:id="48"/>
    <w:p>
      <w:pPr>
        <w:ind w:firstLine="494"/>
        <w:spacing w:after="0" w:line="267" w:lineRule="auto"/>
        <w:rPr>
          <w:sz w:val="20"/>
          <w:szCs w:val="20"/>
          <w:color w:val="auto"/>
        </w:rPr>
      </w:pPr>
      <w:r>
        <w:rPr>
          <w:rFonts w:ascii="Times New Roman" w:cs="Times New Roman" w:eastAsia="Times New Roman" w:hAnsi="Times New Roman"/>
          <w:sz w:val="14"/>
          <w:szCs w:val="14"/>
          <w:color w:val="auto"/>
        </w:rPr>
        <w:t>“Officers’ Certificate” means a certificate signed by the Chairman of the Board, the President or a Vice President, and by the Treasurer, the Controller, the Secretary or an Assistant Treasurer, Assistant Controller or Assistant Secretary, of the Company, and delivered to the Trustee, which certificate shall be in compliance with Section 103 hereof.</w:t>
      </w:r>
    </w:p>
    <w:p>
      <w:pPr>
        <w:spacing w:after="0" w:line="136"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“Opinion of Counsel” means a written opinion of counsel, who may be counsel for or an employee of the Company, rendered, if applicable, in accordance with Section 314(c) of the Trust Indenture Act, which opinion shall be in compliance with Section 103 hereof.</w:t>
      </w:r>
    </w:p>
    <w:p>
      <w:pPr>
        <w:spacing w:after="0" w:line="136"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“Original Issue Discount Security” means any Security that provides for an amount less than the principal amount thereof to be due and payable upon a declaration of acceleration of the Maturity thereof pursuant to Section 502.</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“Outstanding” when used with respect to Securities, means, as of the date of determination, all Securities theretofore authenticated and delivered under this Indenture, except:</w:t>
      </w:r>
    </w:p>
    <w:p>
      <w:pPr>
        <w:spacing w:after="0" w:line="168" w:lineRule="exact"/>
        <w:rPr>
          <w:sz w:val="20"/>
          <w:szCs w:val="20"/>
          <w:color w:val="auto"/>
        </w:rPr>
      </w:pPr>
    </w:p>
    <w:p>
      <w:pPr>
        <w:ind w:left="1160" w:hanging="170"/>
        <w:spacing w:after="0"/>
        <w:tabs>
          <w:tab w:leader="none" w:pos="1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theretofore cancelled by the Trustee or delivered to the Trustee for cancellation;</w:t>
      </w:r>
    </w:p>
    <w:p>
      <w:pPr>
        <w:spacing w:after="0" w:line="168"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Securities for whose payment or redemption money in the necessary amount has been theretofore irrevocably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Securities are to be redeemed, notice of such redemption has been duly given pursuant to this Indenture or provision therefor satisfactory to the Trustee has been made; and</w:t>
      </w:r>
    </w:p>
    <w:p>
      <w:pPr>
        <w:spacing w:after="0" w:line="143"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in determining whether the Holders of the requisite principal amount of the Outstanding Securities have given any request, demand, authorization, direction, notice, consent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waiver hereunder, or whether a quorum is present at a meeting of Holders of Securities, (a) the principal amount of an Original Issue Discount Security that shall be deemed to be Outstanding for such purposes shall be the principal amount thereof that would be due and payable as of the date of such determination upon acceleration of the Maturity thereof pursuant to Section 502, (b) the principal amount of a Security denominated in a foreign currency shall be the U.S. Dollar equivalent, determined by the Company on the date of original issuance of such Security, of the principal amount (or, in the case of an Original Issue Discount Security, the U.S. Dollar equivalent, determined on the date of original issuance of such Security, of the amount determined as provided in (a) above), of such Security and (c)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51"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“Paying Agent” means any Person, which may include the Company, authorized by the Company to pay the principal of (and premium, if any) or interest on any one or more series of Securities on behalf of the Company.</w:t>
      </w:r>
    </w:p>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“Person” means an individual, partnership, corporation, limited liability company, unincorporated organization, trust or joint venture, or a governmental agency or political subdivision thereof.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49" w:name="page50"/>
    <w:bookmarkEnd w:id="49"/>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“Place of Payment” when used with respect to the Securities of any series, means the place or places where the principal of (and premium, if any) and interest on the Securities of that series are payable as specified in accordance with Section 301 subject to the provisions of Section 1002.</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“Post-Petition Interest” means any interest that accrues after the commencement of any case, proceeding or other action relating to the bankruptcy, insolvency or reorganization of the Company (or would accrue but for the operation of applicable bankruptcy or insolvency laws), whether or not such interest is allowed or allowable as a claim in any such proceeding.</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“Redemption Date” when used with respect to any Security to be redeemed, means the date fixed for such redemption by or pursuant to this Indenture.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“Redemption Price” when used with respect to any Security to be redeemed, means the price at which it is to be redeemed pursuant to this Indenture.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“Registered Security” means any Security in the form established pursuant to Section 201 which is registered in the Security Register.</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“Regular Record Date” for the interest payable on any Interest Payment Date on the Registered Securities of any series means the date specified for that purpose as contemplated by Section 301, or, if not so specified, the last day of the calendar month preceding such Interest Payment Date if such Interest Payment Date is the fifteenth day of the calendar month or the fifteenth day of the calendar month preceding such Interest Payment Date if such Interest Payment Date is the first day of a calendar month, whether or not such day shall be a Business Day.</w:t>
      </w:r>
    </w:p>
    <w:p>
      <w:pPr>
        <w:spacing w:after="0" w:line="143"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“Responsible Officer” when used with respect to the Trustee, means any officer within the corporate trust department of the Trustee including any vice-president, assistant vice-president, assistant treasurer, trust officer or any other officer who customarily performs functions similar to those performed by the Persons who at the time shall be such officers who have direct responsibility for the administration of the Indenture and also means, with respect to a particular corporate trust matter, any other officer to whom such matter is referred because of his knowledge of and familiarity with the particular subject.</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“Securities” has the meaning stated in the first recital of this Indenture and more particularly means any Securities authenticated and delivered under this Indenture.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“Security Register” and “Security Registrar” have the respective meanings specified in Section 305.</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“Special Record Date” for the payment of any Defaulted Interest on the Registered Securities of any series means a date fixed by the Trustee pursuant to Section 307.</w:t>
      </w:r>
    </w:p>
    <w:p>
      <w:pPr>
        <w:spacing w:after="0" w:line="16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50" w:name="page51"/>
    <w:bookmarkEnd w:id="50"/>
    <w:p>
      <w:pPr>
        <w:ind w:left="500"/>
        <w:spacing w:after="0"/>
        <w:rPr>
          <w:sz w:val="20"/>
          <w:szCs w:val="20"/>
          <w:color w:val="auto"/>
        </w:rPr>
      </w:pPr>
      <w:r>
        <w:rPr>
          <w:rFonts w:ascii="Times New Roman" w:cs="Times New Roman" w:eastAsia="Times New Roman" w:hAnsi="Times New Roman"/>
          <w:sz w:val="14"/>
          <w:szCs w:val="14"/>
          <w:color w:val="auto"/>
        </w:rPr>
        <w:t>“Subsidiary” means, with respect to any specified Person:</w:t>
      </w:r>
    </w:p>
    <w:p>
      <w:pPr>
        <w:spacing w:after="0" w:line="168" w:lineRule="exact"/>
        <w:rPr>
          <w:sz w:val="20"/>
          <w:szCs w:val="20"/>
          <w:color w:val="auto"/>
        </w:rPr>
      </w:pPr>
    </w:p>
    <w:p>
      <w:pPr>
        <w:ind w:left="500" w:firstLine="490"/>
        <w:spacing w:after="0" w:line="267" w:lineRule="auto"/>
        <w:tabs>
          <w:tab w:leader="none" w:pos="116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of which the outstanding Capital Stock having at least a majority of the votes entitled to be cast in the election of directors under ordinary circumstances shall at the time be owned, directly or indirectly by such Person; or</w:t>
      </w:r>
    </w:p>
    <w:p>
      <w:pPr>
        <w:spacing w:after="0" w:line="135" w:lineRule="exact"/>
        <w:rPr>
          <w:rFonts w:ascii="Times New Roman" w:cs="Times New Roman" w:eastAsia="Times New Roman" w:hAnsi="Times New Roman"/>
          <w:sz w:val="14"/>
          <w:szCs w:val="14"/>
          <w:color w:val="auto"/>
        </w:rPr>
      </w:pPr>
    </w:p>
    <w:p>
      <w:pPr>
        <w:ind w:left="1200" w:hanging="210"/>
        <w:spacing w:after="0"/>
        <w:tabs>
          <w:tab w:leader="none" w:pos="1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Person of which at least a majority of the voting interest under ordinary circumstances is at the time, directly or indirectly, owned by such Person.</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“Trust Indenture Act” means the Trust Indenture Act of 1939 as in force at the date as of which this instrument was executed, except as provided in Section 903.</w:t>
      </w:r>
    </w:p>
    <w:p>
      <w:pPr>
        <w:spacing w:after="0" w:line="16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“United States” means the United States of America (including the States and the District of Columbia) and its “possessions,” which include Puerto Rico, the U.S. Virgin Islands, Guam, American Samoa, Wake Island and the Northern Mariana Islands.</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“United States Alien” means any Person who, for United States federal income tax purposes, is a foreign corporation, a nonresident alien individual, a nonresident alien or foreign fiduciary of an estate or trust, or a foreign partnership.</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“U.S. Government Obligations” means direct noncallable obligations of, or noncallable obligations the payment of principal of and interest on which is guaranteed by, the United States of America, or to the payment of which obligations or guarantees the full faith and credit of the United States of America is pledged, or beneficial interests in a trust the corpus of which consists exclusively of money or such obligations or a combination thereof.</w:t>
      </w:r>
    </w:p>
    <w:p>
      <w:pPr>
        <w:spacing w:after="0" w:line="143"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“Wholly Owned Subsidiary” of any Person means any Subsidiary of such Person of which all the outstanding voting securities (other than in the case of a Restricted Subsidiary that is incorporated in a jurisdiction other than a State in the United States of America or the District of Columbia, directors’ qualifying shares or an immaterial amount of shares required to be owned by other Persons pursuant to applicable law) are owned by such Person or any Wholly Owned Subsidiary of such Person.</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“Yield to Maturity” when used with respect to any Original Issue Discount Security, means the yield to maturity, if any, set forth on the face thereof.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102. INCORPORATION BY REFERENCE OF TRUST INDENTURE ACT.</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Whenever this Indenture refers to a provision of the Trust Indenture Act, the provision is incorporated by reference in and made a part of this Indenture. The following Trust Indenture Act terms used in this Indenture have the following meanings: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“Bankruptcy Act” means the Bankruptcy Act or Title 11 of the United States Code, as amended.</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“indenture securities” means the Securities.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“indenture securityholder” means a Holder.</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“indenture to be qualified” means this Indenture.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“indenture trustee” or “institutional trustee” means the Trustee.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“obligor” on the indenture securities means the Company or any other obligor on the Securities.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51" w:name="page52"/>
    <w:bookmarkEnd w:id="51"/>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All terms used in this Indenture that are defined by the Trust Indenture Act, defined by Trust Indenture Act reference to another statute or defined by SEC rule under the Trust Indenture Act and not otherwise defined herein have the meanings assigned to them therein.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103. COMPLIANCE CERTIFICATES AND OPINIONS.</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Except as otherwise expressly provided by this Indenture, upon any application or request by the Company to the Trustee to take any action under any provision of this Indenture, the Company shall furnish to the Trustee an Officers’ Certificate stating that all conditions precedent, if any (including any covenants the compliance with which constitutes a condition precedent), provided for in this Indenture relating to the proposed action have been complied with and an Opinion of Counsel stating that in the opinion of such counsel all such conditions precedent, if any (including any covenants the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Every certificate or opinion with respect to compliance with a condition or covenant provided for in this Indenture shall include</w:t>
      </w:r>
    </w:p>
    <w:p>
      <w:pPr>
        <w:spacing w:after="0" w:line="168" w:lineRule="exact"/>
        <w:rPr>
          <w:sz w:val="20"/>
          <w:szCs w:val="20"/>
          <w:color w:val="auto"/>
        </w:rPr>
      </w:pPr>
    </w:p>
    <w:p>
      <w:pPr>
        <w:ind w:left="1180" w:hanging="190"/>
        <w:spacing w:after="0"/>
        <w:tabs>
          <w:tab w:leader="none" w:pos="11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each Person signing such certificate or opinion has read such covenant or condition and the definitions herein relating thereto;</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8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each such Person, such Person has made such examination or investigation as is necessary to enable such Person to express an informed opinion as to whether or not such covenant or condition has been complied with; and</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each such Person, such condition or covenant has been complied with.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104. FORM OF DOCUMENTS DELIVERED TO TRUSTEE.</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3"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4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SECTION 105. ACTS OF HOLDERS; RECORD DATES.</w:t>
      </w:r>
    </w:p>
    <w:p>
      <w:pPr>
        <w:spacing w:after="0" w:line="172" w:lineRule="exact"/>
        <w:rPr>
          <w:sz w:val="20"/>
          <w:szCs w:val="20"/>
          <w:color w:val="auto"/>
        </w:rPr>
      </w:pPr>
    </w:p>
    <w:p>
      <w:pPr>
        <w:jc w:val="both"/>
        <w:ind w:firstLine="496"/>
        <w:spacing w:after="0" w:line="272" w:lineRule="auto"/>
        <w:tabs>
          <w:tab w:leader="none" w:pos="68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and so voting at any such meeting. Proof of execution of any such instrument or of a writing appointing any such agent, or the holding of any Person of a Security, shall be sufficient for any purpose of this Indenture and (subject to Section 601) conclusive in favor of the Trustee and the Company, if made in the manner provided in this Section. The record of any meeting of Holders of Securities shall be proved in the manner provided in Section 1306.</w:t>
      </w:r>
    </w:p>
    <w:p>
      <w:pPr>
        <w:spacing w:after="0" w:line="135"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The Company may set in advance a record date for purposes of determining the identity of Holders of Registered Securities entitled to vote or consent to any action by vote or consent authorized or permitted under this Indenture. If not set by the Company prior to the first solicitation of a Holder of Registered Securities of such series made by any Person in respect of any such action, or in the case of any such vote, prior to such vote, the record date for any such action or vote shall be the later of 30 days prior to such first solicitation of such consent or the date of the most recent list of Holders furnished to the Trustee prior to such solicitation. If a record date is fixed, those Persons who were Holders of Outstanding Registered Securities at such record date (or their duly designated proxies), and only those Persons, shall be entitled with respect to such Securities to take such action by vote or consent or to revoke any vote or consent previously given, whether or not such Persons continue to be Holders after such record date. Promptly after any record date is set pursuant to this paragraph, the Company, at its own expense, shall cause notice thereof to be given to the Trustee in writing in the manner provided in Section 106 and to the relevant Holders as set forth in Section 107.</w:t>
      </w:r>
    </w:p>
    <w:p>
      <w:pPr>
        <w:spacing w:after="0" w:line="147" w:lineRule="exact"/>
        <w:rPr>
          <w:sz w:val="20"/>
          <w:szCs w:val="20"/>
          <w:color w:val="auto"/>
        </w:rPr>
      </w:pPr>
    </w:p>
    <w:p>
      <w:pPr>
        <w:jc w:val="both"/>
        <w:ind w:firstLine="496"/>
        <w:spacing w:after="0" w:line="252" w:lineRule="auto"/>
        <w:tabs>
          <w:tab w:leader="none" w:pos="69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46" w:lineRule="exact"/>
        <w:rPr>
          <w:rFonts w:ascii="Times New Roman" w:cs="Times New Roman" w:eastAsia="Times New Roman" w:hAnsi="Times New Roman"/>
          <w:sz w:val="14"/>
          <w:szCs w:val="14"/>
          <w:color w:val="auto"/>
        </w:rPr>
      </w:pPr>
    </w:p>
    <w:p>
      <w:pPr>
        <w:ind w:left="680" w:hanging="184"/>
        <w:spacing w:after="0"/>
        <w:tabs>
          <w:tab w:leader="none" w:pos="6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and serial numbers of Registered Securities held by any Person, and the date of holding the same, shall be proved by the Security Register.</w:t>
      </w:r>
    </w:p>
    <w:p>
      <w:pPr>
        <w:spacing w:after="0" w:line="168" w:lineRule="exact"/>
        <w:rPr>
          <w:rFonts w:ascii="Times New Roman" w:cs="Times New Roman" w:eastAsia="Times New Roman" w:hAnsi="Times New Roman"/>
          <w:sz w:val="14"/>
          <w:szCs w:val="14"/>
          <w:color w:val="auto"/>
        </w:rPr>
      </w:pPr>
    </w:p>
    <w:p>
      <w:pPr>
        <w:jc w:val="both"/>
        <w:ind w:firstLine="496"/>
        <w:spacing w:after="0" w:line="252" w:lineRule="auto"/>
        <w:tabs>
          <w:tab w:leader="none" w:pos="68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Any Holder or subsequent Holder may revoke the request, demand, authorization, direction, notice, consent or other Act as to his Security or portion of his Security;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revocation shall be effective only if the Trustee receives the notice of revocation before the date the Act becomes effective.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106. NOTICES, ETC., TO TRUSTEE AND COMPANY.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Any request, demand, authorization, direction, notice, consent, waiver or Act of Holders or other document provided or permitted by this Indenture to be made upon, given or furnished to, or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w:t>
      </w:r>
    </w:p>
    <w:p>
      <w:pPr>
        <w:spacing w:after="0" w:line="157" w:lineRule="exact"/>
        <w:rPr>
          <w:sz w:val="20"/>
          <w:szCs w:val="20"/>
          <w:color w:val="auto"/>
        </w:rPr>
      </w:pPr>
    </w:p>
    <w:p>
      <w:pPr>
        <w:ind w:left="500" w:firstLine="490"/>
        <w:spacing w:after="0" w:line="267" w:lineRule="auto"/>
        <w:tabs>
          <w:tab w:leader="none" w:pos="119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by any Holder or by the Company shall be sufficient for every purpose hereunder if made, given, furnished or filed in writing to or with the Trustee at its Corporate Trust Office, Attention: Corporate Trust Administration, or</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Corporate Secretary.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53" w:name="page54"/>
    <w:bookmarkEnd w:id="53"/>
    <w:p>
      <w:pPr>
        <w:ind w:left="500"/>
        <w:spacing w:after="0"/>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All notices and communications (other than those sent to the Trustee)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next-day delivery. All notices and communications to the Trustee shall be deemed duly given and effective only upon receipt.</w:t>
      </w:r>
    </w:p>
    <w:p>
      <w:pPr>
        <w:spacing w:after="0" w:line="14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Any notice or communication to a Holder shall be mailed by first class mail, certified or registered, return receipt requested, or by overnight air courier guaranteeing next-day delivery to its address shown on the Security Register. Any notice or communication shall also be so mailed to any Person described in TIA Section 313(c), to the extent required by the TIA. Failure to mail a notice or communication to a Holder or any defect in it shall not affect its sufficiency with respect to other Holders.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a notice or communication is mailed in the manner provided above within the time prescribed, it is duly given, whether or not the addressee receives it.</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 Company mails a notice or communication to Holders, it shall mail a copy to the Trustee and each Agent at the same time.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107. NOTICE TO HOLDERS; WAIVER.</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Where this Indenture provides for notice to Holders of Securities of any event, such notice shall be sufficiently given (unless otherwise herein expressly provided) if in writing and mailed, first-class postage prepaid, to each Holder affected by such event, at the address of such Holder as it appears in the Security Register, not later than the latest date, and not earlier than the earliest date, prescribed for the giving of such notice.</w:t>
      </w:r>
    </w:p>
    <w:p>
      <w:pPr>
        <w:spacing w:after="0" w:line="143"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In case by reason of the suspension of regular mail service, or by reason of any other cause it shall be impracticable to give such notice to Holders of Registered Securities by mail, then such notification as shall be made with the approval of the Trustee shall constitute a sufficient notification for every purpose hereunder. In any case in which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w:t>
      </w:r>
    </w:p>
    <w:p>
      <w:pPr>
        <w:spacing w:after="0" w:line="147" w:lineRule="exact"/>
        <w:rPr>
          <w:sz w:val="20"/>
          <w:szCs w:val="20"/>
          <w:color w:val="auto"/>
        </w:rPr>
      </w:pPr>
    </w:p>
    <w:p>
      <w:pPr>
        <w:jc w:val="both"/>
        <w:ind w:firstLine="494"/>
        <w:spacing w:after="0" w:line="307" w:lineRule="auto"/>
        <w:rPr>
          <w:sz w:val="20"/>
          <w:szCs w:val="20"/>
          <w:color w:val="auto"/>
        </w:rPr>
      </w:pPr>
      <w:r>
        <w:rPr>
          <w:rFonts w:ascii="Times New Roman" w:cs="Times New Roman" w:eastAsia="Times New Roman" w:hAnsi="Times New Roman"/>
          <w:sz w:val="13"/>
          <w:szCs w:val="13"/>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108. CONFLICT WITH TRUST INDENTURE ACT.</w:t>
      </w:r>
    </w:p>
    <w:p>
      <w:pPr>
        <w:spacing w:after="0" w:line="172"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4"/>
          <w:szCs w:val="14"/>
          <w:color w:val="auto"/>
        </w:rPr>
        <w:t>If any provision hereof limits, qualifies or conflicts with any provision of the Trust Indenture Act or another provision hereof required to be included in this Indenture by any of the provisions of the Trust Indenture Act, such provision of the Trust Indenture Act shall control. If any provision of this Indenture modifies or excludes any provision of the Trust Indenture Act that may be so modified or excluded, the former provision shall be deemed to apply to this Indenture as so modified or to be excluded.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109. EFFECT OF HEADINGS AND TABLE OF CONTENTS.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Article and Section headings herein and the Table of Contents are for convenience only and shall not affect the construction 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SECTION 110. SUCCESSORS AND ASSIGNS.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covenants and agreements in this Indenture by the Company shall bind its successors and assigns, whether or not so expressed.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111. SEPARABILITY CLAUSE.</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112. BENEFITS OF INDENTURE.</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to any Person, other than the parties hereto and their successors hereunder, any Authenticating Agent, Paying Agent and Security Registrar, and the Holders, any benefit or any legal or equitable right, remedy or claim under this Indenture.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113. GOVERNING LAW.</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This Indenture and the Securities shall be governed by and construed in accordance with the laws of the State of New York, but without giving effect to applicable principles of conflicts of law to the extent the application of the laws of another jurisdiction would be required thereby.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114. LEGAL HOLIDAYS.</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 xml:space="preserve">In any case where any Interest Payment Date, Redemption Date or Stated Maturity of any Security shall not be a Business Day at any Place of Payment, then (notwithstanding any other provision of this Indenture or of the Securities) payment of principal and interest (and premium and Additional Amounts, if any) need not be made at such Place of Payment on such date, but may be made on the next succeeding Business Day at such Place of Payment with the same force and effect as if made on the Interest Payment Date or Redemption Date, or at the Stated Maturity,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interest shall accrue for the period from and after such Interest Payment Date, Redemption Date or Stated Maturity, as the case may be.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115. CORPORATE OBLIGATION.</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No recourse may be taken, directly or indirectly, against any incorporator, subscriber to the capital stock, stockholder, officer, director or employee of the Company or the Trustee or of any predecessor or successor of the Company or the Trustee with respect to the Company’s obligations on the Securities or the obligations of the Company or the Trustee under this Indenture or any certificate or other writing delivered in connection herewith.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116. WAIVER OF TRIAL JURY.</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117. FORCE MAJEURE.</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SECURITY FORMS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201. FORMS GENERALLY.</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The Securities of each series shall be Registered Securities and shall be in substantially such form or forms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If temporary Securities of any series are issued in global form as permitted by Section 304, the form thereof shall be established as provided in the preceding sentence. A copy of the Board Resolution establishing the form or forms of Securities of any series (or any such temporary global Security) shall be delivered to the Trustee at or prior to the delivery of the Company Order contemplated by Section 303 for the authentication and delivery of such Securities (or any such temporary global Security).</w:t>
      </w:r>
    </w:p>
    <w:p>
      <w:pPr>
        <w:spacing w:after="0" w:line="147"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definitive Securities shall be printed, lithographed or engraved on steel engraved borders or may be produced in any other manner, all as determined by the officers executing such Securities, as evidenced by their execution thereof.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202. FORM OF TRUSTEE’S CERTIFICATE OF AUTHENTICATION.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Trustee’s certificate of authentication shall be in substantially the following form:</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-100965</wp:posOffset>
            </wp:positionV>
            <wp:extent cx="673417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6734175" cy="63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203. SECURITIES IN GLOBAL FORM.</w:t>
      </w:r>
    </w:p>
    <w:p>
      <w:pPr>
        <w:spacing w:after="0" w:line="172" w:lineRule="exact"/>
        <w:rPr>
          <w:sz w:val="20"/>
          <w:szCs w:val="20"/>
          <w:color w:val="auto"/>
        </w:rPr>
      </w:pPr>
    </w:p>
    <w:p>
      <w:pPr>
        <w:jc w:val="both"/>
        <w:ind w:firstLine="494"/>
        <w:spacing w:after="0" w:line="248" w:lineRule="auto"/>
        <w:rPr>
          <w:sz w:val="20"/>
          <w:szCs w:val="20"/>
          <w:color w:val="auto"/>
        </w:rPr>
      </w:pPr>
      <w:r>
        <w:rPr>
          <w:rFonts w:ascii="Times New Roman" w:cs="Times New Roman" w:eastAsia="Times New Roman" w:hAnsi="Times New Roman"/>
          <w:sz w:val="14"/>
          <w:szCs w:val="14"/>
          <w:color w:val="auto"/>
        </w:rPr>
        <w:t>If Securities of a series are issuable in global form,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in such Security or in a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in such Security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15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provisions of the last sentence of Section 303 shall apply to any Security in global form if such Security was never issued and sold by the Company and the Company delivers to the Trustee the Security in global form together with written instructions (which need not comply with Section 103 and need not be accompanied by an Opinion of Counsel) with regard to the reduction in the principal amount of Securities represented thereby, together with the written statement contemplated by the last sentence of Section 303.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56" w:name="page57"/>
    <w:bookmarkEnd w:id="56"/>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Notwithstanding the provisions of Sections 201 and 307, unless otherwise specified as contemplated by Section 301, payment of principal of (and premium, if any) and interest on any Security in permanent global form shall be made to the Person or Persons specified therein.</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Notwithstanding the provisions of Section 308 and except as provided in the preceding paragraph, the Company, the Trustee and any agent of the Company or of the Trustee shall treat a Person as the Holder of such principal amount of Outstanding Securities represented by a global Security as shall be specified in a written statement, if any, of the Holder of such global Security, which is produced to the Security Registrar by such Holder.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Global Securities may be issued in either temporary or permanent form. Permanent global Securities will be issued in definitive form.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204. BOOK-ENTRY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Notwithstanding any provision of this Indenture to the contrary:</w:t>
      </w:r>
    </w:p>
    <w:p>
      <w:pPr>
        <w:spacing w:after="0" w:line="168" w:lineRule="exact"/>
        <w:rPr>
          <w:sz w:val="20"/>
          <w:szCs w:val="20"/>
          <w:color w:val="auto"/>
        </w:rPr>
      </w:pPr>
    </w:p>
    <w:p>
      <w:pPr>
        <w:jc w:val="both"/>
        <w:ind w:left="500" w:firstLine="490"/>
        <w:spacing w:after="0" w:line="249" w:lineRule="auto"/>
        <w:tabs>
          <w:tab w:leader="none" w:pos="117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discretion of the Company, any Registered Security may be issued from time to time, in whole or in part, in permanent global form registered in the name of a Depositary, or its nominee. Each such Registered Security in permanent global form is hereafter referred to as a “Book-Entry Security.” Subject to Section 303, upon such election, the Company shall execute, and the Trustee or an Authenticating Agent shall authenticate and deliver, one or more Book-Entry Securities that (i) are denominated in an amount equal to the aggregate principal amount of the Outstanding Securities of such series if elected in whole or such lesser amount if elected in part, (ii) are registered in the name of the Depositary or its nominee, (iii) are delivered by the Trustee or an Authenticating Agent to the Depositary or pursuant to the Depositary’s instructions and (iv) bear a legend in substantially the following form (or such other form as the Depositary and the Company may agree upon):</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UNLESS THIS SECURITY IS PRESENTED BY AN AUTHORIZED REPRESENTATIVE OF [THE DEPOSITARY], TO THE COMPANY OR ITS AGENT FOR REGISTRATION OF TRANSFER, EXCHANGE OR PAYMENT, AND ANY CERTIFICATE ISSUED IS REGISTERED IN THE NAME OF [NOMINEE OF THE DEPOSITARY] OR IN SUCH OTHER NAME AS IS REQUESTED BY AN AUTHORIZED REPRESENTATIVE OF [THE DEPOSITARY] (AND ANY PAYMENT IS MADE TO [NOMINEE OF THE DEPOSITARY] OR TO SUCH OTHER ENTITY AS IS REQUESTED BY AN AUTHORIZED REPRESENTATIVE OF [THE DEPOSITARY]), ANY TRANSFER, PLEDGE OR OTHER USE HEREOF FOR VALUE OR OTHERWISE BY OR TO ANY PERSON IS WRONGFUL INASMUCH AS THE REGISTERED OWNER HEREOF, [NOMINEE OF THE DEPOSITARY], HAS AN INTEREST HEREIN.</w:t>
      </w:r>
    </w:p>
    <w:p>
      <w:pPr>
        <w:spacing w:after="0" w:line="146" w:lineRule="exact"/>
        <w:rPr>
          <w:sz w:val="20"/>
          <w:szCs w:val="20"/>
          <w:color w:val="auto"/>
        </w:rPr>
      </w:pPr>
    </w:p>
    <w:p>
      <w:pPr>
        <w:jc w:val="both"/>
        <w:ind w:left="500" w:firstLine="490"/>
        <w:spacing w:after="0" w:line="252" w:lineRule="auto"/>
        <w:tabs>
          <w:tab w:leader="none" w:pos="1181"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Book-Entry Security shall be initially executed and delivered as provided in Section 303. Notwithstanding any other provision of this Indenture, unless and until it is exchanged in whole or in part for Registered Securities not issued in global form, a Book-Entry Security may not be transferred except as a whole by the Depositary to a nominee of such Depositary, by a nominee of such Depositary to such Depositary or another nominee of such Depositary, or by such Depositary or any such nominee to a successor Depositary or a nominee of such successor Depositary.</w:t>
      </w:r>
    </w:p>
    <w:p>
      <w:pPr>
        <w:spacing w:after="0" w:line="146" w:lineRule="exact"/>
        <w:rPr>
          <w:rFonts w:ascii="Times New Roman" w:cs="Times New Roman" w:eastAsia="Times New Roman" w:hAnsi="Times New Roman"/>
          <w:sz w:val="14"/>
          <w:szCs w:val="14"/>
          <w:color w:val="auto"/>
        </w:rPr>
      </w:pPr>
    </w:p>
    <w:p>
      <w:pPr>
        <w:jc w:val="both"/>
        <w:ind w:left="500" w:firstLine="490"/>
        <w:spacing w:after="0" w:line="252" w:lineRule="auto"/>
        <w:tabs>
          <w:tab w:leader="none" w:pos="118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the Depositary notifies the Company or the Trustee that it is unwilling or unable to continue as Depositary for any Book-Entry Securities, the Company shall appoint a successor Depositary, whereupon the retiring Depositary shall surrender or cause the surrender of its Book-Entry Security or Securities to the Trustee. The Trustee shall promptly notify the Company upon receipt of such notice. If a successor Depositary has not been so appointed by the effective date of the resignation of the Depositary, the Book-Entry Securities will be issued as Registered Securities not issued in global form, in an aggregate principal amount equal to the principal amount of the Book-Entry Security or Securities theretofore held by the Depositary.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57" w:name="page58"/>
    <w:bookmarkEnd w:id="57"/>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The Company may at any time and in its sole discretion determine that the Securities shall no longer be Book-Entry Securities represented by a global certificate or certificates, and will so notify the Depositary. Upon receipt of such notice, the Depositary shall promptly surrender or cause the surrender of its Book-Entry Security or Securities to the Trustee. Concurrently therewith, Registered Securities not issued in global form will be issued in an aggregate principal amount equal to the principal amount of the Book-Entry Security or Securities theretofore held by the Depositary.</w:t>
      </w:r>
    </w:p>
    <w:p>
      <w:pPr>
        <w:spacing w:after="0" w:line="147"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Upon any exchange of Book-Entry Securities for Registered Securities not issued in global form as set forth in this Section 204(c), such Book-Entry Securities shall be cancelled by the Trustee, and Securities issued in exchange for such Book-Entry Securities pursuant to this Section shall be registered in such names and in such authorized denominations as the Depositary for such Book-Entry Securities, pursuant to instructions from its direct or indirect participants or otherwise, shall instruct the Trustee. The Trustee or any Authenticating Agent shall deliver such Securities to the Persons in whose names such Securities are so registered.</w:t>
      </w:r>
    </w:p>
    <w:p>
      <w:pPr>
        <w:spacing w:after="0" w:line="147" w:lineRule="exact"/>
        <w:rPr>
          <w:sz w:val="20"/>
          <w:szCs w:val="20"/>
          <w:color w:val="auto"/>
        </w:rPr>
      </w:pPr>
    </w:p>
    <w:p>
      <w:pPr>
        <w:jc w:val="both"/>
        <w:ind w:firstLine="490"/>
        <w:spacing w:after="0" w:line="248" w:lineRule="auto"/>
        <w:tabs>
          <w:tab w:leader="none" w:pos="68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and the Trustee shall be entitled to treat the Person in whose name any Book-Entry Security is registered as the Holder thereof for all purposes of the Indenture and any applicable laws, notwithstanding any notice to the contrary received by the Trustee or the Company; and the Trustee and the Company shall have no responsibility for transmitting payments to, communication with, notifying, or otherwise dealing with any beneficial owners of any Book-Entry Security. Neither the Company nor the Trustee shall have any responsibility or obligations, legal or otherwise, to the beneficial owners or to any other party including the Depositary, except for the Holder of any Book-Entry Security;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notwithstanding anything herein to the contrary, (i) for the purposes of determining whether the requisite principal amount of Outstanding Securities have given, made or taken any request, demand, authorization, direction, notice, consent, waiver, instruction or other action hereunder as of any date, the Trustee shall treat any Person specified in a written statement of the Depositary with respect to any Book-Entry Securities as the Holder of the principal amount of such Securities set forth therein and (ii) nothing herein shall prevent the Company, the Trustee, or any agent of the Company or Trustee, from giving effect to any written certification, proxy or other authorization furnished by a Depositary with respect to any Book-Entry Securities, or impair, as between a Depositary and holders of beneficial interests in such Securities, the operation of customary practices governing the exercise of the rights of the Depositary as Holder of such Securities.</w:t>
      </w:r>
    </w:p>
    <w:p>
      <w:pPr>
        <w:spacing w:after="0" w:line="148" w:lineRule="exact"/>
        <w:rPr>
          <w:rFonts w:ascii="Times New Roman" w:cs="Times New Roman" w:eastAsia="Times New Roman" w:hAnsi="Times New Roman"/>
          <w:sz w:val="14"/>
          <w:szCs w:val="14"/>
          <w:color w:val="auto"/>
        </w:rPr>
      </w:pPr>
    </w:p>
    <w:p>
      <w:pPr>
        <w:jc w:val="both"/>
        <w:ind w:firstLine="490"/>
        <w:spacing w:after="0" w:line="256" w:lineRule="auto"/>
        <w:tabs>
          <w:tab w:leader="none" w:pos="68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any Book-Entry Security is registered in the name of a Depositary or its nominee, all payments of the principal of (and premium, if any) and interest on such Book-Entry Security and redemption thereof and all notices with respect to such Book-Entry Security shall be made and given, respectively, in the manner provided in the arrangements of the Company with such Depositary.</w:t>
      </w:r>
    </w:p>
    <w:p>
      <w:pPr>
        <w:spacing w:after="0" w:line="14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10160</wp:posOffset>
            </wp:positionV>
            <wp:extent cx="716470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0"/>
          </w:cols>
          <w:pgMar w:left="800" w:top="559"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301. AMOUNT UNLIMITED; ISSUABLE IN SERIES.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w:t>
      </w:r>
    </w:p>
    <w:p>
      <w:pPr>
        <w:spacing w:after="0" w:line="168"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136" w:lineRule="exact"/>
        <w:rPr>
          <w:sz w:val="20"/>
          <w:szCs w:val="20"/>
          <w:color w:val="auto"/>
        </w:rPr>
      </w:pPr>
    </w:p>
    <w:p>
      <w:pPr>
        <w:ind w:left="1180" w:hanging="190"/>
        <w:spacing w:after="0"/>
        <w:tabs>
          <w:tab w:leader="none" w:pos="11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the series from all other Securities);</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9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if any, upon the aggregate principal amount of the Securities of the series that may be authenticated and delivered under this Indenture (except for Securities authenticated and delivered upon registration or transfer of, or in exchange for, or in lieu of, other Securities of the series pursuant to Section 304, 305, 306, 905 or 1107);</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2" w:lineRule="auto"/>
        <w:tabs>
          <w:tab w:leader="none" w:pos="119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Securities of the series are to be issuable as Registered Securities, whether any Securities of the series are to be issuable initially in temporary global form and whether any Securities of the series are to be issuable in permanent global form, as Book-Entry Securities or otherwise,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Depositary for any global Security or Securities;</w:t>
      </w:r>
    </w:p>
    <w:p>
      <w:pPr>
        <w:spacing w:after="0" w:line="146"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any interest payable on a temporary global Security on any Interest Payment Date will be paid if other than in the manner provided in Section 304;</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(and premium, if any, on) the Securities of the series is payable or the method of determination thereof;</w:t>
      </w:r>
    </w:p>
    <w:p>
      <w:pPr>
        <w:spacing w:after="0" w:line="168"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8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if other than as set forth in Section 101, the Regular Record Date for the interest payable on any Registered Securities on any Interest Payment Date;</w:t>
      </w:r>
    </w:p>
    <w:p>
      <w:pPr>
        <w:spacing w:after="0" w:line="143" w:lineRule="exact"/>
        <w:rPr>
          <w:rFonts w:ascii="Times New Roman" w:cs="Times New Roman" w:eastAsia="Times New Roman" w:hAnsi="Times New Roman"/>
          <w:sz w:val="14"/>
          <w:szCs w:val="14"/>
          <w:color w:val="auto"/>
        </w:rPr>
      </w:pPr>
    </w:p>
    <w:p>
      <w:pPr>
        <w:ind w:left="500" w:firstLine="490"/>
        <w:spacing w:after="0" w:line="267" w:lineRule="auto"/>
        <w:tabs>
          <w:tab w:leader="none" w:pos="119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Corporate Trust Office of the Trustee, the place or places where, subject to the provisions of Section 1002, the principal of (and premium, if any), any interest on and any Additional Amounts with respect to the Securities of the series shall be payable;</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9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Securities of the series pursuant to any sinking fund or analogous provisions or at the option of a Holder thereof and the period or periods within which, the price or prices (whether denominated in cash, securities or otherwise) at which and the terms and conditions upon which Securities of the series shall be redeemed or purchased in whole or in part pursuant to such obligation;</w:t>
      </w:r>
    </w:p>
    <w:p>
      <w:pPr>
        <w:spacing w:after="0" w:line="143" w:lineRule="exact"/>
        <w:rPr>
          <w:rFonts w:ascii="Times New Roman" w:cs="Times New Roman" w:eastAsia="Times New Roman" w:hAnsi="Times New Roman"/>
          <w:sz w:val="14"/>
          <w:szCs w:val="14"/>
          <w:color w:val="auto"/>
        </w:rPr>
      </w:pPr>
    </w:p>
    <w:p>
      <w:pPr>
        <w:ind w:left="1260" w:hanging="270"/>
        <w:spacing w:after="0"/>
        <w:tabs>
          <w:tab w:leader="none" w:pos="1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 in which any Registered Securities of that series shall be issuable, if other than denominations of $2,000 and any integral multiple of $1,000 in excess thereof;</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25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payment of the principal of (and premium, if any), any interest on and any Additional Amounts with respect to the Securities of the series shall be payable if other than the currency of the United States of America;</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2" w:lineRule="auto"/>
        <w:tabs>
          <w:tab w:leader="none" w:pos="126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on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of (and premium, if any) and interest on and any Additional Amounts with respect to Securities of such series as to which such election is made shall be payable, and the periods within which and the terms and conditions upon which such election is to be made;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59" w:name="page60"/>
    <w:bookmarkEnd w:id="59"/>
    <w:p>
      <w:pPr>
        <w:ind w:left="500" w:firstLine="490"/>
        <w:spacing w:after="0" w:line="267" w:lineRule="auto"/>
        <w:tabs>
          <w:tab w:leader="none" w:pos="126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(and premium, if any), any interest on and any Additional Amounts with respect to the Securities of the series may be determined with reference to any commodities, currencies or indices, or values, rates or prices, the manner in which such amounts shall be determined;</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26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entire principal amount thereof, the portion of the principal amount of Securities of the series that shall be payable upon declaration of acceleration of the Maturity thereof pursuant to Section 502;</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25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means of satisfaction and discharge of this Indenture with respect to Securities of the series pursuant to Section 401, any additional conditions to discharge pursuant to Section 401, 402, 403, 404, or 405, and the application, if any, of Section 403 and 404;</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27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deletions or modifications of or additions to the Events of Default set forth in Section 501, the right of the Trustee or the requisite Holders of such Securities to declare the principal amount thereof due and payable pursuant to Section 502, or the covenants of the Company set forth in Article X pertaining to the Securities of the series;</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25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on which the Securities of any series may be converted into or exchanged for stock or other securities of the Company or other entities, any specific terms relating to the adjustment thereof and the period during which such Securities may be so converted or exchanged;</w:t>
      </w:r>
    </w:p>
    <w:p>
      <w:pPr>
        <w:spacing w:after="0" w:line="135" w:lineRule="exact"/>
        <w:rPr>
          <w:rFonts w:ascii="Times New Roman" w:cs="Times New Roman" w:eastAsia="Times New Roman" w:hAnsi="Times New Roman"/>
          <w:sz w:val="14"/>
          <w:szCs w:val="14"/>
          <w:color w:val="auto"/>
        </w:rPr>
      </w:pPr>
    </w:p>
    <w:p>
      <w:pPr>
        <w:ind w:left="1260" w:hanging="270"/>
        <w:spacing w:after="0"/>
        <w:tabs>
          <w:tab w:leader="none" w:pos="1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a series will be issued as part of units consisting of Securities and other securities of the Company or another issuer; and</w:t>
      </w:r>
    </w:p>
    <w:p>
      <w:pPr>
        <w:spacing w:after="0" w:line="168" w:lineRule="exact"/>
        <w:rPr>
          <w:rFonts w:ascii="Times New Roman" w:cs="Times New Roman" w:eastAsia="Times New Roman" w:hAnsi="Times New Roman"/>
          <w:sz w:val="14"/>
          <w:szCs w:val="14"/>
          <w:color w:val="auto"/>
        </w:rPr>
      </w:pPr>
    </w:p>
    <w:p>
      <w:pPr>
        <w:ind w:left="1260" w:hanging="270"/>
        <w:spacing w:after="0"/>
        <w:tabs>
          <w:tab w:leader="none" w:pos="1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 permitted under the provisions of the Trust Indenture Act.</w:t>
      </w:r>
    </w:p>
    <w:p>
      <w:pPr>
        <w:spacing w:after="0" w:line="168" w:lineRule="exact"/>
        <w:rPr>
          <w:sz w:val="20"/>
          <w:szCs w:val="20"/>
          <w:color w:val="auto"/>
        </w:rPr>
      </w:pPr>
    </w:p>
    <w:p>
      <w:pPr>
        <w:ind w:firstLine="494"/>
        <w:spacing w:after="0" w:line="307" w:lineRule="auto"/>
        <w:rPr>
          <w:sz w:val="20"/>
          <w:szCs w:val="20"/>
          <w:color w:val="auto"/>
        </w:rPr>
      </w:pPr>
      <w:r>
        <w:rPr>
          <w:rFonts w:ascii="Times New Roman" w:cs="Times New Roman" w:eastAsia="Times New Roman" w:hAnsi="Times New Roman"/>
          <w:sz w:val="13"/>
          <w:szCs w:val="13"/>
          <w:color w:val="auto"/>
        </w:rPr>
        <w:t>All Securities of any one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11"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unless otherwise provided in such Board Resolution or supplemental indenture, a series may be reopened for issuances of additional Securities of such series pursuant to a Board Resolution or in any indenture supplemental hereto.</w:t>
      </w:r>
    </w:p>
    <w:p>
      <w:pPr>
        <w:spacing w:after="0" w:line="136"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At the option of the Company, interest on the Registered Securities of any series that bears interest may be paid by mailing a check or otherwise transmitting payment to the address of any Holder as such address shall appear in the Security Register.</w:t>
      </w:r>
    </w:p>
    <w:p>
      <w:pPr>
        <w:spacing w:after="0" w:line="136"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a copy of an appropriate record of such action together with such Board Resolution shall be certified by the Secretary or an Assistant Secretary of the Company and delivered to the Trustee at or prior to the delivery of the Officers’ Certificate setting forth the terms of the series.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SECTION 302. DENOMINATIONS.</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The Securities of each series shall be issuable in such denominations as shall be specified as contemplated by Section 301. In the absence of any such provisions with respect to the Securities of any series, the Registered Securities of such series denominated in Dollars shall be issuable in denominations of $2,000 and any integral multiple of $1,000 in excess thereof. Unless otherwise provided as contemplated by Section 301 with respect to any series of Securities, any Securities of a series denominated in a currency other than Dollars shall be issuable in denominations that are the equivalent, as determined by the Company by reference to the noon buying rate in the City of New York for cable transfers for such currency, as such rate is reported or otherwise made available by the Federal Reserve Bank of New York, on the applicable issue date for such Securities, of $2,000 and any integral multiple of $1,000 in excess thereof.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303. EXECUTION, AUTHENTICATION, DELIVERY AND DATING.</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Securities shall be executed on behalf of the Company by its Chairman of the Board, its Chief Executive Officer, its President, its Chief Financial Officer, its Treasurer or one of its Vice Presidents, under its corporate seal reproduced thereon or affixed thereto attested by its Secretary or one of its Assistant Secretaries. The signature of any of these officers on the Securities may be manual or facsimile. Coupons shall bear the facsimile signature of the Chairman of the Board, President, Treasurer or any Vice President of the Company.</w:t>
      </w:r>
    </w:p>
    <w:p>
      <w:pPr>
        <w:spacing w:after="0" w:line="143"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as in this Indenture provided and not otherwise.</w:t>
      </w:r>
    </w:p>
    <w:p>
      <w:pPr>
        <w:spacing w:after="0" w:line="14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If the form or terms of the Securities of the series have been established in or pursuant to one or more Board Resolutions or Officer’s Certificate as permitted by Sections 201 and 301, in authenticating such Securities, and accepting the additional responsibilities under this Indenture in relation to such Securities, the Trustee shall be given (in addition to the other documents required by Section 103 hereof), and (subject to Section 601) shall be fully protected in relying upon, an Opinion of Counsel stating,</w:t>
      </w:r>
    </w:p>
    <w:p>
      <w:pPr>
        <w:spacing w:after="0" w:line="143" w:lineRule="exact"/>
        <w:rPr>
          <w:sz w:val="20"/>
          <w:szCs w:val="20"/>
          <w:color w:val="auto"/>
        </w:rPr>
      </w:pPr>
    </w:p>
    <w:p>
      <w:pPr>
        <w:ind w:left="500" w:firstLine="490"/>
        <w:spacing w:after="0" w:line="267" w:lineRule="auto"/>
        <w:tabs>
          <w:tab w:leader="none" w:pos="119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form of such Securities has been established by or pursuant to Board Resolution as permitted by Section 201, that such form has been established in conformity with the provisions of this Indenture;</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9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terms of such Securities have been established by or pursuant to Board Resolution as permitted by Section 301, that such terms have been established in conformity with the provisions of this Indenture; and</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1" w:lineRule="auto"/>
        <w:tabs>
          <w:tab w:leader="none" w:pos="118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such Securities, when authenticated and delivered by the Trustee and issued by the Company in the manner and subject to any conditions specified in such Opinion of Counsel, will constitute legal, valid and binding obligations of the Company, enforceable in accordance with their terms, except as such enforcement is subject to the effect of bankruptcy, insolvency, fraudulent conveyance, reorganization or other laws relating to or affecting creditors’ rights, and general principles of equity (regardless of whether such enforcement is considered in a proceeding in equity or at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Opinion of Counsel need express no opinion as to whether a court in the United States would render a money judgment in currency other than that of the United States.</w:t>
      </w:r>
    </w:p>
    <w:p>
      <w:pPr>
        <w:spacing w:after="0" w:line="14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not reasonably acceptable to the Trustee.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Each Security shall be dated the date of its authentication.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61" w:name="page62"/>
    <w:bookmarkEnd w:id="61"/>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304. TEMPORARY SECURITIES.</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of the Company executing such Securities may determine, as evidenced by their execution of such Securities.</w:t>
      </w:r>
    </w:p>
    <w:p>
      <w:pPr>
        <w:spacing w:after="0" w:line="147"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50"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All Outstanding temporary Securities of any series shall in all respects be entitled to the same benefits under this Indenture as definitive Securities of the same series and of like tenor authenticated and delivered hereunder.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305. REGISTRATION, REGISTRATION OF TRANSFER AND EXCHANGE.</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The Company shall cause to be kept for each series of Securities at one of the offices or agencies maintained pursuant to Section 1002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Registered Securities and of transfers of Registered Securities of such series. The Trustee is hereby initially appointed “Security Registrar” for the purpose of registering Securities and transfers of Securities as herein provided.</w:t>
      </w:r>
    </w:p>
    <w:p>
      <w:pPr>
        <w:spacing w:after="0" w:line="147"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Upon surrender for registration of transfer of any Registered Security of any series at the office or agency in a Place of Payment for that series, the Company shall execute, and the Trustee shall authenticate and deliver, in the name of the designated transferee or transferees, one or more new Registered Securities of the same series and of like tenor, of any authorized denominations and of a like aggregate principal amount.</w:t>
      </w:r>
    </w:p>
    <w:p>
      <w:pPr>
        <w:spacing w:after="0" w:line="14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At the option of the Holder, Registered Securities of any series may be exchanged for other Registered Securities of the same series and of like tenor, of any authorized denominations and of a like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62" w:name="page63"/>
    <w:bookmarkEnd w:id="62"/>
    <w:p>
      <w:pPr>
        <w:jc w:val="both"/>
        <w:ind w:firstLine="494"/>
        <w:spacing w:after="0" w:line="246" w:lineRule="auto"/>
        <w:rPr>
          <w:sz w:val="20"/>
          <w:szCs w:val="20"/>
          <w:color w:val="auto"/>
        </w:rPr>
      </w:pPr>
      <w:r>
        <w:rPr>
          <w:rFonts w:ascii="Times New Roman" w:cs="Times New Roman" w:eastAsia="Times New Roman" w:hAnsi="Times New Roman"/>
          <w:sz w:val="14"/>
          <w:szCs w:val="14"/>
          <w:color w:val="auto"/>
        </w:rPr>
        <w:t xml:space="preserve">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103 or be accompanied by an Opinion of Counsel)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other definitive Securities of the same series of authorized denominations and of like tenor as the portion of such permanent global Security to be exchanged;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exchanges may occur during a period beginning at the opening of business 15 days before any selection of Securities of that series is to be redeemed and ending on the relevant Redemption Date. Promptly following any such exchange in part, such permanent global Security marked to evidence the partial exchange shall be returned by the Trustee to the Depositary or such other depositary referred to above in accordance with the instructions of the Company referred to above.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5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Every Registered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 pursuant to Section 304, 905 or 1107 not involving any transfer.</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Company shall not be required (i) to issue, register the transfer of or exchange Securities of any series during a period beginning at the opening of business 15 days before the day of the mailing of a notice of redemption of Securities of such series selected for redemption and ending at the close of business on the day of the mailing of the relevant notice of redemption or (ii) to register the transfer of or exchange any Registered Security so selected for redemption in whole or in part, except the unredeemed portion of any Security being redeemed in part.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306. MUTILATED, DESTROYED, LOST AND STOLEN SECURITIES.</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63" w:name="page64"/>
    <w:bookmarkEnd w:id="63"/>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deliver, in lieu of any such destroyed, lost or stolen Security, a new Security of the same series and of like tenor and principal amount and bearing a number not contemporaneously Outstanding.</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new Security, pay such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w:t>
      </w:r>
    </w:p>
    <w:p>
      <w:pPr>
        <w:spacing w:after="0" w:line="157"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 and expenses of the Trustee) connected therewith.</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3"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307. PAYMENT OF INTEREST; INTEREST RIGHTS PRESERVED.</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provided with respect to the Securities of any series, payment of interest may be made at the option of the Company by check mailed or delivered to the address of any Person entitled thereto as such address shall appear in the Security Register.</w:t>
      </w:r>
    </w:p>
    <w:p>
      <w:pPr>
        <w:spacing w:after="0" w:line="14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43" w:lineRule="exact"/>
        <w:rPr>
          <w:sz w:val="20"/>
          <w:szCs w:val="20"/>
          <w:color w:val="auto"/>
        </w:rPr>
      </w:pPr>
    </w:p>
    <w:p>
      <w:pPr>
        <w:jc w:val="both"/>
        <w:ind w:left="500" w:firstLine="490"/>
        <w:spacing w:after="0" w:line="247" w:lineRule="auto"/>
        <w:tabs>
          <w:tab w:leader="none" w:pos="1189"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but such publication shall not be a condition precedent to the establishment of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64" w:name="page65"/>
    <w:bookmarkEnd w:id="64"/>
    <w:p>
      <w:pPr>
        <w:jc w:val="both"/>
        <w:ind w:left="500" w:firstLine="490"/>
        <w:spacing w:after="0" w:line="256" w:lineRule="auto"/>
        <w:tabs>
          <w:tab w:leader="none" w:pos="120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3"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Subject to the foregoing provisions of this Section, each Security delivered under this Indenture, upon registration of transfer of, in exchange for or in lieu of, any other Security, shall carry the rights to interest accrued and unpaid, and to accrue, which were carried by such other Security.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308. PERSONS DEEMED OWNERS.</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on such Registered Security and for all other purposes whatsoever, whether or not such Security be overdue, and neither the Company, the Trustee nor any agent of the Company or the Trustee shall be affected by notice to the contrary.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309. CANCELLATION.</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All Securities surrendered for payment, redemption, registration of transfer or exchange or for credit against any sinking fund payment shall, if surrendered to any Person other than the Trustee, be delivered to the Trustee. All Registered Securities so delivered shall be promptly cancelled by the Trustee.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its customary manner.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310. COMPUTATION OF INTEREST.</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Except as otherwise specified as contemplated by Section 301 for Securities of any series, interest on the Securities of each series shall be computed on the basis of a year comprising twelve 30-day months.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311. CUSIP NUMBERS.</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 LEGAL DEFEASANCE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 DEFEASANCE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401. SATISFACTION AND DISCHARGE OF INDENTURE.</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This Indenture shall upon Company Request cease to be of further effect with respect to Securities of any series (except as to any surviving rights of registration of transfer, exchange or replacement of such series of Securities herein expressly provided for), and the Trustee, at the expense of the Company, shall execute proper instruments acknowledging satisfaction and discharge of this Indenture with respect to such Securities, when</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 either</w:t>
      </w:r>
    </w:p>
    <w:p>
      <w:pPr>
        <w:spacing w:after="0" w:line="168" w:lineRule="exact"/>
        <w:rPr>
          <w:sz w:val="20"/>
          <w:szCs w:val="20"/>
          <w:color w:val="auto"/>
        </w:rPr>
      </w:pPr>
    </w:p>
    <w:p>
      <w:pPr>
        <w:jc w:val="both"/>
        <w:ind w:left="500" w:firstLine="490"/>
        <w:spacing w:after="0" w:line="256" w:lineRule="auto"/>
        <w:tabs>
          <w:tab w:leader="none" w:pos="12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such series theretofore authenticated and delivered (other than (i) such Securities which have been destroyed, lost or stolen and which have been replaced or paid as provided in Section 306 and (ii) such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43" w:lineRule="exact"/>
        <w:rPr>
          <w:rFonts w:ascii="Times New Roman" w:cs="Times New Roman" w:eastAsia="Times New Roman" w:hAnsi="Times New Roman"/>
          <w:sz w:val="14"/>
          <w:szCs w:val="14"/>
          <w:color w:val="auto"/>
        </w:rPr>
      </w:pPr>
    </w:p>
    <w:p>
      <w:pPr>
        <w:ind w:left="1200" w:hanging="210"/>
        <w:spacing w:after="0"/>
        <w:tabs>
          <w:tab w:leader="none" w:pos="12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such series not theretofore delivered to the Trustee for cancellation</w:t>
      </w:r>
    </w:p>
    <w:p>
      <w:pPr>
        <w:spacing w:after="0" w:line="168" w:lineRule="exact"/>
        <w:rPr>
          <w:rFonts w:ascii="Times New Roman" w:cs="Times New Roman" w:eastAsia="Times New Roman" w:hAnsi="Times New Roman"/>
          <w:sz w:val="14"/>
          <w:szCs w:val="14"/>
          <w:color w:val="auto"/>
        </w:rPr>
      </w:pPr>
    </w:p>
    <w:p>
      <w:pPr>
        <w:ind w:left="1400" w:hanging="163"/>
        <w:spacing w:after="0"/>
        <w:tabs>
          <w:tab w:leader="none" w:pos="140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168" w:lineRule="exact"/>
        <w:rPr>
          <w:rFonts w:ascii="Times New Roman" w:cs="Times New Roman" w:eastAsia="Times New Roman" w:hAnsi="Times New Roman"/>
          <w:sz w:val="14"/>
          <w:szCs w:val="14"/>
          <w:color w:val="auto"/>
        </w:rPr>
      </w:pPr>
    </w:p>
    <w:p>
      <w:pPr>
        <w:ind w:left="1440" w:hanging="203"/>
        <w:spacing w:after="0"/>
        <w:tabs>
          <w:tab w:leader="none" w:pos="14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168" w:lineRule="exact"/>
        <w:rPr>
          <w:rFonts w:ascii="Times New Roman" w:cs="Times New Roman" w:eastAsia="Times New Roman" w:hAnsi="Times New Roman"/>
          <w:sz w:val="14"/>
          <w:szCs w:val="14"/>
          <w:color w:val="auto"/>
        </w:rPr>
      </w:pPr>
    </w:p>
    <w:p>
      <w:pPr>
        <w:ind w:left="980" w:firstLine="257"/>
        <w:spacing w:after="0" w:line="267" w:lineRule="auto"/>
        <w:tabs>
          <w:tab w:leader="none" w:pos="1482"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 under arrangements satisfactory to the Trustee for the giving of notice of redemption by the Trustee in the name, and at the expense, of the Company,</w:t>
      </w:r>
    </w:p>
    <w:p>
      <w:pPr>
        <w:spacing w:after="0" w:line="136" w:lineRule="exact"/>
        <w:rPr>
          <w:sz w:val="20"/>
          <w:szCs w:val="20"/>
          <w:color w:val="auto"/>
        </w:rPr>
      </w:pPr>
    </w:p>
    <w:p>
      <w:pPr>
        <w:jc w:val="both"/>
        <w:ind w:left="500"/>
        <w:spacing w:after="0" w:line="278" w:lineRule="auto"/>
        <w:rPr>
          <w:sz w:val="20"/>
          <w:szCs w:val="20"/>
          <w:color w:val="auto"/>
        </w:rPr>
      </w:pPr>
      <w:r>
        <w:rPr>
          <w:rFonts w:ascii="Times New Roman" w:cs="Times New Roman" w:eastAsia="Times New Roman" w:hAnsi="Times New Roman"/>
          <w:sz w:val="13"/>
          <w:szCs w:val="13"/>
          <w:color w:val="auto"/>
        </w:rPr>
        <w:t>and the Company, in the case of (B)(i), (ii) or (iii) above, has deposited or caused to be deposited with the Trustee, as funds in trust for such purpose, an amount in the currency or currencies or currency unit or units in which such Securities of such series are payable or U.S. Government Obligations maturing as to principal and interest in such amounts and at such times as will, together with any interest thereon, be sufficient to pay and discharge the entire indebtedness on such Securities of such series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30" w:lineRule="exact"/>
        <w:rPr>
          <w:sz w:val="20"/>
          <w:szCs w:val="20"/>
          <w:color w:val="auto"/>
        </w:rPr>
      </w:pPr>
    </w:p>
    <w:p>
      <w:pPr>
        <w:ind w:left="1180" w:hanging="190"/>
        <w:spacing w:after="0"/>
        <w:tabs>
          <w:tab w:leader="none" w:pos="11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hereunder by the Company; and</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9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all conditions precedent herein provided for relating to the satisfaction and discharge of this Indenture with respect to such series of Securities have been complied with.</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with respect to the Outstanding Securities of such series pursuant to this Section 401, the obligations of the Company to the Trustee under Section 607 and to any Authenticating Agent under Section 614 and, if money or U.S. Government Obligations shall have been deposited with the Trustee pursuant to subclause (B) of Clause (1) of this Section, the obligations of the Trustee under Section 406, Article VI and the last paragraph of Section 1003 shall survive such satisfaction and discharge.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402. OPTION TO EFFECT LEGAL DEFEASANCE OR COVENANT DEFEASANCE.</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In addition to the Company’s rights under Section 401 (which shall not be affected by this Section 402), the Company may, at the option of its Board of Directors evidenced by a resolution set forth in an Officers’ Certificate, at any time, elect to have either Section 403 or 404 hereof applied to all Outstanding Securities of any series upon compliance with the conditions set forth in Sections 403 through 406 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SECTION 403. LEGAL DEFEASANCE AND DISCHARGE.</w:t>
      </w:r>
    </w:p>
    <w:p>
      <w:pPr>
        <w:spacing w:after="0" w:line="172" w:lineRule="exact"/>
        <w:rPr>
          <w:sz w:val="20"/>
          <w:szCs w:val="20"/>
          <w:color w:val="auto"/>
        </w:rPr>
      </w:pPr>
    </w:p>
    <w:p>
      <w:pPr>
        <w:jc w:val="both"/>
        <w:ind w:firstLine="494"/>
        <w:spacing w:after="0" w:line="269" w:lineRule="auto"/>
        <w:rPr>
          <w:sz w:val="20"/>
          <w:szCs w:val="20"/>
          <w:color w:val="auto"/>
        </w:rPr>
      </w:pPr>
      <w:r>
        <w:rPr>
          <w:rFonts w:ascii="Times New Roman" w:cs="Times New Roman" w:eastAsia="Times New Roman" w:hAnsi="Times New Roman"/>
          <w:sz w:val="13"/>
          <w:szCs w:val="13"/>
          <w:color w:val="auto"/>
        </w:rPr>
        <w:t>Upon the Company’s exercise under Section 402 hereof of the option applicable to this Section 403, the Company and the Guarantors shall, subject to the satisfaction of the conditions set forth in Section 405 hereof, be deemed to have been discharged from their obligations with respect to all Outstanding Securities of a series on the date the conditions set forth below are satisfied (hereinafter, “Legal Defeasance”). For this purpose, Legal Defeasance means that the Company shall be deemed to have paid and discharged the entire Indebtedness represented by the Outstanding Securities of a series, which shall thereafter be deemed to be “outstanding” only for the purposes of Section 406 hereof and the other Sections of this Indenture referred to in (a) and (b) below,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Securities of any series to receive payments in respect of the principal of, premium, if any, and interest, if any, on such Securities when such payments are due from the trust referred to in Section 405, (b) the Company’s obligations with respect to such Securities under Sections 304, 305, 306 and 1002 of this Indenture, (c) the rights, powers, trusts, duties and immunities of the Trustee hereunder and the Company’s obligations in connection therewith and (d) this Article IV. Subject to compliance with Sections 402 through 406 hereof, the Company may exercise its option under this Section 403 notwithstanding the prior exercise of its option under Section 404 hereof.</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404. COVENANT DEFEASANCE.</w:t>
      </w:r>
    </w:p>
    <w:p>
      <w:pPr>
        <w:spacing w:after="0" w:line="172" w:lineRule="exact"/>
        <w:rPr>
          <w:sz w:val="20"/>
          <w:szCs w:val="20"/>
          <w:color w:val="auto"/>
        </w:rPr>
      </w:pPr>
    </w:p>
    <w:p>
      <w:pPr>
        <w:jc w:val="both"/>
        <w:ind w:firstLine="494"/>
        <w:spacing w:after="0" w:line="247" w:lineRule="auto"/>
        <w:rPr>
          <w:sz w:val="20"/>
          <w:szCs w:val="20"/>
          <w:color w:val="auto"/>
        </w:rPr>
      </w:pPr>
      <w:r>
        <w:rPr>
          <w:rFonts w:ascii="Times New Roman" w:cs="Times New Roman" w:eastAsia="Times New Roman" w:hAnsi="Times New Roman"/>
          <w:sz w:val="14"/>
          <w:szCs w:val="14"/>
          <w:color w:val="auto"/>
        </w:rPr>
        <w:t>Upon the Company’s exercise under Section 402 hereof of the option applicable to this Section 404, the Company shall, subject to the satisfaction of the conditions set forth in Section 405 hereof, be released from the operation of Section 801 hereof with respect to the Outstanding Securities of a series and any other covenant contained in the Board Resolution or supplemental indenture relating to such series on and after the date the conditions set forth in Section 405 are satisfied (hereinafter, “Covenant Defeasance”),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 hereof, but, except as specified above, the remainder of this Indenture and such series of Securities shall be unaffected thereby. In addition, upon the Company’s exercise under Section 402 hereof of the option applicable to this Section 404 hereof, subject to the satisfaction of the conditions set forth in Section 405 hereof, Sections 501(3) through 501(6) and Section 501(9) hereof shall not constitute Events of Default.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405. CONDITIONS TO LEGAL OR COVENANT DEFEASANCE.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shall be the conditions to the application of either Section 403 or 404 hereof to the Outstanding Securities of any series: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order to exercise either Legal Defeasance or Covenant Defeasance:</w:t>
      </w:r>
    </w:p>
    <w:p>
      <w:pPr>
        <w:spacing w:after="0" w:line="168" w:lineRule="exact"/>
        <w:rPr>
          <w:sz w:val="20"/>
          <w:szCs w:val="20"/>
          <w:color w:val="auto"/>
        </w:rPr>
      </w:pPr>
    </w:p>
    <w:p>
      <w:pPr>
        <w:jc w:val="both"/>
        <w:ind w:left="500" w:firstLine="490"/>
        <w:spacing w:after="0" w:line="256" w:lineRule="auto"/>
        <w:tabs>
          <w:tab w:leader="none" w:pos="119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irrevocably deposit with the Trustee, in trust, for the benefit of the Holders of the Securities, cash in United States dollars, U.S. Government Obligations, or a combination thereof, in such amounts as will be sufficient, to pay the principal of, or interest and premium, if any, on the Outstanding Securities of such series on the Stated Maturity or on the applicable redemption date, as the case may be, and the Company must specify whether the Securities are being defeased to maturity or to a particular redemption date;</w:t>
      </w:r>
    </w:p>
    <w:p>
      <w:pPr>
        <w:spacing w:after="0" w:line="143" w:lineRule="exact"/>
        <w:rPr>
          <w:rFonts w:ascii="Times New Roman" w:cs="Times New Roman" w:eastAsia="Times New Roman" w:hAnsi="Times New Roman"/>
          <w:sz w:val="14"/>
          <w:szCs w:val="14"/>
          <w:color w:val="auto"/>
        </w:rPr>
      </w:pPr>
    </w:p>
    <w:p>
      <w:pPr>
        <w:jc w:val="both"/>
        <w:ind w:left="500" w:firstLine="490"/>
        <w:spacing w:after="0" w:line="251" w:lineRule="auto"/>
        <w:tabs>
          <w:tab w:leader="none" w:pos="119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Legal Defeasance, the Company shall have delivered to the Trustee an Opinion of Counsel reasonably acceptable to the Trustee confirming that (i) the Company has received from, or there has been published by, the Internal Revenue Service a ruling or (ii) since the date of this Indenture,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67" w:name="page68"/>
    <w:bookmarkEnd w:id="67"/>
    <w:p>
      <w:pPr>
        <w:jc w:val="both"/>
        <w:ind w:left="500" w:firstLine="490"/>
        <w:spacing w:after="0" w:line="256" w:lineRule="auto"/>
        <w:tabs>
          <w:tab w:leader="none" w:pos="118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the Company shall have delivered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43"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shall have occurred and be continuing either: (i) on the date of such deposit (other than a Default or Event of Default resulting from the borrowing of funds to be applied to such deposit); or (ii) insofar as Events of Default from bankruptcy or insolvency events are concerned, at any time in the period ending on the 91st day after the date of deposit;</w:t>
      </w:r>
    </w:p>
    <w:p>
      <w:pPr>
        <w:spacing w:after="0" w:line="143" w:lineRule="exact"/>
        <w:rPr>
          <w:rFonts w:ascii="Times New Roman" w:cs="Times New Roman" w:eastAsia="Times New Roman" w:hAnsi="Times New Roman"/>
          <w:sz w:val="14"/>
          <w:szCs w:val="14"/>
          <w:color w:val="auto"/>
        </w:rPr>
      </w:pPr>
    </w:p>
    <w:p>
      <w:pPr>
        <w:ind w:left="500" w:firstLine="490"/>
        <w:spacing w:after="0" w:line="267" w:lineRule="auto"/>
        <w:tabs>
          <w:tab w:leader="none" w:pos="118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Legal Defeasance or Covenant Defeasance will not result in a breach or violation of, or constitute a default under any material agreement or instrument (other than this Indenture) to which the Company is a party or by which the Company is bound;</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7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have delivered to the Trustee an Opinion of Counsel to the effect that, assuming no intervening bankruptcy of the Company or any Guarantor between the date of deposit and the 91st day following the deposit and assuming that no Holder is an “insider” of the Company under applicable bankruptcy law, after the 91st day following the deposit, the trust funds will not be subject to the effect of any applicable bankruptcy, insolvency, reorganization or similar laws affecting creditors’ rights generally;</w:t>
      </w:r>
    </w:p>
    <w:p>
      <w:pPr>
        <w:spacing w:after="0" w:line="143" w:lineRule="exact"/>
        <w:rPr>
          <w:rFonts w:ascii="Times New Roman" w:cs="Times New Roman" w:eastAsia="Times New Roman" w:hAnsi="Times New Roman"/>
          <w:sz w:val="14"/>
          <w:szCs w:val="14"/>
          <w:color w:val="auto"/>
        </w:rPr>
      </w:pPr>
    </w:p>
    <w:p>
      <w:pPr>
        <w:ind w:left="500" w:firstLine="490"/>
        <w:spacing w:after="0" w:line="267" w:lineRule="auto"/>
        <w:tabs>
          <w:tab w:leader="none" w:pos="119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deliver to the Trustee an Officers’ Certificate stating that the deposit was not made by the Company with the intent of preferring the Holders of Securities over the other creditors of the Company with the intent of defeating, hindering, delaying or defrauding creditors of the Company or others; and</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89"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406. DEPOSITED MONEY AND U.S. GOVERNMENT OBLIGATIONS TO BE HELD IN TRUST; OTHER MISCELLANEOUS PROVISIONS.</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Subject to Section 407 hereof, all money and non callable U.S. Government Obligations (including the proceeds thereof) deposited with the Trustee (or other qualifying trustee, collectively for purposes of this Section 406, the “Trustee”) pursuant to Section 401 or 404 hereof in respect of the Outstanding Securities of any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on , if any, and interest, but such money need not be segregated from other funds except to the extent required by law.</w:t>
      </w:r>
    </w:p>
    <w:p>
      <w:pPr>
        <w:spacing w:after="0" w:line="146" w:lineRule="exact"/>
        <w:rPr>
          <w:sz w:val="20"/>
          <w:szCs w:val="20"/>
          <w:color w:val="auto"/>
        </w:rPr>
      </w:pPr>
    </w:p>
    <w:p>
      <w:pPr>
        <w:jc w:val="both"/>
        <w:ind w:firstLine="494"/>
        <w:spacing w:after="0" w:line="307" w:lineRule="auto"/>
        <w:rPr>
          <w:sz w:val="20"/>
          <w:szCs w:val="20"/>
          <w:color w:val="auto"/>
        </w:rPr>
      </w:pPr>
      <w:r>
        <w:rPr>
          <w:rFonts w:ascii="Times New Roman" w:cs="Times New Roman" w:eastAsia="Times New Roman" w:hAnsi="Times New Roman"/>
          <w:sz w:val="13"/>
          <w:szCs w:val="13"/>
          <w:color w:val="auto"/>
        </w:rPr>
        <w:t>The Company shall pay and indemnify the Trustee against any tax, fee or other charge imposed on or assessed against the cash or non-callable U.S. Government Obligations deposited pursuant to Section 401 or 404 hereof or the principal and interest received in respect thereof other than any such tax, fee or other charge which by law is for the account of the Holders of the Outstanding Securities.</w:t>
      </w:r>
    </w:p>
    <w:p>
      <w:pPr>
        <w:spacing w:after="0" w:line="111"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Anything in this Article IV to the contrary notwithstanding, the Trustee shall deliver or pay to the Company from time to time upon the written request of the Company any money or non-callable U.S. Government Obligations held by it as provided in Section 401 or 404 hereof which, in the opinion of a nationally recognized firm of independent public accountants expressed in a written certification thereof delivered to the Trustee, are in excess of the amount thereof that would then be required to be deposited to effect an equivalent Legal Defeasance or Covenant Defeasance or satisfaction and discharge of this Indenture.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SECTION 407. REPAYMENT TO COMPANY.</w:t>
      </w:r>
    </w:p>
    <w:p>
      <w:pPr>
        <w:spacing w:after="0" w:line="172" w:lineRule="exact"/>
        <w:rPr>
          <w:sz w:val="20"/>
          <w:szCs w:val="20"/>
          <w:color w:val="auto"/>
        </w:rPr>
      </w:pPr>
    </w:p>
    <w:p>
      <w:pPr>
        <w:jc w:val="both"/>
        <w:ind w:firstLine="494"/>
        <w:spacing w:after="0" w:line="272" w:lineRule="auto"/>
        <w:rPr>
          <w:sz w:val="20"/>
          <w:szCs w:val="20"/>
          <w:color w:val="auto"/>
        </w:rPr>
      </w:pPr>
      <w:r>
        <w:rPr>
          <w:rFonts w:ascii="Times New Roman" w:cs="Times New Roman" w:eastAsia="Times New Roman" w:hAnsi="Times New Roman"/>
          <w:sz w:val="13"/>
          <w:szCs w:val="13"/>
          <w:color w:val="auto"/>
        </w:rPr>
        <w:t xml:space="preserve">Any money deposited with the Trustee or any paying agent, or then held by the Company, in trust for the payment of the principal of, premium on, if any, or interest on any Securities and remaining unclaimed for two years after such principal, and premium, if any, or interest has become due and payable shall be paid to the Company on its written request or (if then held by the Company) shall be discharged from such trust; and the Holder of such Securities shall thereafter, as an unsecured creditor,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will be repaid to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408. REINSTATEMENT.</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 xml:space="preserve">If the Trustee or Paying Agent is unable to apply any money or U.S. Government Obligations deposited with respect to Securities of any series in accordance with Section 401, 403 or 404 hereof, as the case may be, by reason of any order or judgment of any court or governmental authority enjoining, restraining or otherwise prohibiting such application, then the Company’s obligations under this Indenture with respect to the Securities of such series and the Securities of such series shall be revived and reinstated as though no deposit had occurred pursuant to Section 401, 403 or 404 hereof until such time as the Trustee or Paying Agent is permitted to apply all such money or U.S. Government Obligations in accordance with Section 401, 403 or 404 hereof, as the case may be;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Company makes any payment of principal of, premium on, if any, or interest on any Securities following the reinstatement of its obligations, the Company shall be subrogated to the rights of the Holders of such Securities to receive such payment from the money or U.S. Government Obligations held by the Trustee or Paying Agent.</w:t>
      </w:r>
    </w:p>
    <w:p>
      <w:pPr>
        <w:spacing w:after="0" w:line="1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501. EVENTS OF DEFAULT.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 “Event of Default” on a series occurs if:</w:t>
      </w:r>
    </w:p>
    <w:p>
      <w:pPr>
        <w:spacing w:after="0" w:line="168" w:lineRule="exact"/>
        <w:rPr>
          <w:sz w:val="20"/>
          <w:szCs w:val="20"/>
          <w:color w:val="auto"/>
        </w:rPr>
      </w:pPr>
    </w:p>
    <w:p>
      <w:pPr>
        <w:ind w:left="1180" w:hanging="190"/>
        <w:spacing w:after="0"/>
        <w:tabs>
          <w:tab w:leader="none" w:pos="11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interest on any Security of such series when the same becomes due and payable and the Default continues for a period of 30 days;</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the principal of any Security of such series when the same becomes due and payable at maturity, upon redemption or otherwise;</w:t>
      </w:r>
    </w:p>
    <w:p>
      <w:pPr>
        <w:spacing w:after="0" w:line="168"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fails to comply with any of its other agreements in the Securities of such series or this Indenture (as they relate thereto) and the Default continues for the period and after the notice specified below (except in the case of a default with respect to any Change of Control Provisions or Article VIII (or any replacement provisions contemplated by Article VIII), which will constitute Events of Default with notice but without passage of time);</w:t>
      </w:r>
    </w:p>
    <w:p>
      <w:pPr>
        <w:spacing w:after="0" w:line="143" w:lineRule="exact"/>
        <w:rPr>
          <w:rFonts w:ascii="Times New Roman" w:cs="Times New Roman" w:eastAsia="Times New Roman" w:hAnsi="Times New Roman"/>
          <w:sz w:val="14"/>
          <w:szCs w:val="14"/>
          <w:color w:val="auto"/>
        </w:rPr>
      </w:pPr>
    </w:p>
    <w:p>
      <w:pPr>
        <w:ind w:left="500" w:firstLine="490"/>
        <w:spacing w:after="0" w:line="267" w:lineRule="auto"/>
        <w:tabs>
          <w:tab w:leader="none" w:pos="12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acceleration of any Indebtedness of the Company in an amount of $50 million or more, individually or in the aggregate, and such acceleration does not cease to exist, or such Indebtedness is not satisfied, in either case within five days after such acceleration;</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8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to make any principal or interest payment in an amount of $50 million or more, individually or in the aggregate, in respect of Indebtedness of the Company within five days of such principal or interest becoming due and payable (after giving effect to any applicable grace period set forth in the documents governing such Indebtedness);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69" w:name="page70"/>
    <w:bookmarkEnd w:id="69"/>
    <w:p>
      <w:pPr>
        <w:ind w:left="500" w:firstLine="490"/>
        <w:spacing w:after="0" w:line="267" w:lineRule="auto"/>
        <w:tabs>
          <w:tab w:leader="none" w:pos="119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final judgment or judgments in an amount of $50 million or more, individually or in the aggregate, for the payment of money having been entered by a court or courts of competent jurisdiction against the Company and such judgment or judgments is not satisfied, stayed, annulled or rescinded within 90 days after being entered;</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pursuant to or within the meaning of any Bankruptcy Law:</w:t>
      </w:r>
    </w:p>
    <w:p>
      <w:pPr>
        <w:spacing w:after="0" w:line="168" w:lineRule="exact"/>
        <w:rPr>
          <w:rFonts w:ascii="Times New Roman" w:cs="Times New Roman" w:eastAsia="Times New Roman" w:hAnsi="Times New Roman"/>
          <w:sz w:val="14"/>
          <w:szCs w:val="14"/>
          <w:color w:val="auto"/>
        </w:rPr>
      </w:pPr>
    </w:p>
    <w:p>
      <w:pPr>
        <w:ind w:left="1420" w:hanging="183"/>
        <w:spacing w:after="0"/>
        <w:tabs>
          <w:tab w:leader="none" w:pos="14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68" w:lineRule="exact"/>
        <w:rPr>
          <w:rFonts w:ascii="Times New Roman" w:cs="Times New Roman" w:eastAsia="Times New Roman" w:hAnsi="Times New Roman"/>
          <w:sz w:val="14"/>
          <w:szCs w:val="14"/>
          <w:color w:val="auto"/>
        </w:rPr>
      </w:pPr>
    </w:p>
    <w:p>
      <w:pPr>
        <w:ind w:left="1440" w:hanging="203"/>
        <w:spacing w:after="0"/>
        <w:tabs>
          <w:tab w:leader="none" w:pos="144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68" w:lineRule="exact"/>
        <w:rPr>
          <w:rFonts w:ascii="Times New Roman" w:cs="Times New Roman" w:eastAsia="Times New Roman" w:hAnsi="Times New Roman"/>
          <w:sz w:val="14"/>
          <w:szCs w:val="14"/>
          <w:color w:val="auto"/>
        </w:rPr>
      </w:pPr>
    </w:p>
    <w:p>
      <w:pPr>
        <w:ind w:left="1420" w:hanging="183"/>
        <w:spacing w:after="0"/>
        <w:tabs>
          <w:tab w:leader="none" w:pos="14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 or</w:t>
      </w:r>
    </w:p>
    <w:p>
      <w:pPr>
        <w:spacing w:after="0" w:line="168" w:lineRule="exact"/>
        <w:rPr>
          <w:rFonts w:ascii="Times New Roman" w:cs="Times New Roman" w:eastAsia="Times New Roman" w:hAnsi="Times New Roman"/>
          <w:sz w:val="14"/>
          <w:szCs w:val="14"/>
          <w:color w:val="auto"/>
        </w:rPr>
      </w:pPr>
    </w:p>
    <w:p>
      <w:pPr>
        <w:ind w:left="1440" w:hanging="203"/>
        <w:spacing w:after="0"/>
        <w:tabs>
          <w:tab w:leader="none" w:pos="144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creditors;</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into an order or decree under any Bankruptcy Law that:</w:t>
      </w:r>
    </w:p>
    <w:p>
      <w:pPr>
        <w:spacing w:after="0" w:line="168" w:lineRule="exact"/>
        <w:rPr>
          <w:rFonts w:ascii="Times New Roman" w:cs="Times New Roman" w:eastAsia="Times New Roman" w:hAnsi="Times New Roman"/>
          <w:sz w:val="14"/>
          <w:szCs w:val="14"/>
          <w:color w:val="auto"/>
        </w:rPr>
      </w:pPr>
    </w:p>
    <w:p>
      <w:pPr>
        <w:ind w:left="1420" w:hanging="183"/>
        <w:spacing w:after="0"/>
        <w:tabs>
          <w:tab w:leader="none" w:pos="14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in an involuntary case,</w:t>
      </w:r>
    </w:p>
    <w:p>
      <w:pPr>
        <w:spacing w:after="0" w:line="168" w:lineRule="exact"/>
        <w:rPr>
          <w:rFonts w:ascii="Times New Roman" w:cs="Times New Roman" w:eastAsia="Times New Roman" w:hAnsi="Times New Roman"/>
          <w:sz w:val="14"/>
          <w:szCs w:val="14"/>
          <w:color w:val="auto"/>
        </w:rPr>
      </w:pPr>
    </w:p>
    <w:p>
      <w:pPr>
        <w:ind w:left="1440" w:hanging="203"/>
        <w:spacing w:after="0"/>
        <w:tabs>
          <w:tab w:leader="none" w:pos="144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for all or substantially all of its property, or</w:t>
      </w:r>
    </w:p>
    <w:p>
      <w:pPr>
        <w:spacing w:after="0" w:line="168" w:lineRule="exact"/>
        <w:rPr>
          <w:rFonts w:ascii="Times New Roman" w:cs="Times New Roman" w:eastAsia="Times New Roman" w:hAnsi="Times New Roman"/>
          <w:sz w:val="14"/>
          <w:szCs w:val="14"/>
          <w:color w:val="auto"/>
        </w:rPr>
      </w:pPr>
    </w:p>
    <w:p>
      <w:pPr>
        <w:ind w:left="1420" w:hanging="183"/>
        <w:spacing w:after="0"/>
        <w:tabs>
          <w:tab w:leader="none" w:pos="14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and the order or decree remains unstayed and in effect for 60 days; or</w:t>
      </w:r>
    </w:p>
    <w:p>
      <w:pPr>
        <w:spacing w:after="0" w:line="16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(9) any other Event of Default occurs with respect to Securities of that series as provided in the supplemental indenture or Board Resolutions establishing such series of Securities.</w:t>
      </w:r>
    </w:p>
    <w:p>
      <w:pPr>
        <w:spacing w:after="0" w:line="16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term “Bankruptcy Law” means the Bankruptcy Act or any similar Federal or State law for the relief of debtors. The term “Custodian” means any receiver, trustee, assignee, liquidator or similar official under any Bankruptcy Law.</w:t>
      </w:r>
    </w:p>
    <w:p>
      <w:pPr>
        <w:spacing w:after="0" w:line="136"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A Default under clause (3) above is not an Event of Default until the Trustee notifies the Company, or the Holders of at least 25% in principal amount of the Securities of the applicable series notify the Company and the Trustee of the Default and (except in the case of a default with respect to any provisions of any supplemental indenture or Board Resolution establishing such series of Securities giving the Holders of Securities of such series the right to require the Company to repurchase or redeem such Securities of such series upon the occurrence of a change of control prior to the final maturity date of such Securities of such series (“Change of Control Provisions”) or Article VIII (or any replacement provisions contemplated by Article VIII)) the Company does not cure the Default within 90 days after receipt of the notice. The notice must specify the Default, demand that it be remedied and state that the notice is a “Notice of Default.”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502. ACCELERATION.</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If any Event of Default (other than an Event of Default specified in clause (7) or (8) of Section 501 hereof) with respect to Securities of any series occurs and is continuing, either the Trustee or the Holders of at least 25% in principal amount of the then Outstanding Securities of that series may declare all the Securities of that series to be due and payable immediately. Upon any such declaration, the Securities of that series shall become due and payable immediately, by a notice in writing to the Company (and to the Trustee if given by Holders). Notwithstanding the foregoing, if an Event of Default specified in clause (7) or (8) of Section 501 hereof occurs with respect to any series of Securities, all outstanding Securities of that series shall become due and payable without further action or notice. The Holders of a majority in aggregate principal amount of Securities of any series then Outstanding by notice to the Trustee may on behalf of the Holders of all of the Securities of that series waive any existing Default or Event of Default and its consequences under this Indenture except a continuing Default or Event of Default in the payment of interest or premium, if any, on, or the principal of, the Securities of that series.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SECTION 503. OTHER REMEDIES.</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If an Event of Default with respect to Securities of any series occurs and is continuing, the Trustee may pursue any available remedy to collect the payment of principal, premium, if any, and interest on the Securities of that series or to enforce the performance of any provision of the Securities of that series or this Indenture.</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Trustee may maintain a proceeding even if it does not possess any of the Securities in a series or does not produce any of them in the proceeding. A delay or omission by the Trustee or any Holder of a Security in exercising any right or remedy accruing upon an Event of Default shall not impair the right or remedy or constitute a waiver of or acquiescence in the Event of Default. All remedies are cumulative to the extent permitted by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504. WAIVER OF PAST DEFAULTS.</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Holders of not less than a majority in aggregate principal amount of the then outstanding Securities in any series by notice to the Trustee may on behalf of the Holders of all of the Securities of that series waive any existing Default or Event of Default and its consequences hereunder, except a continuing Default or Event of Default in the payment of the principal of, premium, if any, or interest on, the Securities of that series (including in connection with an offer to purchase)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Holders of a majority in aggregate principal amount of the then outstanding Securities of any series may rescind an acceleration and its consequences, including any related payment default that resulted from such acceleration, with respect to that series).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505. CONTROL BY MAJORITY.</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With respect to any series of Securities, Holders of a majority in principal amount of the then outstanding Securities of that series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Securities of any series or that may involve the Trustee in personal liability.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506. LIMITATION ON SUITS.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Holder of a Security of any series may pursue a remedy with respect to this Indenture or the Securities of that series only if:</w:t>
      </w:r>
    </w:p>
    <w:p>
      <w:pPr>
        <w:spacing w:after="0" w:line="168" w:lineRule="exact"/>
        <w:rPr>
          <w:sz w:val="20"/>
          <w:szCs w:val="20"/>
          <w:color w:val="auto"/>
        </w:rPr>
      </w:pPr>
    </w:p>
    <w:p>
      <w:pPr>
        <w:ind w:left="1180" w:hanging="190"/>
        <w:spacing w:after="0"/>
        <w:tabs>
          <w:tab w:leader="none" w:pos="11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a Security of that series gives to the Trustee written notice of a continuing Event of Default;</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then outstanding Securities of that series make a written request to the Trustee to pursue the remedy;</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of a Security or Holders of Securities offer and, if requested, provide to the Trustee indemnity satisfactory to the Trustee against any loss, liability or expense;</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the offer and, if requested, the provision of indemnity; and</w:t>
      </w:r>
    </w:p>
    <w:p>
      <w:pPr>
        <w:spacing w:after="0" w:line="168" w:lineRule="exact"/>
        <w:rPr>
          <w:rFonts w:ascii="Times New Roman" w:cs="Times New Roman" w:eastAsia="Times New Roman" w:hAnsi="Times New Roman"/>
          <w:sz w:val="14"/>
          <w:szCs w:val="14"/>
          <w:color w:val="auto"/>
        </w:rPr>
      </w:pPr>
    </w:p>
    <w:p>
      <w:pPr>
        <w:ind w:left="1200" w:hanging="210"/>
        <w:spacing w:after="0"/>
        <w:tabs>
          <w:tab w:leader="none" w:pos="12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such 60-day period the Holders of a majority in principal amount of the then outstanding Securities of that series do not give the Trustee a direction inconsistent with the</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request.</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Holder of a Security may not use this Indenture to prejudice the rights of another Holder of a Security or to obtain a preference or priority over another Holder of a Security.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SECTION 507. RIGHTS OF HOLDERS OF SECURITIES TO RECEIVE PAYMENT.</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Notwithstanding any other provision of this Indenture, the right of any Holder of a Security of any series to receive payment of principal, premium, if any, and interest on the Security, on or after the respective due dates expressed in the Security (including in connection with an offer to purchase), or to bring suit for the enforcement of any such payment on or after such respective dates, shall not be impaired or affected without the consent of such 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508. COLLECTION SUIT BY TRUSTEE.</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With respect to the Securities of any series, if an Event of Default specified in clause (1) or (2) of Section 501 hereof occurs and is continuing, the Trustee is authorized to recover judgment in its own name and as trustee of an express trust against the Company for the whole amount of principal of, premium on, if any, and interest remaining unpaid on the Securities of that series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509. TRUSTEE MAY FILE PROOFS OF CLAIM.</w:t>
      </w:r>
    </w:p>
    <w:p>
      <w:pPr>
        <w:spacing w:after="0" w:line="172" w:lineRule="exact"/>
        <w:rPr>
          <w:sz w:val="20"/>
          <w:szCs w:val="20"/>
          <w:color w:val="auto"/>
        </w:rPr>
      </w:pPr>
    </w:p>
    <w:p>
      <w:pPr>
        <w:jc w:val="both"/>
        <w:ind w:firstLine="494"/>
        <w:spacing w:after="0" w:line="247" w:lineRule="auto"/>
        <w:rPr>
          <w:sz w:val="20"/>
          <w:szCs w:val="20"/>
          <w:color w:val="auto"/>
        </w:rPr>
      </w:pPr>
      <w:r>
        <w:rPr>
          <w:rFonts w:ascii="Times New Roman" w:cs="Times New Roman" w:eastAsia="Times New Roman" w:hAnsi="Times New Roman"/>
          <w:sz w:val="14"/>
          <w:szCs w:val="14"/>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Securities of any series allowed in any judicial proceedings relative to the Company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of that series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of this Indenture. To the extent that the payment of any such compensation, expenses, disbursements and advances of the Trustee, its agents and counsel, and any other amounts due the Trustee under Section 607 of this Indenture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of any series of Securities any plan of reorganization, arrangement, adjustment or composition affecting the Securities of that series or the rights of any Holder, or to authorize the Trustee to vote in respect of the claim of any Holder in any such proceeding.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510. PRIORITIES.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 Trustee collects any money pursuant to this Article, it shall pay out the money in the following order:</w:t>
      </w:r>
    </w:p>
    <w:p>
      <w:pPr>
        <w:spacing w:after="0" w:line="168" w:lineRule="exact"/>
        <w:rPr>
          <w:sz w:val="20"/>
          <w:szCs w:val="20"/>
          <w:color w:val="auto"/>
        </w:rPr>
      </w:pPr>
    </w:p>
    <w:p>
      <w:pPr>
        <w:ind w:left="500" w:firstLine="490"/>
        <w:spacing w:after="0" w:line="267" w:lineRule="auto"/>
        <w:tabs>
          <w:tab w:leader="none" w:pos="119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to the Trustee, its agents and attorneys for amounts due under Section 607 of this Indenture, including payment of all compensation, expense and liabilities incurred, and all advances made, by the Trustee and the costs and expenses of collection;</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9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to Holders of Securities for amounts due and unpaid on the Securities for principal, premium, if any, and interest, ratably, without preference or priority of any kind, according to the amounts due and payable on the Securities for principal, premium, if any, and interest, respectively; and</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to the Company or to such party as a court of competent jurisdiction shall direct.</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Trustee may fix a record date and payment date for any payment to Holders of Securities pursuant to this Section 510.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SECTION 511. UNDERTAKING FOR COSTS.</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of a Security pursuant to Section 507 hereof, or a suit by Holders of more than 10% in principal amount of the then outstanding Securities of any series.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601. CERTAIN DUTIES AND RESPONSIBILITIES.</w:t>
      </w:r>
    </w:p>
    <w:p>
      <w:pPr>
        <w:spacing w:after="0" w:line="172" w:lineRule="exact"/>
        <w:rPr>
          <w:sz w:val="20"/>
          <w:szCs w:val="20"/>
          <w:color w:val="auto"/>
        </w:rPr>
      </w:pPr>
    </w:p>
    <w:p>
      <w:pPr>
        <w:ind w:left="680" w:hanging="184"/>
        <w:spacing w:after="0"/>
        <w:tabs>
          <w:tab w:leader="none" w:pos="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 with respect to the Securities of any series:</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206"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undertakes to perform such duties and only such duties as are specifically set forth in this Indenture, and no implied covenants or obligations shall be read into this Indenture against the Trustee; and</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2" w:lineRule="auto"/>
        <w:tabs>
          <w:tab w:leader="none" w:pos="1198"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they conform to the requirements of this Indenture (but need not confirm or investigate the accuracy of mathematical calculation or other facts stated therein).</w:t>
      </w:r>
    </w:p>
    <w:p>
      <w:pPr>
        <w:spacing w:after="0" w:line="146" w:lineRule="exact"/>
        <w:rPr>
          <w:rFonts w:ascii="Times New Roman" w:cs="Times New Roman" w:eastAsia="Times New Roman" w:hAnsi="Times New Roman"/>
          <w:sz w:val="14"/>
          <w:szCs w:val="14"/>
          <w:color w:val="auto"/>
        </w:rPr>
      </w:pPr>
    </w:p>
    <w:p>
      <w:pPr>
        <w:ind w:firstLine="496"/>
        <w:spacing w:after="0" w:line="267" w:lineRule="auto"/>
        <w:tabs>
          <w:tab w:leader="none" w:pos="69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an Event of Default has occurred and is continuing with respect to the Securities of any series,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35" w:lineRule="exact"/>
        <w:rPr>
          <w:rFonts w:ascii="Times New Roman" w:cs="Times New Roman" w:eastAsia="Times New Roman" w:hAnsi="Times New Roman"/>
          <w:sz w:val="14"/>
          <w:szCs w:val="14"/>
          <w:color w:val="auto"/>
        </w:rPr>
      </w:pPr>
    </w:p>
    <w:p>
      <w:pPr>
        <w:ind w:left="680" w:hanging="184"/>
        <w:spacing w:after="0"/>
        <w:tabs>
          <w:tab w:leader="none" w:pos="6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Subsection shall not be construed to limit the effect of Subsection (a) of this Section;</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203"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shall be proved that the Trustee was negligent in ascertaining the pertinent facts;</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3"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it takes or omits to take in good faith in accordance with the direction of the Holders of a majority in principal amount of the Outstanding Securities of any series or of all series, determined as provided in Section 505, relating to the time, method and place of conducting any proceeding for any remedy available to the Trustee, or exercising any trust or power conferred upon the Trustee, under this Indenture with respect to the Securities of such series; and</w:t>
      </w:r>
    </w:p>
    <w:p>
      <w:pPr>
        <w:spacing w:after="0" w:line="143"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1"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43" w:lineRule="exact"/>
        <w:rPr>
          <w:rFonts w:ascii="Times New Roman" w:cs="Times New Roman" w:eastAsia="Times New Roman" w:hAnsi="Times New Roman"/>
          <w:sz w:val="14"/>
          <w:szCs w:val="14"/>
          <w:color w:val="auto"/>
        </w:rPr>
      </w:pPr>
    </w:p>
    <w:p>
      <w:pPr>
        <w:ind w:firstLine="496"/>
        <w:spacing w:after="0" w:line="267" w:lineRule="auto"/>
        <w:tabs>
          <w:tab w:leader="none" w:pos="69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SECTION 602. NOTICE OF DEFAULTS.</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 xml:space="preserve">Within 90 days after the occurrence of any Default or Event of Default with respect to the Securities of any series, the Trustee shall give notice of such Default or Event of Default known to the Trustee to all Holders of Securities of such series in the manner provided in Section 107 and in compliance with the Trust Indenture Act, unless such Default or Event of Default shall have been cured or waived;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except in the case of a Default or Event of Default in the payment of the principal of (or premium, if any) or interest on or any Additional Amounts with respect to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Securities of such series; and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in the case of any Default or Event of Default of the character specified in Section 501(3) with respect to Securities of such series, no such notice to Holders shall be given until at least 30 days after the occurrence thereof.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603. CERTAIN RIGHTS OF TRUSTEE.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provisions of Section 601:</w:t>
      </w:r>
    </w:p>
    <w:p>
      <w:pPr>
        <w:spacing w:after="0" w:line="168" w:lineRule="exact"/>
        <w:rPr>
          <w:sz w:val="20"/>
          <w:szCs w:val="20"/>
          <w:color w:val="auto"/>
        </w:rPr>
      </w:pPr>
    </w:p>
    <w:p>
      <w:pPr>
        <w:jc w:val="both"/>
        <w:ind w:left="500" w:firstLine="490"/>
        <w:spacing w:after="0" w:line="256" w:lineRule="auto"/>
        <w:tabs>
          <w:tab w:leader="none" w:pos="119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 request, direction, consent, order, bond, debenture, note, coupon, other evidence of indebtedness or other paper or document believed by it to be genuine and to have been signed or presented by the proper party or parties;</w:t>
      </w:r>
    </w:p>
    <w:p>
      <w:pPr>
        <w:spacing w:after="0" w:line="143" w:lineRule="exact"/>
        <w:rPr>
          <w:rFonts w:ascii="Times New Roman" w:cs="Times New Roman" w:eastAsia="Times New Roman" w:hAnsi="Times New Roman"/>
          <w:sz w:val="14"/>
          <w:szCs w:val="14"/>
          <w:color w:val="auto"/>
        </w:rPr>
      </w:pPr>
    </w:p>
    <w:p>
      <w:pPr>
        <w:ind w:left="500" w:firstLine="490"/>
        <w:spacing w:after="0" w:line="267" w:lineRule="auto"/>
        <w:tabs>
          <w:tab w:leader="none" w:pos="119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8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8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8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the costs, expenses and liabilities that might be incurred by it in compliance with such request or direction;</w:t>
      </w:r>
    </w:p>
    <w:p>
      <w:pPr>
        <w:spacing w:after="0" w:line="143" w:lineRule="exact"/>
        <w:rPr>
          <w:rFonts w:ascii="Times New Roman" w:cs="Times New Roman" w:eastAsia="Times New Roman" w:hAnsi="Times New Roman"/>
          <w:sz w:val="14"/>
          <w:szCs w:val="14"/>
          <w:color w:val="auto"/>
        </w:rPr>
      </w:pPr>
    </w:p>
    <w:p>
      <w:pPr>
        <w:jc w:val="both"/>
        <w:ind w:left="500" w:firstLine="490"/>
        <w:spacing w:after="0" w:line="278" w:lineRule="auto"/>
        <w:tabs>
          <w:tab w:leader="none" w:pos="117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30" w:lineRule="exact"/>
        <w:rPr>
          <w:rFonts w:ascii="Times New Roman" w:cs="Times New Roman" w:eastAsia="Times New Roman" w:hAnsi="Times New Roman"/>
          <w:sz w:val="13"/>
          <w:szCs w:val="13"/>
          <w:color w:val="auto"/>
        </w:rPr>
      </w:pPr>
    </w:p>
    <w:p>
      <w:pPr>
        <w:ind w:left="500" w:firstLine="490"/>
        <w:spacing w:after="0" w:line="267" w:lineRule="auto"/>
        <w:tabs>
          <w:tab w:leader="none" w:pos="119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except for any Affiliates of the Trustee, the Trustee shall not be responsible for any misconduct or negligence on the part of any agent or attorney appointed with due care by it hereunder;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4" w:name="page75"/>
    <w:bookmarkEnd w:id="74"/>
    <w:p>
      <w:pPr>
        <w:jc w:val="both"/>
        <w:ind w:left="500" w:firstLine="490"/>
        <w:spacing w:after="0" w:line="252" w:lineRule="auto"/>
        <w:tabs>
          <w:tab w:leader="none" w:pos="1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charged with knowledge of any Default or Event of Default with respect to the Securities of any series for which it is acting as Trustee unless either (1) a Responsible Officer shall have actual knowledge of such Default or Event of Default or (2) written notice of such Default or Event of Default which is in fact such a default shall have been received by the Trustee at the Corporate Trust Office of the Trustee and such notice references the Securities and this Indenture by the Company or any other obligor on such Securities or by any Holder of such Securities;</w:t>
      </w:r>
    </w:p>
    <w:p>
      <w:pPr>
        <w:spacing w:after="0" w:line="146" w:lineRule="exact"/>
        <w:rPr>
          <w:rFonts w:ascii="Times New Roman" w:cs="Times New Roman" w:eastAsia="Times New Roman" w:hAnsi="Times New Roman"/>
          <w:sz w:val="14"/>
          <w:szCs w:val="14"/>
          <w:color w:val="auto"/>
        </w:rPr>
      </w:pPr>
    </w:p>
    <w:p>
      <w:pPr>
        <w:ind w:left="500" w:firstLine="490"/>
        <w:spacing w:after="0" w:line="267" w:lineRule="auto"/>
        <w:tabs>
          <w:tab w:leader="none" w:pos="115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suffered or omitted by it in good faith and believed by it to be authorized or within the discretion or rights or powers conferred upon it by this Indenture.</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7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9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5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Company deliver a certificate setting forth the names of individuals and/or titles of officers authorized at such time to take specified actions pursuant to this Indenture.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604. NOT RESPONSIBLE FOR RECITALS OR ISSUANCE OF SECURITIES.</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605. MAY HOLD SECURITIES.</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the Trustee, Authenticating Agent, Paying Agent, Security Registrar or such other agent.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606. MONEY HELD IN TRUST.</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607. COMPENSATION AND REIMBURSEMENT.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agrees:</w:t>
      </w:r>
    </w:p>
    <w:p>
      <w:pPr>
        <w:spacing w:after="0" w:line="168" w:lineRule="exact"/>
        <w:rPr>
          <w:sz w:val="20"/>
          <w:szCs w:val="20"/>
          <w:color w:val="auto"/>
        </w:rPr>
      </w:pPr>
    </w:p>
    <w:p>
      <w:pPr>
        <w:ind w:left="500" w:firstLine="490"/>
        <w:spacing w:after="0" w:line="267" w:lineRule="auto"/>
        <w:tabs>
          <w:tab w:leader="none" w:pos="120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35"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provided herein, to reimburse the Trustee upon its request for all reasonable expenses, disbursements and advances incurred or made by the Trustee in accordance with any provision of this Indenture (including the compensation and the reasonable expenses and disbursements of its agents and counsel), except any such expense, disbursement or advance as shall be determined to have been caused by its own negligence or willful misconduct; and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75" w:name="page76"/>
    <w:bookmarkEnd w:id="75"/>
    <w:p>
      <w:pPr>
        <w:jc w:val="both"/>
        <w:ind w:left="500" w:firstLine="490"/>
        <w:spacing w:after="0" w:line="256" w:lineRule="auto"/>
        <w:tabs>
          <w:tab w:leader="none" w:pos="120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indemnify the Trustee and each of its directors, officers, employees, agents and/or representatives for, and to hold each of them harmless against, any loss, liability or expense incurred without negligence or willful misconduct on each of their part, arising out of or in connection with the acceptance or administration of the trust or trusts hereunder, including the costs and expenses of defending themselves against any claim or liability in connection with the exercise or performance of any of the Trustee’s powers or duties hereunder.</w:t>
      </w:r>
    </w:p>
    <w:p>
      <w:pPr>
        <w:spacing w:after="0" w:line="143"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As security for the performance of the obligations of the Company under this Section 607, the Trustee shall have a lien prior to the Securities on all property and funds held or collected by the Trustee as such, except funds held in trust for the payment of principal of, premium, if any, or interest, if any, on or any Additional Amounts with respect to particular Securities.</w:t>
      </w:r>
    </w:p>
    <w:p>
      <w:pPr>
        <w:spacing w:after="0" w:line="136" w:lineRule="exact"/>
        <w:rPr>
          <w:sz w:val="20"/>
          <w:szCs w:val="20"/>
          <w:color w:val="auto"/>
        </w:rPr>
      </w:pPr>
    </w:p>
    <w:p>
      <w:pPr>
        <w:ind w:firstLine="494"/>
        <w:spacing w:after="0" w:line="307" w:lineRule="auto"/>
        <w:rPr>
          <w:sz w:val="20"/>
          <w:szCs w:val="20"/>
          <w:color w:val="auto"/>
        </w:rPr>
      </w:pPr>
      <w:r>
        <w:rPr>
          <w:rFonts w:ascii="Times New Roman" w:cs="Times New Roman" w:eastAsia="Times New Roman" w:hAnsi="Times New Roman"/>
          <w:sz w:val="13"/>
          <w:szCs w:val="13"/>
          <w:color w:val="auto"/>
        </w:rPr>
        <w:t>Any expenses and compensation for any services rendered by the Trustee after the occurrence of an Event of Default (including the reasonable charges and expenses of its counsel) specified in clause (7) or (8) of Section 501 shall constitute expenses and compensation for services of administration under all applicable federal or state bankruptcy, insolvency, reorganization or other similar laws.</w:t>
      </w:r>
    </w:p>
    <w:p>
      <w:pPr>
        <w:spacing w:after="0" w:line="111"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The provisions of this Section 607 and any lien arising hereunder shall survive the resignation or removal of the Trustee or the discharge of the Company’s obligations under this Indenture and the termination of this Indenture.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608. DISQUALIFICATION; CONFLICTING INTERESTS.</w:t>
      </w:r>
    </w:p>
    <w:p>
      <w:pPr>
        <w:spacing w:after="0" w:line="172" w:lineRule="exact"/>
        <w:rPr>
          <w:sz w:val="20"/>
          <w:szCs w:val="20"/>
          <w:color w:val="auto"/>
        </w:rPr>
      </w:pPr>
    </w:p>
    <w:p>
      <w:pPr>
        <w:ind w:firstLine="496"/>
        <w:spacing w:after="0" w:line="267" w:lineRule="auto"/>
        <w:tabs>
          <w:tab w:leader="none" w:pos="68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Trustee has or shall acquire any conflicting interest, as defined in this Section 608, with respect to the Securities of any series, it shall, within 90 days after ascertaining that it has such conflicting interest, either eliminate such conflicting interest or resign with respect to the Securities of that series in the manner and with the effect hereinafter specified in this Article.</w:t>
      </w:r>
    </w:p>
    <w:p>
      <w:pPr>
        <w:spacing w:after="0" w:line="135" w:lineRule="exact"/>
        <w:rPr>
          <w:rFonts w:ascii="Times New Roman" w:cs="Times New Roman" w:eastAsia="Times New Roman" w:hAnsi="Times New Roman"/>
          <w:sz w:val="14"/>
          <w:szCs w:val="14"/>
          <w:color w:val="auto"/>
        </w:rPr>
      </w:pPr>
    </w:p>
    <w:p>
      <w:pPr>
        <w:jc w:val="both"/>
        <w:ind w:firstLine="496"/>
        <w:spacing w:after="0" w:line="256" w:lineRule="auto"/>
        <w:tabs>
          <w:tab w:leader="none" w:pos="69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Trustee shall fail to comply with the provisions of Subsection (a) of this Section 608 with respect to the Securities of any series, the Trustee shall, within 10 days after the expiration of such 90-day period, transmit by mail to all Holders of Securities of that series, as their names and addresses appear in the Security Register, notice of such failure in compliance with the Trust Indenture Act.</w:t>
      </w:r>
    </w:p>
    <w:p>
      <w:pPr>
        <w:spacing w:after="0" w:line="143" w:lineRule="exact"/>
        <w:rPr>
          <w:rFonts w:ascii="Times New Roman" w:cs="Times New Roman" w:eastAsia="Times New Roman" w:hAnsi="Times New Roman"/>
          <w:sz w:val="14"/>
          <w:szCs w:val="14"/>
          <w:color w:val="auto"/>
        </w:rPr>
      </w:pPr>
    </w:p>
    <w:p>
      <w:pPr>
        <w:jc w:val="both"/>
        <w:ind w:firstLine="496"/>
        <w:spacing w:after="0" w:line="278" w:lineRule="auto"/>
        <w:tabs>
          <w:tab w:leader="none" w:pos="6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purposes of this Section, the term “conflicting interest” shall have the meaning specified in Section 310(b) of the Trust Indenture Act and the Trustee shall comply with Section 310(b) of the Trust Indenture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there shall be excluded from the operation of Section 310(b)(1) of the Trust Indenture Act with respect to the Securities of any series any indenture or indentures under which other securities, or certificates of interest or participation in other securities, of the Company are outstanding, if the requirements for such exclusion set forth in Section 310(b)(1) of the Trust Indenture Act are met. For purposes of the preceding sentence, the optional provision permitted by the second sentence of Section 310(b)(1) of the Trust Indenture Act shall be applicable.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609. CORPORATE TRUSTEE REQUIRED; ELIGIBILITY.</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 million and subject to supervision or examination by Federal or State (or the District of Columbia) authority.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Indenture shall always have a Trustee who satisfies the requirements of Sections 310(a)(1), 310(a)(2) and 310(a)(5) of the Trust Indenture Act.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SECTION 610. RESIGNATION AND REMOVAL; APPOINTMENT OF SUCCESSOR.</w:t>
      </w:r>
    </w:p>
    <w:p>
      <w:pPr>
        <w:spacing w:after="0" w:line="172" w:lineRule="exact"/>
        <w:rPr>
          <w:sz w:val="20"/>
          <w:szCs w:val="20"/>
          <w:color w:val="auto"/>
        </w:rPr>
      </w:pPr>
    </w:p>
    <w:p>
      <w:pPr>
        <w:ind w:firstLine="496"/>
        <w:spacing w:after="0" w:line="267" w:lineRule="auto"/>
        <w:tabs>
          <w:tab w:leader="none" w:pos="68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35" w:lineRule="exact"/>
        <w:rPr>
          <w:rFonts w:ascii="Times New Roman" w:cs="Times New Roman" w:eastAsia="Times New Roman" w:hAnsi="Times New Roman"/>
          <w:sz w:val="14"/>
          <w:szCs w:val="14"/>
          <w:color w:val="auto"/>
        </w:rPr>
      </w:pPr>
    </w:p>
    <w:p>
      <w:pPr>
        <w:jc w:val="both"/>
        <w:ind w:firstLine="496"/>
        <w:spacing w:after="0" w:line="256" w:lineRule="auto"/>
        <w:tabs>
          <w:tab w:leader="none" w:pos="69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resign at any time with respect to the Securities of one or more series by giving written notice thereof to the Company. If the instrument of acceptance by a successor Trustee required by Section 611 shall not have been delivered to the resigning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43" w:lineRule="exact"/>
        <w:rPr>
          <w:rFonts w:ascii="Times New Roman" w:cs="Times New Roman" w:eastAsia="Times New Roman" w:hAnsi="Times New Roman"/>
          <w:sz w:val="14"/>
          <w:szCs w:val="14"/>
          <w:color w:val="auto"/>
        </w:rPr>
      </w:pPr>
    </w:p>
    <w:p>
      <w:pPr>
        <w:jc w:val="both"/>
        <w:ind w:firstLine="496"/>
        <w:spacing w:after="0" w:line="252" w:lineRule="auto"/>
        <w:tabs>
          <w:tab w:leader="none" w:pos="69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611 shall not have been delivered to the resigning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46"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w:t>
      </w:r>
    </w:p>
    <w:p>
      <w:pPr>
        <w:spacing w:after="0" w:line="168" w:lineRule="exact"/>
        <w:rPr>
          <w:rFonts w:ascii="Times New Roman" w:cs="Times New Roman" w:eastAsia="Times New Roman" w:hAnsi="Times New Roman"/>
          <w:sz w:val="14"/>
          <w:szCs w:val="14"/>
          <w:color w:val="auto"/>
        </w:rPr>
      </w:pPr>
    </w:p>
    <w:p>
      <w:pPr>
        <w:ind w:left="1200" w:hanging="210"/>
        <w:spacing w:after="0"/>
        <w:tabs>
          <w:tab w:leader="none" w:pos="12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Section 608(a) after written request therefor by the Company or by any Holder who has been a bona fide Holder of a Security for at least six</w:t>
      </w:r>
    </w:p>
    <w:p>
      <w:pPr>
        <w:spacing w:after="0" w:line="15"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 or</w:t>
      </w:r>
    </w:p>
    <w:p>
      <w:pPr>
        <w:spacing w:after="0" w:line="156"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cease to be eligible under Section 609 and shall fail to resign after written request therefor by the Company or by any such Holder of Securities, or</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88"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then, in any such case, (i) the Company by a Board Resolution may remove the Trustee with respect to all Securities, or (ii) subject to Section 505,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3" w:lineRule="exact"/>
        <w:rPr>
          <w:sz w:val="20"/>
          <w:szCs w:val="20"/>
          <w:color w:val="auto"/>
        </w:rPr>
      </w:pPr>
    </w:p>
    <w:p>
      <w:pPr>
        <w:jc w:val="both"/>
        <w:ind w:firstLine="496"/>
        <w:spacing w:after="0" w:line="249" w:lineRule="auto"/>
        <w:tabs>
          <w:tab w:leader="none" w:pos="68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such successor Trustee or Trustees shall comply with the applicable requirements of Section 611. If no successor Trustee with respect to the Securities of any series shall have been so appointed by the Company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49" w:lineRule="exact"/>
        <w:rPr>
          <w:rFonts w:ascii="Times New Roman" w:cs="Times New Roman" w:eastAsia="Times New Roman" w:hAnsi="Times New Roman"/>
          <w:sz w:val="14"/>
          <w:szCs w:val="14"/>
          <w:color w:val="auto"/>
        </w:rPr>
      </w:pPr>
    </w:p>
    <w:p>
      <w:pPr>
        <w:jc w:val="both"/>
        <w:ind w:firstLine="496"/>
        <w:spacing w:after="0" w:line="256" w:lineRule="auto"/>
        <w:tabs>
          <w:tab w:leader="none" w:pos="66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SECTION 611. ACCEPTANCE OF APPOINTMENT BY SUCCESSOR.</w:t>
      </w:r>
    </w:p>
    <w:p>
      <w:pPr>
        <w:spacing w:after="0" w:line="172" w:lineRule="exact"/>
        <w:rPr>
          <w:sz w:val="20"/>
          <w:szCs w:val="20"/>
          <w:color w:val="auto"/>
        </w:rPr>
      </w:pPr>
    </w:p>
    <w:p>
      <w:pPr>
        <w:jc w:val="both"/>
        <w:ind w:firstLine="496"/>
        <w:spacing w:after="0" w:line="251" w:lineRule="auto"/>
        <w:tabs>
          <w:tab w:leader="none" w:pos="681"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5" w:lineRule="exact"/>
        <w:rPr>
          <w:rFonts w:ascii="Times New Roman" w:cs="Times New Roman" w:eastAsia="Times New Roman" w:hAnsi="Times New Roman"/>
          <w:sz w:val="14"/>
          <w:szCs w:val="14"/>
          <w:color w:val="auto"/>
        </w:rPr>
      </w:pPr>
    </w:p>
    <w:p>
      <w:pPr>
        <w:jc w:val="both"/>
        <w:ind w:firstLine="496"/>
        <w:spacing w:after="0" w:line="247" w:lineRule="auto"/>
        <w:tabs>
          <w:tab w:leader="none" w:pos="691"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51" w:lineRule="exact"/>
        <w:rPr>
          <w:rFonts w:ascii="Times New Roman" w:cs="Times New Roman" w:eastAsia="Times New Roman" w:hAnsi="Times New Roman"/>
          <w:sz w:val="14"/>
          <w:szCs w:val="14"/>
          <w:color w:val="auto"/>
        </w:rPr>
      </w:pPr>
    </w:p>
    <w:p>
      <w:pPr>
        <w:ind w:firstLine="496"/>
        <w:spacing w:after="0" w:line="267" w:lineRule="auto"/>
        <w:tabs>
          <w:tab w:leader="none" w:pos="68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5" w:lineRule="exact"/>
        <w:rPr>
          <w:rFonts w:ascii="Times New Roman" w:cs="Times New Roman" w:eastAsia="Times New Roman" w:hAnsi="Times New Roman"/>
          <w:sz w:val="14"/>
          <w:szCs w:val="14"/>
          <w:color w:val="auto"/>
        </w:rPr>
      </w:pPr>
    </w:p>
    <w:p>
      <w:pPr>
        <w:ind w:left="700" w:hanging="204"/>
        <w:spacing w:after="0"/>
        <w:tabs>
          <w:tab w:leader="none" w:pos="7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612. MERGER, CONVERSION, CONSOLIDATION OR SUCCESSION TO BUSINESS.</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the case of a corporation succeeding to all or substantially all the corporate trust business of the Trustee, such successor corporation shall expressly assume all of the Trustee’s liabilities hereunder.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SECTION 613. PREFERENTIAL COLLECTION OF CLAIMS AGAINST COMPANY.</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indicated therein.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614. APPOINTMENT OF AUTHENTICATING AGENT.</w:t>
      </w:r>
    </w:p>
    <w:p>
      <w:pPr>
        <w:spacing w:after="0" w:line="172" w:lineRule="exact"/>
        <w:rPr>
          <w:sz w:val="20"/>
          <w:szCs w:val="20"/>
          <w:color w:val="auto"/>
        </w:rPr>
      </w:pPr>
    </w:p>
    <w:p>
      <w:pPr>
        <w:jc w:val="both"/>
        <w:ind w:firstLine="494"/>
        <w:spacing w:after="0" w:line="247" w:lineRule="auto"/>
        <w:rPr>
          <w:sz w:val="20"/>
          <w:szCs w:val="20"/>
          <w:color w:val="auto"/>
        </w:rPr>
      </w:pPr>
      <w:r>
        <w:rPr>
          <w:rFonts w:ascii="Times New Roman" w:cs="Times New Roman" w:eastAsia="Times New Roman" w:hAnsi="Times New Roman"/>
          <w:sz w:val="14"/>
          <w:szCs w:val="14"/>
          <w:color w:val="auto"/>
        </w:rPr>
        <w:t>The Trustee may appoint an Authenticating Agent or Agents that shall be authorized to act on behalf of the Trustee to authenticate Securities issued upon original issue and upon exchange, registration of transfer or partial redemption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having a combined capital and surplus of not less than $50 million or equivalent amount expressed in a foreign currency and subject to supervision or examination by Federal or State (or the District of Columbia) authority or authority of such country.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spacing w:after="0" w:line="153" w:lineRule="exact"/>
        <w:rPr>
          <w:sz w:val="20"/>
          <w:szCs w:val="20"/>
          <w:color w:val="auto"/>
        </w:rPr>
      </w:pPr>
    </w:p>
    <w:p>
      <w:pPr>
        <w:jc w:val="both"/>
        <w:ind w:firstLine="494"/>
        <w:spacing w:after="0" w:line="285" w:lineRule="auto"/>
        <w:rPr>
          <w:sz w:val="20"/>
          <w:szCs w:val="20"/>
          <w:color w:val="auto"/>
        </w:rPr>
      </w:pPr>
      <w:r>
        <w:rPr>
          <w:rFonts w:ascii="Times New Roman" w:cs="Times New Roman" w:eastAsia="Times New Roman" w:hAnsi="Times New Roman"/>
          <w:sz w:val="13"/>
          <w:szCs w:val="13"/>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such corporation shall be otherwise eligible under this Section 614, without the execution or filing of any paper or any further act on the part of the Trustee or the Authenticating Agent.</w:t>
      </w:r>
    </w:p>
    <w:p>
      <w:pPr>
        <w:spacing w:after="0" w:line="126"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which shall be acceptable to the Company and shall mail written notice of such appointment by first-class mail, postage prepaid,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w:t>
      </w:r>
    </w:p>
    <w:p>
      <w:pPr>
        <w:spacing w:after="0" w:line="150"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Trustee agrees to pay to each Authenticating Agent from time to time reasonable compensation for its services under this Section 614, and the Trustee shall be entitled to be reimbursed for such payments, subject to the provisions of Section 607.</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If an appointment is made pursuant to this Section 614, the Securities may have endorsed thereon, in addition to the Trustee’s certificate of authentication, an alternate certificate of authentication in the following form:</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 mentioned Indenture.</w:t>
      </w:r>
    </w:p>
    <w:p>
      <w:pPr>
        <w:spacing w:after="0" w:line="3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-100330</wp:posOffset>
            </wp:positionV>
            <wp:extent cx="673417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734175" cy="6350"/>
                    </a:xfrm>
                    <a:prstGeom prst="rect">
                      <a:avLst/>
                    </a:prstGeom>
                    <a:noFill/>
                  </pic:spPr>
                </pic:pic>
              </a:graphicData>
            </a:graphic>
          </wp:anchor>
        </w:drawing>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-100965</wp:posOffset>
            </wp:positionV>
            <wp:extent cx="673417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734175" cy="6350"/>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-100965</wp:posOffset>
            </wp:positionV>
            <wp:extent cx="673417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734175" cy="635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9" w:name="page80"/>
    <w:bookmarkEnd w:id="79"/>
    <w:p>
      <w:pPr>
        <w:jc w:val="both"/>
        <w:ind w:firstLine="494"/>
        <w:spacing w:after="0" w:line="278" w:lineRule="auto"/>
        <w:rPr>
          <w:sz w:val="20"/>
          <w:szCs w:val="20"/>
          <w:color w:val="auto"/>
        </w:rPr>
      </w:pPr>
      <w:r>
        <w:rPr>
          <w:rFonts w:ascii="Times New Roman" w:cs="Times New Roman" w:eastAsia="Times New Roman" w:hAnsi="Times New Roman"/>
          <w:sz w:val="13"/>
          <w:szCs w:val="13"/>
          <w:color w:val="auto"/>
        </w:rPr>
        <w:t>Notwithstanding any provision of this Section 614 to the contrary, if at any time any Authenticating Agent appointed hereunder with respect to any series of Securities shall not also be acting as the Security Registrar hereunder with respect to any series of Securities, then, in addition to all other duties of an Authenticating Agent hereunder, such Authenticating Agent shall also be obligated (i) to furnish to the Security Registrar promptly all information necessary to enable the Security Registrar to maintain at all times an accurate and current Security Register and (ii) prior to authenticating any Security denominated in a foreign currency, to ascertain from the Company the units of such foreign currency that are required to be determined by the Company pursuant to Section 302.</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HOLDER’S LISTS AND REPORTS BY TRUSTEE AND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701. COMPANY TO FURNISH TRUSTEE NAMES AND ADDRESSES OF HOLDERS.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With respect to each series of Securities, the Company will furnish or cause to be furnished to the Trustee:</w:t>
      </w:r>
    </w:p>
    <w:p>
      <w:pPr>
        <w:spacing w:after="0" w:line="168" w:lineRule="exact"/>
        <w:rPr>
          <w:sz w:val="20"/>
          <w:szCs w:val="20"/>
          <w:color w:val="auto"/>
        </w:rPr>
      </w:pPr>
    </w:p>
    <w:p>
      <w:pPr>
        <w:ind w:left="500" w:firstLine="490"/>
        <w:spacing w:after="0" w:line="267" w:lineRule="auto"/>
        <w:tabs>
          <w:tab w:leader="none" w:pos="11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semi-annually, not more than 15 days after each Regular Record Date relating to that series (or, if there is no Regular Record Date relating to that series, on January 1 and July 1), a list, in such form as the Trustee may reasonably require, of the names and addresses of the Holders of that series as of such dates, and</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8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such other times as the Trustee may request in writing, within 30 days after the receipt by the Company of any such request, a list of similar form and content, such list to be dated as of a date not more than 15 days prior to the time such list is furnished;</w:t>
      </w:r>
    </w:p>
    <w:p>
      <w:pPr>
        <w:spacing w:after="0" w:line="13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so long as the Trustee is the Security Registrar, the Company shall not be required to furnish or cause to be furnished such a list to the Trustee. The Company shall otherwise comply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312(a) of the Trust Indenture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702. PRESERVATION OF INFORMATION; COMMUNICATIONS TO HOLDERS.</w:t>
      </w:r>
    </w:p>
    <w:p>
      <w:pPr>
        <w:spacing w:after="0" w:line="172" w:lineRule="exact"/>
        <w:rPr>
          <w:sz w:val="20"/>
          <w:szCs w:val="20"/>
          <w:color w:val="auto"/>
        </w:rPr>
      </w:pPr>
    </w:p>
    <w:p>
      <w:pPr>
        <w:jc w:val="both"/>
        <w:ind w:firstLine="496"/>
        <w:spacing w:after="0" w:line="256" w:lineRule="auto"/>
        <w:tabs>
          <w:tab w:leader="none" w:pos="69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preserve, in as current a form as is reasonably practicable, the names and addresses of Holders of each series contained in the most recent list furnished to the Trustee as provided in Section 701 and the names and addresses of Holders of each series received by the Trustee in its capacity as Security Registrar. The Trustee may destroy any list furnished to it as provided in Section 701 upon receipt of a new list so furnished. The Trustee shall otherwise comply with Section 312(a) of the Trust Indenture Act.</w:t>
      </w:r>
    </w:p>
    <w:p>
      <w:pPr>
        <w:spacing w:after="0" w:line="143" w:lineRule="exact"/>
        <w:rPr>
          <w:rFonts w:ascii="Times New Roman" w:cs="Times New Roman" w:eastAsia="Times New Roman" w:hAnsi="Times New Roman"/>
          <w:sz w:val="14"/>
          <w:szCs w:val="14"/>
          <w:color w:val="auto"/>
        </w:rPr>
      </w:pPr>
    </w:p>
    <w:p>
      <w:pPr>
        <w:ind w:firstLine="496"/>
        <w:spacing w:after="0" w:line="267" w:lineRule="auto"/>
        <w:tabs>
          <w:tab w:leader="none" w:pos="695"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Securities may communicate pursuant to Section 312(b) of the Trust Indenture Act with other Holders with respect to their rights under this Indenture or under the Securities. The Company, the Trustee, the Security Registrar and any other Person shall have the protection of Section 312(c) of the Trust Indenture Act.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703. REPORTS BY TRUSTEE.</w:t>
      </w:r>
    </w:p>
    <w:p>
      <w:pPr>
        <w:spacing w:after="0" w:line="172" w:lineRule="exact"/>
        <w:rPr>
          <w:sz w:val="20"/>
          <w:szCs w:val="20"/>
          <w:color w:val="auto"/>
        </w:rPr>
      </w:pPr>
    </w:p>
    <w:p>
      <w:pPr>
        <w:jc w:val="both"/>
        <w:ind w:firstLine="496"/>
        <w:spacing w:after="0" w:line="256" w:lineRule="auto"/>
        <w:tabs>
          <w:tab w:leader="none" w:pos="67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60 days after May 15 of each year commencing with the year 2026, the Trustee shall transmit by mail to Holders a brief report dated as of such May 15 that complies with Section 313(a) of the Trust Indenture Act. The Trustee shall comply with Section 313(b) of the Trust Indenture Act. The Trustee shall transmit by mail all reports as required by Sections 313(c) and 313(d) of the Trust Indenture Act.</w:t>
      </w:r>
    </w:p>
    <w:p>
      <w:pPr>
        <w:spacing w:after="0" w:line="143" w:lineRule="exact"/>
        <w:rPr>
          <w:rFonts w:ascii="Times New Roman" w:cs="Times New Roman" w:eastAsia="Times New Roman" w:hAnsi="Times New Roman"/>
          <w:sz w:val="14"/>
          <w:szCs w:val="14"/>
          <w:color w:val="auto"/>
        </w:rPr>
      </w:pPr>
    </w:p>
    <w:p>
      <w:pPr>
        <w:ind w:firstLine="496"/>
        <w:spacing w:after="0" w:line="267" w:lineRule="auto"/>
        <w:tabs>
          <w:tab w:leader="none" w:pos="68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report pursuant to Subsection (a) of this Section 703 shall, at the time of its transmission to Holders, be filed by the Trustee with each stock exchange upon which any Securities are listed, with the SEC and with the Company. The Company will notify the Trustee when any Securities are listed or delisted on any stock exchange.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SECTION 704. REPORTS BY COMPANY.</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Company shall file with the Trustee, within 15 days after the Company is required to file the same with the SEC,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Securities Exchange Act of 1934, as amended, and shall otherwise comply with Section 314(a) of the Trust Indenture Act.</w:t>
      </w:r>
    </w:p>
    <w:p>
      <w:pPr>
        <w:spacing w:after="0" w:line="14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MERGER, CONVEYANCE,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OR LEASE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801. COMPANY MAY CONSOLIDATE, ETC., ONLY ON CERTAIN TERMS.</w:t>
      </w:r>
    </w:p>
    <w:p>
      <w:pPr>
        <w:spacing w:after="0" w:line="172" w:lineRule="exact"/>
        <w:rPr>
          <w:sz w:val="20"/>
          <w:szCs w:val="20"/>
          <w:color w:val="auto"/>
        </w:rPr>
      </w:pPr>
    </w:p>
    <w:p>
      <w:pPr>
        <w:jc w:val="both"/>
        <w:ind w:firstLine="496"/>
        <w:spacing w:after="0" w:line="256" w:lineRule="auto"/>
        <w:tabs>
          <w:tab w:leader="none" w:pos="6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directly or indirectly, in any transaction or series of related transactions: (1) consolidate or merge with or into another Person (whether or not the Company is the surviving corporation); (2) sell, assign, transfer, convey or otherwise dispose of all or substantially all of the properties or assets of the Company and its Subsidiaries taken as a whole, or (3) assign any of its obligations under the Securities and this Indenture, in one or more related transactions, to another Person; unless:</w:t>
      </w:r>
    </w:p>
    <w:p>
      <w:pPr>
        <w:spacing w:after="0" w:line="143" w:lineRule="exact"/>
        <w:rPr>
          <w:rFonts w:ascii="Times New Roman" w:cs="Times New Roman" w:eastAsia="Times New Roman" w:hAnsi="Times New Roman"/>
          <w:sz w:val="14"/>
          <w:szCs w:val="14"/>
          <w:color w:val="auto"/>
        </w:rPr>
      </w:pPr>
    </w:p>
    <w:p>
      <w:pPr>
        <w:ind w:left="500" w:firstLine="490"/>
        <w:spacing w:after="0" w:line="307" w:lineRule="auto"/>
        <w:tabs>
          <w:tab w:leader="none" w:pos="1166"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111" w:lineRule="exact"/>
        <w:rPr>
          <w:rFonts w:ascii="Times New Roman" w:cs="Times New Roman" w:eastAsia="Times New Roman" w:hAnsi="Times New Roman"/>
          <w:sz w:val="13"/>
          <w:szCs w:val="13"/>
          <w:color w:val="auto"/>
        </w:rPr>
      </w:pPr>
    </w:p>
    <w:p>
      <w:pPr>
        <w:ind w:left="500" w:firstLine="490"/>
        <w:spacing w:after="0" w:line="267" w:lineRule="auto"/>
        <w:tabs>
          <w:tab w:leader="none" w:pos="1195"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or surviving any such consolidation or merger (if other than the Company) or the Person to which such sale, assignment, transfer, conveyance or other disposition shall have been made assumes all the obligations of the Company under the Securities and this Indenture pursuant to agreements reasonably satisfactory to the Trustee;</w:t>
      </w:r>
    </w:p>
    <w:p>
      <w:pPr>
        <w:spacing w:after="0" w:line="135" w:lineRule="exact"/>
        <w:rPr>
          <w:rFonts w:ascii="Times New Roman" w:cs="Times New Roman" w:eastAsia="Times New Roman" w:hAnsi="Times New Roman"/>
          <w:sz w:val="14"/>
          <w:szCs w:val="14"/>
          <w:color w:val="auto"/>
        </w:rPr>
      </w:pPr>
    </w:p>
    <w:p>
      <w:pPr>
        <w:ind w:left="1220" w:hanging="230"/>
        <w:spacing w:after="0"/>
        <w:tabs>
          <w:tab w:leader="none" w:pos="122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transaction no Default or Event of Default exists;</w:t>
      </w:r>
    </w:p>
    <w:p>
      <w:pPr>
        <w:spacing w:after="0" w:line="168"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246"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such merger, consolidation or sale, assignment, transfer, conveyance or other disposition of such properties or assets or assignment of its obligations under the Securities and this Indenture and such supplemental indenture, if any, comply with this Indenture.</w:t>
      </w:r>
    </w:p>
    <w:p>
      <w:pPr>
        <w:spacing w:after="0" w:line="143" w:lineRule="exact"/>
        <w:rPr>
          <w:rFonts w:ascii="Times New Roman" w:cs="Times New Roman" w:eastAsia="Times New Roman" w:hAnsi="Times New Roman"/>
          <w:sz w:val="14"/>
          <w:szCs w:val="14"/>
          <w:color w:val="auto"/>
        </w:rPr>
      </w:pPr>
    </w:p>
    <w:p>
      <w:pPr>
        <w:ind w:left="680" w:hanging="184"/>
        <w:spacing w:after="0"/>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directly or indirectly, lease all or substantially all of its properties or assets, in one or more related transactions, to any other Person.</w:t>
      </w:r>
    </w:p>
    <w:p>
      <w:pPr>
        <w:spacing w:after="0" w:line="168" w:lineRule="exact"/>
        <w:rPr>
          <w:rFonts w:ascii="Times New Roman" w:cs="Times New Roman" w:eastAsia="Times New Roman" w:hAnsi="Times New Roman"/>
          <w:sz w:val="14"/>
          <w:szCs w:val="14"/>
          <w:color w:val="auto"/>
        </w:rPr>
      </w:pPr>
    </w:p>
    <w:p>
      <w:pPr>
        <w:ind w:firstLine="496"/>
        <w:spacing w:after="0" w:line="267" w:lineRule="auto"/>
        <w:tabs>
          <w:tab w:leader="none" w:pos="68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this Section 801 shall not apply to a sale, assignment, transfer, conveyance or other disposition of assets between or among the Company and any of its Wholly Owned Subsidiaries.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SECTION 802. SUCCESSOR PERSON SUBSTITUTED.</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 xml:space="preserve">Upon any consolidation or merger, any sale, assignment, transfer, lease, conveyance or other disposition of all or substantially all of the assets of the Company, or any assignment of the obligations under the Securities and this Indenture in accordance with Section 801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“Company” shall refer instead to the successor corporation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predecessor Company shall not be relieved from the obligation to pay the principal of and interest on the Securities except in the case of a sale of all of the Company’s assets that meets the requirements of Section 801 hereof.</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901. WITHOUT CONSENT OF HOLDERS.</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Notwithstanding Section 902 of this Indenture, the Company and the Trustee may amend or supplement this Indenture or the Securities of any series without the consent of any Holder of a Security of any series:</w:t>
      </w:r>
    </w:p>
    <w:p>
      <w:pPr>
        <w:spacing w:after="0" w:line="136" w:lineRule="exact"/>
        <w:rPr>
          <w:sz w:val="20"/>
          <w:szCs w:val="20"/>
          <w:color w:val="auto"/>
        </w:rPr>
      </w:pPr>
    </w:p>
    <w:p>
      <w:pPr>
        <w:ind w:left="1180" w:hanging="190"/>
        <w:spacing w:after="0"/>
        <w:tabs>
          <w:tab w:leader="none" w:pos="11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9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 or to alter the provisions of Article II of this Indenture (including the related definitions) in a manner that does not materially adversely affect any Holder;</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Securities of any series as permitted by Sections 201 and 301 of this Indenture;</w:t>
      </w:r>
    </w:p>
    <w:p>
      <w:pPr>
        <w:spacing w:after="0" w:line="168" w:lineRule="exact"/>
        <w:rPr>
          <w:rFonts w:ascii="Times New Roman" w:cs="Times New Roman" w:eastAsia="Times New Roman" w:hAnsi="Times New Roman"/>
          <w:sz w:val="14"/>
          <w:szCs w:val="14"/>
          <w:color w:val="auto"/>
        </w:rPr>
      </w:pPr>
    </w:p>
    <w:p>
      <w:pPr>
        <w:ind w:left="1200" w:hanging="210"/>
        <w:spacing w:after="0"/>
        <w:tabs>
          <w:tab w:leader="none" w:pos="12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the Company’s or any Guarantor’s obligations to the Holders of the Securities by a successor to the Company pursuant to Article VIII of this</w:t>
      </w:r>
    </w:p>
    <w:p>
      <w:pPr>
        <w:spacing w:after="0" w:line="15"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w:t>
      </w:r>
    </w:p>
    <w:p>
      <w:pPr>
        <w:spacing w:after="0" w:line="156"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any change that would provide any additional rights or benefits to the Holders of the Securities or that does not adversely affect the legal rights hereunder of any such Holder;</w:t>
      </w:r>
    </w:p>
    <w:p>
      <w:pPr>
        <w:spacing w:after="0" w:line="179" w:lineRule="exact"/>
        <w:rPr>
          <w:rFonts w:ascii="Times New Roman" w:cs="Times New Roman" w:eastAsia="Times New Roman" w:hAnsi="Times New Roman"/>
          <w:sz w:val="13"/>
          <w:szCs w:val="13"/>
          <w:color w:val="auto"/>
        </w:rPr>
      </w:pPr>
    </w:p>
    <w:p>
      <w:pPr>
        <w:ind w:left="1160" w:hanging="170"/>
        <w:spacing w:after="0"/>
        <w:tabs>
          <w:tab w:leader="none" w:pos="11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this Indenture under the Trust Indenture Act;</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the acceptance of the appointment of a successor Trustee pursuant to Sections 610 and 611 of this Indenture; and</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 Guarantor of the Securities.</w:t>
      </w:r>
    </w:p>
    <w:p>
      <w:pPr>
        <w:spacing w:after="0" w:line="168"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Upon the request of the Company accompanied by a resolution of its Board of Directors authorizing the execution of any such amended or supplemental indenture, and upon receipt by the Trustee of the documents described in Section 603 of this Indenture,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902. WITH CONSENT OF HOLDERS.</w:t>
      </w:r>
    </w:p>
    <w:p>
      <w:pPr>
        <w:spacing w:after="0" w:line="172" w:lineRule="exact"/>
        <w:rPr>
          <w:sz w:val="20"/>
          <w:szCs w:val="20"/>
          <w:color w:val="auto"/>
        </w:rPr>
      </w:pPr>
    </w:p>
    <w:p>
      <w:pPr>
        <w:jc w:val="both"/>
        <w:ind w:firstLine="494"/>
        <w:spacing w:after="0" w:line="272" w:lineRule="auto"/>
        <w:rPr>
          <w:sz w:val="20"/>
          <w:szCs w:val="20"/>
          <w:color w:val="auto"/>
        </w:rPr>
      </w:pPr>
      <w:r>
        <w:rPr>
          <w:rFonts w:ascii="Times New Roman" w:cs="Times New Roman" w:eastAsia="Times New Roman" w:hAnsi="Times New Roman"/>
          <w:sz w:val="13"/>
          <w:szCs w:val="13"/>
          <w:color w:val="auto"/>
        </w:rPr>
        <w:t>Except as provided below in this Section 902, the Company and the Trustee may amend or supplement this Indenture and the Securities of any series may be amended or supplemented with the consent of the Holders of at least a majority in aggregate principal amount at maturity of Securities of that series then Outstanding voting as a single class (including, without limitation, consents obtained in connection with a purchase of, or tender offer or exchange offer for, that series of Securities), and, subject to Sections 504 and 507 hereof, any existing Default or Event of Default (other than a Default or Event of Default in the payment of the principal of, premium, if any, and interest, if any, on such Securities, except a payment default resulting from an acceleration that has been rescinded) or compliance with any provision of this Indenture or such Securities may be waived with the consent of the Holders of a majority in aggregate principal amount at maturity of the then Outstanding Securities of that series voting as a single class (including without limitation, consents obtained in connection with a purchase of, or tender offer or exchange offer for, that series of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82" w:name="page83"/>
    <w:bookmarkEnd w:id="82"/>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Upon the request of the Company accompanied by a Board Resolution authorizing the execution of any such amended or supplemental indenture, and upon the filing with the Trustee of evidence satisfactory to the Trustee of the consent of the Holders of that series of Securities as aforesaid, and upon receipt by the Trustee of the documents described in Section 603 of this Indenture,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47"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It shall not be necessary for the consent of the Holders of Securities under this Section 902 to approve the particular form of any proposed amendment or waiver, but it shall be sufficient if such consent approves the substance thereof.</w:t>
      </w:r>
    </w:p>
    <w:p>
      <w:pPr>
        <w:spacing w:after="0" w:line="13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After an amendment, supplement or waiver under this Section becomes effective, the Company shall mail to the Holders of Securities of any series affected thereby a notice briefly describing the amendment, supplement or waiver. Any failure of the Company to mail such notice, or any defect therein, shall not, however, in any way impair or affect the validity of any such amended or supplemental indenture or waiver.</w:t>
      </w:r>
    </w:p>
    <w:p>
      <w:pPr>
        <w:spacing w:after="0" w:line="14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Subject to Sections 504 and 507 hereof, the Holders of a majority in aggregate principal amount at maturity of a series of Securities then Outstanding voting as a single class may waive compliance in a particular instance by the Company with any provision of this Indenture or the Securities. However, without the consent of each Holder of a series of Securities affected, an amendment or waiver under this Section 902 may not (with respect to the series of Securities held by a non-consenting Holder):</w:t>
      </w:r>
    </w:p>
    <w:p>
      <w:pPr>
        <w:spacing w:after="0" w:line="143" w:lineRule="exact"/>
        <w:rPr>
          <w:sz w:val="20"/>
          <w:szCs w:val="20"/>
          <w:color w:val="auto"/>
        </w:rPr>
      </w:pPr>
    </w:p>
    <w:p>
      <w:pPr>
        <w:ind w:left="1180" w:hanging="190"/>
        <w:spacing w:after="0"/>
        <w:tabs>
          <w:tab w:leader="none" w:pos="11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the then Outstanding Securities whose Holders must consent to an amendment, supplement or waiver;</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8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fixed maturity of any Security or alter any of the provisions with respect to the redemption of the Securities unless otherwise specifically provided for in the supplemental indenture;</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Security;</w:t>
      </w:r>
    </w:p>
    <w:p>
      <w:pPr>
        <w:spacing w:after="0" w:line="168" w:lineRule="exact"/>
        <w:rPr>
          <w:rFonts w:ascii="Times New Roman" w:cs="Times New Roman" w:eastAsia="Times New Roman" w:hAnsi="Times New Roman"/>
          <w:sz w:val="14"/>
          <w:szCs w:val="14"/>
          <w:color w:val="auto"/>
        </w:rPr>
      </w:pPr>
    </w:p>
    <w:p>
      <w:pPr>
        <w:jc w:val="both"/>
        <w:ind w:left="500" w:firstLine="490"/>
        <w:spacing w:after="0" w:line="256" w:lineRule="auto"/>
        <w:tabs>
          <w:tab w:leader="none" w:pos="1191"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principal of, or interest or premium, if any, on the Securities (except a rescission of acceleration of the Securities by the Holders of any series of Securities of at least a majority in aggregate principal amount of the then Outstanding Securities of that series and a waiver of the payment default that resulted from such acceleration);</w:t>
      </w:r>
    </w:p>
    <w:p>
      <w:pPr>
        <w:spacing w:after="0" w:line="143"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Security payable in money other than that stated in the Security;</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6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provisions of this Indenture relating to waivers of past Defaults or the rights of Holders of Securities to receive payments of principal of, or interest or premium, if any, on the Securities;</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 (other than as may be specifically permitted by the supplemental indenture);</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Securities to become subordinated in right of payment to any other Indebtedness;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83" w:name="page84"/>
    <w:bookmarkEnd w:id="83"/>
    <w:p>
      <w:pPr>
        <w:ind w:left="1160" w:hanging="170"/>
        <w:spacing w:after="0"/>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Guarantor from any of its obligations under its Guarantee or this Indenture, except in accordance with the terms thereof; or</w:t>
      </w:r>
    </w:p>
    <w:p>
      <w:pPr>
        <w:spacing w:after="0" w:line="168" w:lineRule="exact"/>
        <w:rPr>
          <w:rFonts w:ascii="Times New Roman" w:cs="Times New Roman" w:eastAsia="Times New Roman" w:hAnsi="Times New Roman"/>
          <w:sz w:val="14"/>
          <w:szCs w:val="14"/>
          <w:color w:val="auto"/>
        </w:rPr>
      </w:pPr>
    </w:p>
    <w:p>
      <w:pPr>
        <w:ind w:left="1160" w:hanging="170"/>
        <w:spacing w:after="0"/>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Sections 504 or 507 or the foregoing amendment and waiver provisions.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903. COMPLIANCE WITH TRUST INDENTURE ACT.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Every amendment or supplement to this Indenture or the Securities shall be set forth in a amended or supplemental indenture that complies with the Trust Indenture Act as then in effect.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904. REVOCATION AND EFFECT OF CONSENTS.</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waiver, supplement or amendment becomes effective. An amendment, supplement or waiver becomes effective in accordance with its terms and thereafter binds every Holder.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905. NOTATION ON OR EXCHANGE OF SECURITIES.</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Trustee may place an appropriate notation about an amendment, supplement or waiver on any Security thereafter authenticated. The Company in exchange for all Securities of a series may issue and the Trustee shall, upon receipt of a written order from the Company to authenticate such Securities, authenticate new Securities that reflect the amendment, supplement or waiver.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906. TRUSTEE TO SIGN AMENDMENTS, ETC.</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The Trustee shall sign any amended or supplemental indenture authorized pursuant to this Article IX if the amendment or supplement does not adversely affect the rights, duties, liabilities or immunities of the Trustee. The Company may not sign an amendment or supplemental indenture until the Board of Directors approves it. In executing any amended or supplemental indenture, the Trustee shall be given and (subject to Section 601 of this Indenture) shall be fully protected in relying upon, in addition to the documents required by Section 603 this Indenture, an Officer’s Certificate and an Opinion of Counsel stating that the execution of such amended or supplemental indenture is authorized or permitted by this Indenture.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1001. PAYMENT OF PRINCIPAL, PREMIUM AND INTEREST.</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Company covenants and agrees for the benefit of each series of Securities that it will duly and punctually pay the principal of (and premium, if any), interest on and any Additional Amounts with respect to the Securities of that series in accordance with the terms of the Securities and this Indenture.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1002. MAINTENANCE OF OFFICE OR AGENCY.</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If Securities of a series are issuable only as Registered Securities,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84" w:name="page85"/>
    <w:bookmarkEnd w:id="84"/>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1003. MONEY FOR SECURITIES PAYMENTS TO BE HELD IN TRUST.</w:t>
      </w:r>
    </w:p>
    <w:p>
      <w:pPr>
        <w:spacing w:after="0" w:line="172" w:lineRule="exact"/>
        <w:rPr>
          <w:sz w:val="20"/>
          <w:szCs w:val="20"/>
          <w:color w:val="auto"/>
        </w:rPr>
      </w:pPr>
    </w:p>
    <w:p>
      <w:pPr>
        <w:jc w:val="both"/>
        <w:ind w:firstLine="494"/>
        <w:spacing w:after="0" w:line="285" w:lineRule="auto"/>
        <w:rPr>
          <w:sz w:val="20"/>
          <w:szCs w:val="20"/>
          <w:color w:val="auto"/>
        </w:rPr>
      </w:pPr>
      <w:r>
        <w:rPr>
          <w:rFonts w:ascii="Times New Roman" w:cs="Times New Roman" w:eastAsia="Times New Roman" w:hAnsi="Times New Roman"/>
          <w:sz w:val="13"/>
          <w:szCs w:val="13"/>
          <w:color w:val="auto"/>
        </w:rPr>
        <w:t>If the Company shall at any time act as its own Paying Agent with respect to any series of Securities, it will, on or before each due date of the principal of (and premium, if any) or interest on or any Additional Amounts with respect to any of the Securities of that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2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Whenever the Company shall have one or more Paying Agents for any series of Securities, the Company will, on or before each due date of the principal of (and premium, if any) or interest on any Securities of that series,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Company will cause each Paying Agent for any series of Securities other than the Trustee to execute and deliver to the Trustee an instrument in which such Paying Agent shall agree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subject to the provisions of this Section, that such Paying Agent will:</w:t>
      </w:r>
    </w:p>
    <w:p>
      <w:pPr>
        <w:spacing w:after="0" w:line="157" w:lineRule="exact"/>
        <w:rPr>
          <w:sz w:val="20"/>
          <w:szCs w:val="20"/>
          <w:color w:val="auto"/>
        </w:rPr>
      </w:pPr>
    </w:p>
    <w:p>
      <w:pPr>
        <w:ind w:left="500" w:firstLine="490"/>
        <w:spacing w:after="0" w:line="267" w:lineRule="auto"/>
        <w:tabs>
          <w:tab w:leader="none" w:pos="119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all sums held by it for the payment of the principal of (and premium, if any), interest on or any Additional Amounts with respect to Securities of that series in trust for the benefit of the Persons entitled thereto until such sums shall be paid to such Persons or otherwise disposed of as herein provided;</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8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the Trustee notice of any default by the Company (or any other obligor upon the Securities of that series) in the making of any payment of principal (and premium, if any), interest on or any Additional Amounts with respect to the Securities of that series; and</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during the continuance of any such default, upon the written request of the Trustee, forthwith pay to the Trustee all sums so held in trust by such Paying Agent.</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sums were held by the Company or such Paying Agent; and, upon such payment by any Paying Agent to the Trustee, such Paying Agent shall be released from all further liability with respect to such money.</w:t>
      </w:r>
    </w:p>
    <w:p>
      <w:pPr>
        <w:spacing w:after="0" w:line="143" w:lineRule="exact"/>
        <w:rPr>
          <w:sz w:val="20"/>
          <w:szCs w:val="20"/>
          <w:color w:val="auto"/>
        </w:rPr>
      </w:pPr>
    </w:p>
    <w:p>
      <w:pPr>
        <w:jc w:val="both"/>
        <w:ind w:firstLine="494"/>
        <w:spacing w:after="0" w:line="248" w:lineRule="auto"/>
        <w:rPr>
          <w:sz w:val="20"/>
          <w:szCs w:val="20"/>
          <w:color w:val="auto"/>
        </w:rPr>
      </w:pPr>
      <w:r>
        <w:rPr>
          <w:rFonts w:ascii="Times New Roman" w:cs="Times New Roman" w:eastAsia="Times New Roman" w:hAnsi="Times New Roman"/>
          <w:sz w:val="14"/>
          <w:szCs w:val="14"/>
          <w:color w:val="auto"/>
        </w:rPr>
        <w:t xml:space="preserve">Any money deposited with the Trustee or any Paying Agent, or then held by the Company, in trust for the payment of the principal of (and premium, if any) or interest on any Security of any series and remaining unclaimed for three years after such principal (and premium, if any) or interest has become due and payable shall, unless otherwise required by mandatory provisions of applicable escheat, or abandoned or unclaimed property law,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Trustee or such Paying Agent, before being required to make any such repayment, may at the expense of the Company cause to be published once, in an Authorized Newspaper in the Borough of Manhattan, the City of New York and in such other Authorized Newspapers as the Trustee shall deem appropriate, notice that such money remains unclaimed and that, after a date specified herein, which shall not be less than 30 days from the date of such publication, any unclaimed balance of such money then remaining will, unless otherwise required by mandatory provisions of applicable escheat, or abandoned or unclaimed property law, be repaid to the Company.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SECTION 1004. EXISTENCE.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Article VIII, the Company will do or cause to be done all things necessary to preserve and keep in full force and effect its corporate existence.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1005. STATEMENT BY OFFICERS AS TO DEFAULT.</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spacing w:after="0" w:line="147"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The Company shall, so long as any of the Securities are outstanding, deliver to the Trustee, forthwith and in any event within five days upon any officer becoming aware of any Default or Event of Default or an event which, with notice or the lapse of time or both, would constitute an Event of Default, an Officers’ Certificate specifying such Default or Event of Default and what action the Company is taking or proposes to take with respect thereto.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1006. WAIVER OF CERTAIN COVENANTS.</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The Company may omit in any particular instance to comply with any covenant or condition set forth in Section 1005, or any covenant added for the benefit of any series of Securities as contemplated by Section 301 (unless otherwise specified pursuant to Section 301) if before or after the time for such compliance the Holders of a majority in principal amount of the Outstanding Securities of all series affected by such omission (acting as one class)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1007. ADDITIONAL AMOUNTS.</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If the Securities of a series expressly provide for the payment of Additional Amounts, the Company will pay to the Holder of any Security of such series Additional Amounts as expressly provided therein. Whenever in this Indenture there is mentioned, in any context, the payment of the principal of or any premium or interest on, or in respect of, any Security of any series or the net proceeds received from the sale or exchange of any Security of any series, such mention shall be deemed to include mention of the payment of Additional Amounts provided for in this Section 1007 to the extent that, in such context, Additional Amounts are, were or would be payable in respect thereof pursuant to the provisions of this Section 1007 and express mention of the payment of Additional Amounts (if applicable) in any provisions hereof shall not be construed as excluding Additional Amounts in those provisions hereof where such express mention is not made.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86" w:name="page87"/>
    <w:bookmarkEnd w:id="86"/>
    <w:p>
      <w:pPr>
        <w:jc w:val="both"/>
        <w:ind w:firstLine="494"/>
        <w:spacing w:after="0" w:line="248" w:lineRule="auto"/>
        <w:rPr>
          <w:sz w:val="20"/>
          <w:szCs w:val="20"/>
          <w:color w:val="auto"/>
        </w:rPr>
      </w:pPr>
      <w:r>
        <w:rPr>
          <w:rFonts w:ascii="Times New Roman" w:cs="Times New Roman" w:eastAsia="Times New Roman" w:hAnsi="Times New Roman"/>
          <w:sz w:val="14"/>
          <w:szCs w:val="14"/>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and the Company will pay to such Paying Agent the Additional Amounts required by this Section.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1007.</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1101. APPLICABILITY OF ARTICLE.</w:t>
      </w:r>
    </w:p>
    <w:p>
      <w:pPr>
        <w:spacing w:after="0" w:line="17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1102. ELECTION TO REDEEM; NOTICE TO TRUSTEE.</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The election of the Company to redeem any Securities shall be evidenced by a Board Resolution. In case of any redemption at the election of the Company of less than all the Securities of any series, the Company shall, a reasonable period prior to the Redemption Date fixed by the Company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1103. SELECTION BY TRUSTEE OF SECURITIES TO BE REDEEMED.</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If less than all the Securities of any series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that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w:t>
      </w:r>
    </w:p>
    <w:p>
      <w:pPr>
        <w:spacing w:after="0" w:line="147"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The Trustee shall promptly notify the Company and the Security Registrar in writing of the Securities selected for redemption and, in the case of any Securities selected for partial redemption, the principal amount thereof to be redeemed.</w:t>
      </w:r>
    </w:p>
    <w:p>
      <w:pPr>
        <w:spacing w:after="0" w:line="13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color w:val="auto"/>
        </w:rPr>
        <w:t>SECTION 1104. NOTICE OF REDEMPTION.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Notice of redemption shall be given in the manner provided in Section 107 to each Holder of Securities to be redeemed not less than 30 nor more than 60 days prior to the Redemption Date.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notices of redemption shall state:</w:t>
      </w:r>
    </w:p>
    <w:p>
      <w:pPr>
        <w:spacing w:after="0" w:line="168" w:lineRule="exact"/>
        <w:rPr>
          <w:sz w:val="20"/>
          <w:szCs w:val="20"/>
          <w:color w:val="auto"/>
        </w:rPr>
      </w:pPr>
    </w:p>
    <w:p>
      <w:pPr>
        <w:ind w:left="1180" w:hanging="190"/>
        <w:spacing w:after="0"/>
        <w:tabs>
          <w:tab w:leader="none" w:pos="11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168" w:lineRule="exact"/>
        <w:rPr>
          <w:rFonts w:ascii="Times New Roman" w:cs="Times New Roman" w:eastAsia="Times New Roman" w:hAnsi="Times New Roman"/>
          <w:sz w:val="14"/>
          <w:szCs w:val="14"/>
          <w:color w:val="auto"/>
        </w:rPr>
      </w:pPr>
    </w:p>
    <w:p>
      <w:pPr>
        <w:ind w:left="500" w:firstLine="490"/>
        <w:spacing w:after="0" w:line="267" w:lineRule="auto"/>
        <w:tabs>
          <w:tab w:leader="none" w:pos="1188"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the Outstanding Securities of any series are to be redeemed, the identification (and, in the case of partial redemption, the principal amounts) of the particular Securities to be redeemed,</w:t>
      </w:r>
    </w:p>
    <w:p>
      <w:pPr>
        <w:spacing w:after="0" w:line="135" w:lineRule="exact"/>
        <w:rPr>
          <w:rFonts w:ascii="Times New Roman" w:cs="Times New Roman" w:eastAsia="Times New Roman" w:hAnsi="Times New Roman"/>
          <w:sz w:val="14"/>
          <w:szCs w:val="14"/>
          <w:color w:val="auto"/>
        </w:rPr>
      </w:pPr>
    </w:p>
    <w:p>
      <w:pPr>
        <w:ind w:left="500" w:firstLine="490"/>
        <w:spacing w:after="0" w:line="267" w:lineRule="auto"/>
        <w:tabs>
          <w:tab w:leader="none" w:pos="1188"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on the Redemption Date the Redemption Price will become due and payable upon each such Security to be redeemed and, if applicable, that interest thereon will cease to accrue on and after said date,</w:t>
      </w:r>
    </w:p>
    <w:p>
      <w:pPr>
        <w:spacing w:after="0" w:line="135"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such Securities are to be surrendered for payment of the Redemption Price,</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redemption is for a sinking fund, if such is the case, and</w:t>
      </w:r>
    </w:p>
    <w:p>
      <w:pPr>
        <w:spacing w:after="0" w:line="168" w:lineRule="exact"/>
        <w:rPr>
          <w:rFonts w:ascii="Times New Roman" w:cs="Times New Roman" w:eastAsia="Times New Roman" w:hAnsi="Times New Roman"/>
          <w:sz w:val="14"/>
          <w:szCs w:val="14"/>
          <w:color w:val="auto"/>
        </w:rPr>
      </w:pPr>
    </w:p>
    <w:p>
      <w:pPr>
        <w:ind w:left="1180" w:hanging="190"/>
        <w:spacing w:after="0"/>
        <w:tabs>
          <w:tab w:leader="none" w:pos="11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applicable.</w:t>
      </w:r>
    </w:p>
    <w:p>
      <w:pPr>
        <w:spacing w:after="0" w:line="1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A notice of redemption as contemplated by Section 107 need not identify particular Registered Securities to be redeemed. Notice of redemption of Securities to be redeemed at the election of the Company shall be given by the Company or, at the Company’s request and provision to the Trustee of the notice information 10 days prior to delivery of the notice, by the Trustee in the name and at the expense of the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1105. DEPOSIT OF REDEMPTION PRICE.</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On or before 10:00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and any Additional Amounts with respect to all the Securities to be redeemed on that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1106. SECURITIES PAYABLE ON REDEMPTION DATE.</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(and any Additional Amounts) to the Redemption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installments of interest whose Stated Maturity is on or prior to the Redemption Date shall be payable to the Holders of such Securities, or one or more Predecessor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registered as such at the close of business on the relevant Record Dates according to their terms and the provisions of Section 307.</w:t>
      </w:r>
    </w:p>
    <w:p>
      <w:pPr>
        <w:spacing w:after="0" w:line="14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If any Security called for redemption shall not be so paid upon surrender thereof for redemption, the principal (and premium, if any) shall, until paid, bear interest from the Redemption Date at the rate prescribed therefor in the Security or, in the case of Original Issue Discount Securities, the Securities’ Yield to Maturity.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1107. SECURITIES REDEEMED IN PART.</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Any Registered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and Stated Maturity, of any authorized denomination as requested by such Holder, in aggregate principal amount equal to and in exchange for the unredeemed portion of the principal of the Security so surrendered.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color w:val="auto"/>
        </w:rPr>
        <w:t>SECTION 1108. PURCHASE OF SECURITIES.</w:t>
      </w:r>
    </w:p>
    <w:p>
      <w:pPr>
        <w:spacing w:after="0" w:line="1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4"/>
          <w:szCs w:val="14"/>
          <w:color w:val="auto"/>
        </w:rPr>
        <w:t>Unless otherwise specified as contemplated by Section 301, the Company and any Affiliate of the Company may at any time purchase or otherwise acquire Securities in the open market or by private agreement.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Section 309 shall apply to all Securities so delivered.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SINKING FUNDS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1201. APPLICABILITY OF ARTICLE.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provisions of this Article shall be applicable to any sinking fund for the retirement of Securities of a series except as otherwise specified as contemplated by Section 301 for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w:t>
      </w:r>
    </w:p>
    <w:p>
      <w:pPr>
        <w:spacing w:after="0" w:line="157"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Unless otherwise provided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1202. SATISFACTION OF SINKING FUND PAYMENTS WITH SECURITIES.</w:t>
      </w:r>
    </w:p>
    <w:p>
      <w:pPr>
        <w:spacing w:after="0" w:line="172"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payment shall be reduced accordingly.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1203. REDEMPTION OF SECURITIES FOR SINKING FUND.</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Not less than 45 days prior (unless a shorter period shall be satisfactory to the Trustee)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Section 1202 and will also deliver to the Trustee any Securities to be so delivered.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MEETINGS OF HOLDERS OF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1301. PURPOSES FOR WHICH MEETINGS MAY BE CALLED.</w:t>
      </w:r>
    </w:p>
    <w:p>
      <w:pPr>
        <w:spacing w:after="0" w:line="172" w:lineRule="exact"/>
        <w:rPr>
          <w:sz w:val="20"/>
          <w:szCs w:val="20"/>
          <w:color w:val="auto"/>
        </w:rPr>
      </w:pPr>
    </w:p>
    <w:p>
      <w:pPr>
        <w:ind w:firstLine="494"/>
        <w:spacing w:after="0" w:line="267" w:lineRule="auto"/>
        <w:rPr>
          <w:sz w:val="20"/>
          <w:szCs w:val="20"/>
          <w:color w:val="auto"/>
        </w:rPr>
      </w:pPr>
      <w:r>
        <w:rPr>
          <w:rFonts w:ascii="Times New Roman" w:cs="Times New Roman" w:eastAsia="Times New Roman" w:hAnsi="Times New Roman"/>
          <w:sz w:val="14"/>
          <w:szCs w:val="14"/>
          <w:color w:val="auto"/>
        </w:rPr>
        <w:t>A meeting of Holders of Securities of any or all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1302. CALL, NOTICE AND PLACE OF MEETINGS.</w:t>
      </w:r>
    </w:p>
    <w:p>
      <w:pPr>
        <w:spacing w:after="0" w:line="172" w:lineRule="exact"/>
        <w:rPr>
          <w:sz w:val="20"/>
          <w:szCs w:val="20"/>
          <w:color w:val="auto"/>
        </w:rPr>
      </w:pPr>
    </w:p>
    <w:p>
      <w:pPr>
        <w:jc w:val="both"/>
        <w:ind w:firstLine="496"/>
        <w:spacing w:after="0" w:line="285" w:lineRule="auto"/>
        <w:tabs>
          <w:tab w:leader="none" w:pos="693"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at any time call a meeting of Holders of Securities of any series for any purpose specified in Section 1301, to be held at such time and at such place in the Borough of Manhattan, the City of New York, or in any other location, as the Trustee shall determine. Notice of every meeting of Holders of Securities of any series, setting forth the time and the place of such meeting and in general terms the action proposed to be taken at such meeting, shall be given, in the manner provided in Section 107, not less than 20 nor more than 180 days prior to the date fixed for the meeting.</w:t>
      </w:r>
    </w:p>
    <w:p>
      <w:pPr>
        <w:spacing w:after="0" w:line="125" w:lineRule="exact"/>
        <w:rPr>
          <w:rFonts w:ascii="Times New Roman" w:cs="Times New Roman" w:eastAsia="Times New Roman" w:hAnsi="Times New Roman"/>
          <w:sz w:val="13"/>
          <w:szCs w:val="13"/>
          <w:color w:val="auto"/>
        </w:rPr>
      </w:pPr>
    </w:p>
    <w:p>
      <w:pPr>
        <w:jc w:val="both"/>
        <w:ind w:firstLine="496"/>
        <w:spacing w:after="0" w:line="251" w:lineRule="auto"/>
        <w:tabs>
          <w:tab w:leader="none" w:pos="691"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the Company, pursuant to a Board Resolution, or the Holders of at least 10% in aggregate principal amount of the Outstanding Securities of any series, shall have requested the Trustee for any such series to call a meeting of the Holders of Securities of such series for any purpose specified in Section 1301, by written request setting forth in reasonable detail the action proposed to be taken at the meeting, and the Trustee shall not have made the first publication of the notice of such meeting within 30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1303. PERSONS ENTITLED TO VOTE AT MEETINGS.</w:t>
      </w:r>
    </w:p>
    <w:p>
      <w:pPr>
        <w:spacing w:after="0" w:line="172"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4"/>
          <w:szCs w:val="14"/>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1304. QUORUM; ACTION.</w:t>
      </w:r>
    </w:p>
    <w:p>
      <w:pPr>
        <w:spacing w:after="0" w:line="172" w:lineRule="exact"/>
        <w:rPr>
          <w:sz w:val="20"/>
          <w:szCs w:val="20"/>
          <w:color w:val="auto"/>
        </w:rPr>
      </w:pPr>
    </w:p>
    <w:p>
      <w:pPr>
        <w:jc w:val="both"/>
        <w:ind w:firstLine="494"/>
        <w:spacing w:after="0" w:line="249" w:lineRule="auto"/>
        <w:rPr>
          <w:sz w:val="20"/>
          <w:szCs w:val="20"/>
          <w:color w:val="auto"/>
        </w:rPr>
      </w:pPr>
      <w:r>
        <w:rPr>
          <w:rFonts w:ascii="Times New Roman" w:cs="Times New Roman" w:eastAsia="Times New Roman" w:hAnsi="Times New Roman"/>
          <w:sz w:val="14"/>
          <w:szCs w:val="14"/>
          <w:color w:val="auto"/>
        </w:rPr>
        <w:t>The Persons entitled to vote a majority in aggregate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Subject to Section 1305(d), notice of the reconvening of any adjourned meeting shall be given as provided in Section 1302(a), except that such notice need be given only once not less than five days prior to the date on which the meeting is scheduled to be reconvened. Notice of the reconvening of an adjourned meeting shall state expressly that Persons entitled to vote a majority in principal amount of the Outstanding Securities of such series shall constitute a quorum.</w:t>
      </w:r>
    </w:p>
    <w:p>
      <w:pPr>
        <w:spacing w:after="0" w:line="147" w:lineRule="exact"/>
        <w:rPr>
          <w:sz w:val="20"/>
          <w:szCs w:val="20"/>
          <w:color w:val="auto"/>
        </w:rPr>
      </w:pPr>
    </w:p>
    <w:p>
      <w:pPr>
        <w:jc w:val="both"/>
        <w:ind w:firstLine="494"/>
        <w:spacing w:after="0" w:line="251" w:lineRule="auto"/>
        <w:rPr>
          <w:sz w:val="20"/>
          <w:szCs w:val="20"/>
          <w:color w:val="auto"/>
        </w:rPr>
      </w:pPr>
      <w:r>
        <w:rPr>
          <w:rFonts w:ascii="Times New Roman" w:cs="Times New Roman" w:eastAsia="Times New Roman" w:hAnsi="Times New Roman"/>
          <w:sz w:val="14"/>
          <w:szCs w:val="14"/>
          <w:color w:val="auto"/>
        </w:rPr>
        <w:t xml:space="preserve">Except as limited by the proviso to Section 902, any resolution presented to a meeting or adjourned meeting duly reconvened at which a quorum is present as aforesaid may be adopted by the affirmative vote of the Holders of a majority in aggregate principal amount of the Outstanding Securities of that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except as limited by the proviso to Section 902, any resolution with respect to any request, demand, authorization, direction, notice, consent or waiver which this Indenture expressly provides may be made, given or taken by the Holders of a specified percentage that is less than a majority in aggregate principal amount of the Outstanding Securities of a series may be adopted at a meeting or an adjourned meeting duly reconvened and at which a quorum is present as aforesaid by the affirmative vote of the Holders of such specified percentage in aggregate principal amount of the Outstanding Securities of that series.</w:t>
      </w:r>
    </w:p>
    <w:p>
      <w:pPr>
        <w:spacing w:after="0" w:line="146"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Except as limited by the fourth paragraph of Section 902, 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color w:val="auto"/>
        </w:rPr>
        <w:t>SECTION 1305. DETERMINATION OF VOTING RIGHTS; CONDUCT AND ADJOURNMENT OF MEETINGS.</w:t>
      </w:r>
    </w:p>
    <w:p>
      <w:pPr>
        <w:spacing w:after="0" w:line="172" w:lineRule="exact"/>
        <w:rPr>
          <w:sz w:val="20"/>
          <w:szCs w:val="20"/>
          <w:color w:val="auto"/>
        </w:rPr>
      </w:pPr>
    </w:p>
    <w:p>
      <w:pPr>
        <w:ind w:firstLine="496"/>
        <w:spacing w:after="0" w:line="267" w:lineRule="auto"/>
        <w:tabs>
          <w:tab w:leader="none" w:pos="679"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holding of Securities shall be proved in the manner specified in Section 105 and the appointment of any proxy shall be proved in the manner specified in Section 105. Such regulations may provide that written instruments appointing proxies, regular on their face, may be presumed valid and genuine without the proof specified in Section 105 or other proof.</w:t>
      </w:r>
    </w:p>
    <w:p>
      <w:pPr>
        <w:spacing w:after="0" w:line="135" w:lineRule="exact"/>
        <w:rPr>
          <w:rFonts w:ascii="Times New Roman" w:cs="Times New Roman" w:eastAsia="Times New Roman" w:hAnsi="Times New Roman"/>
          <w:sz w:val="14"/>
          <w:szCs w:val="14"/>
          <w:color w:val="auto"/>
        </w:rPr>
      </w:pPr>
    </w:p>
    <w:p>
      <w:pPr>
        <w:jc w:val="both"/>
        <w:ind w:firstLine="496"/>
        <w:spacing w:after="0" w:line="285" w:lineRule="auto"/>
        <w:tabs>
          <w:tab w:leader="none" w:pos="688"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by an instrument in writing, appoint a temporary chairman of the meeting, unless the meeting shall have been called by the Company or by Holders of Securities as provided in Section 1302(b), in which case the Company or the Holders of Securities of the series calling the meeting, as the case may be, shall appoint a temporary chairman. A permanent chairman and a permanent secretary of the meeting shall be elected by vote of the Persons entitled to vote a majority in aggregate principal amount of the Outstanding Securities of such series represented at the meeting.</w:t>
      </w:r>
    </w:p>
    <w:p>
      <w:pPr>
        <w:spacing w:after="0" w:line="125" w:lineRule="exact"/>
        <w:rPr>
          <w:rFonts w:ascii="Times New Roman" w:cs="Times New Roman" w:eastAsia="Times New Roman" w:hAnsi="Times New Roman"/>
          <w:sz w:val="13"/>
          <w:szCs w:val="13"/>
          <w:color w:val="auto"/>
        </w:rPr>
      </w:pPr>
    </w:p>
    <w:p>
      <w:pPr>
        <w:jc w:val="both"/>
        <w:ind w:firstLine="496"/>
        <w:spacing w:after="0" w:line="252" w:lineRule="auto"/>
        <w:tabs>
          <w:tab w:leader="none" w:pos="678"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meeting each Holder of a Security of such series and each proxy shall be entitled to one vote for each $1,000 principal amount (or such other amount of the minimum denomination of any series of Securities as may be provided in the establishment of such series as contemplated by Section 301 hereof) of the Outstanding Securities of such series held or represented by him;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vote shall be cast or counted at any meeting in respect of any Security challenged as not Outstanding and ruled by the chairman of the meeting to be not Outstanding. The chairman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 shall have no right to vote, except as a Holder of a Security of such series or as a proxy.</w:t>
      </w:r>
    </w:p>
    <w:p>
      <w:pPr>
        <w:spacing w:after="0" w:line="146" w:lineRule="exact"/>
        <w:rPr>
          <w:rFonts w:ascii="Times New Roman" w:cs="Times New Roman" w:eastAsia="Times New Roman" w:hAnsi="Times New Roman"/>
          <w:sz w:val="14"/>
          <w:szCs w:val="14"/>
          <w:color w:val="auto"/>
        </w:rPr>
      </w:pPr>
    </w:p>
    <w:p>
      <w:pPr>
        <w:ind w:firstLine="496"/>
        <w:spacing w:after="0" w:line="267" w:lineRule="auto"/>
        <w:tabs>
          <w:tab w:leader="none" w:pos="68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meeting of Holders of Securities of any series duly called pursuant to Section 1302 at which a quorum is present may be adjourned from time to time by Persons entitled to vote a majority in aggregate principal amount of the Outstanding Securities of such series represented at the meeting; and the meeting may be held as so adjourned without further notice.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1306. COUNTING VOTES AND RECORDING ACTION OF MEETINGS.</w:t>
      </w:r>
    </w:p>
    <w:p>
      <w:pPr>
        <w:spacing w:after="0" w:line="172" w:lineRule="exact"/>
        <w:rPr>
          <w:sz w:val="20"/>
          <w:szCs w:val="20"/>
          <w:color w:val="auto"/>
        </w:rPr>
      </w:pPr>
    </w:p>
    <w:p>
      <w:pPr>
        <w:jc w:val="both"/>
        <w:ind w:firstLine="494"/>
        <w:spacing w:after="0" w:line="248" w:lineRule="auto"/>
        <w:rPr>
          <w:sz w:val="20"/>
          <w:szCs w:val="20"/>
          <w:color w:val="auto"/>
        </w:rPr>
      </w:pPr>
      <w:r>
        <w:rPr>
          <w:rFonts w:ascii="Times New Roman" w:cs="Times New Roman" w:eastAsia="Times New Roman" w:hAnsi="Times New Roman"/>
          <w:sz w:val="14"/>
          <w:szCs w:val="14"/>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such record the original reports of the inspectors of votes on any vote by ballot taken thereat and affidavits by one or more Persons having knowledge of the facts setting forth a copy of the notice of the meeting and showing that such notice was given as provided in Section 1302 and, if applicable, Section 1304.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w:t>
      </w:r>
    </w:p>
    <w:p>
      <w:pPr>
        <w:spacing w:after="0" w:line="168"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[Signatures on following page]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47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91" w:name="page92"/>
    <w:bookmarkEnd w:id="91"/>
    <w:p>
      <w:pPr>
        <w:ind w:left="500"/>
        <w:spacing w:after="0"/>
        <w:rPr>
          <w:sz w:val="20"/>
          <w:szCs w:val="20"/>
          <w:color w:val="auto"/>
        </w:rPr>
      </w:pPr>
      <w:r>
        <w:rPr>
          <w:rFonts w:ascii="Times New Roman" w:cs="Times New Roman" w:eastAsia="Times New Roman" w:hAnsi="Times New Roman"/>
          <w:sz w:val="13"/>
          <w:szCs w:val="13"/>
          <w:color w:val="auto"/>
        </w:rPr>
        <w:t>IN WITNESS WHEREOF, the parties hereto have caused this Indenture to be duly executed as of the day and year first above written.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ARRIVE AI INC.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-100965</wp:posOffset>
            </wp:positionV>
            <wp:extent cx="32264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322643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159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-100965</wp:posOffset>
            </wp:positionV>
            <wp:extent cx="32264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322643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212090</wp:posOffset>
            </wp:positionV>
            <wp:extent cx="71647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9"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0"/>
        </w:trPr>
        <w:tc>
          <w:tcPr>
            <w:tcW w:w="5340" w:type="dxa"/>
            <w:vAlign w:val="bottom"/>
          </w:tcPr>
          <w:p>
            <w:pPr>
              <w:spacing w:after="0"/>
              <w:rPr>
                <w:sz w:val="15"/>
                <w:szCs w:val="15"/>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tc>
      </w:tr>
      <w:tr>
        <w:trPr>
          <w:trHeight w:val="318"/>
        </w:trPr>
        <w:tc>
          <w:tcPr>
            <w:tcW w:w="5340" w:type="dxa"/>
            <w:vAlign w:val="bottom"/>
          </w:tcPr>
          <w:p>
            <w:pPr>
              <w:spacing w:after="0"/>
              <w:rPr>
                <w:sz w:val="24"/>
                <w:szCs w:val="24"/>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LUCOSKY BROOKMAN LLP</w:t>
            </w:r>
          </w:p>
        </w:tc>
      </w:tr>
      <w:tr>
        <w:trPr>
          <w:trHeight w:val="165"/>
        </w:trPr>
        <w:tc>
          <w:tcPr>
            <w:tcW w:w="5340" w:type="dxa"/>
            <w:vAlign w:val="bottom"/>
          </w:tcPr>
          <w:p>
            <w:pPr>
              <w:spacing w:after="0"/>
              <w:rPr>
                <w:sz w:val="14"/>
                <w:szCs w:val="14"/>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 Wood Avenue South</w:t>
            </w:r>
          </w:p>
        </w:tc>
      </w:tr>
      <w:tr>
        <w:trPr>
          <w:trHeight w:val="165"/>
        </w:trPr>
        <w:tc>
          <w:tcPr>
            <w:tcW w:w="5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5th Floor</w:t>
            </w:r>
          </w:p>
        </w:tc>
      </w:tr>
      <w:tr>
        <w:trPr>
          <w:trHeight w:val="165"/>
        </w:trPr>
        <w:tc>
          <w:tcPr>
            <w:tcW w:w="5340" w:type="dxa"/>
            <w:vAlign w:val="bottom"/>
          </w:tcPr>
          <w:p>
            <w:pPr>
              <w:spacing w:after="0"/>
              <w:rPr>
                <w:sz w:val="14"/>
                <w:szCs w:val="14"/>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Woodbridge, NJ 08830</w:t>
            </w:r>
          </w:p>
        </w:tc>
      </w:tr>
      <w:tr>
        <w:trPr>
          <w:trHeight w:val="165"/>
        </w:trPr>
        <w:tc>
          <w:tcPr>
            <w:tcW w:w="5340" w:type="dxa"/>
            <w:vAlign w:val="bottom"/>
          </w:tcPr>
          <w:p>
            <w:pPr>
              <w:spacing w:after="0"/>
              <w:rPr>
                <w:sz w:val="14"/>
                <w:szCs w:val="14"/>
                <w:color w:val="auto"/>
              </w:rPr>
            </w:pPr>
          </w:p>
        </w:tc>
        <w:tc>
          <w:tcPr>
            <w:tcW w:w="5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 - (732)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395-4400</w:t>
            </w:r>
          </w:p>
        </w:tc>
      </w:tr>
      <w:tr>
        <w:trPr>
          <w:trHeight w:val="176"/>
        </w:trPr>
        <w:tc>
          <w:tcPr>
            <w:tcW w:w="5340" w:type="dxa"/>
            <w:vAlign w:val="bottom"/>
          </w:tcPr>
          <w:p>
            <w:pPr>
              <w:spacing w:after="0"/>
              <w:rPr>
                <w:sz w:val="15"/>
                <w:szCs w:val="15"/>
                <w:color w:val="auto"/>
              </w:rPr>
            </w:pPr>
          </w:p>
        </w:tc>
        <w:tc>
          <w:tcPr>
            <w:tcW w:w="5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 (732)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395-4401</w:t>
            </w:r>
          </w:p>
        </w:tc>
      </w:tr>
      <w:tr>
        <w:trPr>
          <w:trHeight w:val="329"/>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June 1, 2026</w:t>
            </w:r>
          </w:p>
        </w:tc>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5340" w:type="dxa"/>
            <w:vAlign w:val="bottom"/>
          </w:tcPr>
          <w:p>
            <w:pPr>
              <w:spacing w:after="0"/>
              <w:rPr>
                <w:sz w:val="24"/>
                <w:szCs w:val="24"/>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 Broadway</w:t>
            </w:r>
          </w:p>
        </w:tc>
      </w:tr>
      <w:tr>
        <w:trPr>
          <w:trHeight w:val="165"/>
        </w:trPr>
        <w:tc>
          <w:tcPr>
            <w:tcW w:w="5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Suite 807</w:t>
            </w:r>
          </w:p>
        </w:tc>
      </w:tr>
      <w:tr>
        <w:trPr>
          <w:trHeight w:val="165"/>
        </w:trPr>
        <w:tc>
          <w:tcPr>
            <w:tcW w:w="5340" w:type="dxa"/>
            <w:vAlign w:val="bottom"/>
          </w:tcPr>
          <w:p>
            <w:pPr>
              <w:spacing w:after="0"/>
              <w:rPr>
                <w:sz w:val="14"/>
                <w:szCs w:val="14"/>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New York, NY 10006</w:t>
            </w:r>
          </w:p>
        </w:tc>
      </w:tr>
      <w:tr>
        <w:trPr>
          <w:trHeight w:val="165"/>
        </w:trPr>
        <w:tc>
          <w:tcPr>
            <w:tcW w:w="5340" w:type="dxa"/>
            <w:vAlign w:val="bottom"/>
          </w:tcPr>
          <w:p>
            <w:pPr>
              <w:spacing w:after="0"/>
              <w:rPr>
                <w:sz w:val="14"/>
                <w:szCs w:val="14"/>
                <w:color w:val="auto"/>
              </w:rPr>
            </w:pPr>
          </w:p>
        </w:tc>
        <w:tc>
          <w:tcPr>
            <w:tcW w:w="5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 - (212)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332-8160</w:t>
            </w:r>
          </w:p>
        </w:tc>
      </w:tr>
      <w:tr>
        <w:trPr>
          <w:trHeight w:val="176"/>
        </w:trPr>
        <w:tc>
          <w:tcPr>
            <w:tcW w:w="5340" w:type="dxa"/>
            <w:vAlign w:val="bottom"/>
          </w:tcPr>
          <w:p>
            <w:pPr>
              <w:spacing w:after="0"/>
              <w:rPr>
                <w:sz w:val="15"/>
                <w:szCs w:val="15"/>
                <w:color w:val="auto"/>
              </w:rPr>
            </w:pPr>
          </w:p>
        </w:tc>
        <w:tc>
          <w:tcPr>
            <w:tcW w:w="5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 - (212)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332-8161</w:t>
            </w:r>
          </w:p>
        </w:tc>
      </w:tr>
      <w:tr>
        <w:trPr>
          <w:trHeight w:val="318"/>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Arrive AI Inc.</w:t>
            </w:r>
          </w:p>
        </w:tc>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5"/>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9100 Fall View Drive</w:t>
            </w:r>
          </w:p>
        </w:tc>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Fishers, Indiana 46037</w:t>
            </w: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www. lucbro.com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-1879600</wp:posOffset>
            </wp:positionV>
            <wp:extent cx="1332230" cy="3200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1332230" cy="320040"/>
                    </a:xfrm>
                    <a:prstGeom prst="rect">
                      <a:avLst/>
                    </a:prstGeom>
                    <a:noFill/>
                  </pic:spPr>
                </pic:pic>
              </a:graphicData>
            </a:graphic>
          </wp:anchor>
        </w:drawing>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RE: Registration Statement on Form S-3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acting as counsel for Arrive AI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Registration Statement on Form S-3 (such Registration Statement, as amended from time to time, is herein referred to as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filed by the Company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on the date hereof, relating to the registration of the proposed public offering from time to time of up to $100,000,000 of the securities described below:</w:t>
      </w:r>
    </w:p>
    <w:p>
      <w:pPr>
        <w:spacing w:after="0" w:line="143" w:lineRule="exact"/>
        <w:rPr>
          <w:sz w:val="20"/>
          <w:szCs w:val="20"/>
          <w:color w:val="auto"/>
        </w:rPr>
      </w:pPr>
    </w:p>
    <w:p>
      <w:pPr>
        <w:ind w:left="500" w:hanging="251"/>
        <w:spacing w:after="0" w:line="267" w:lineRule="auto"/>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par value $0.0002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of the Company issuable directly or in exchange for or upon conversion of Warrants (as defined below), or Preferred Stock (as defined below);</w:t>
      </w:r>
    </w:p>
    <w:p>
      <w:pPr>
        <w:spacing w:after="0" w:line="135" w:lineRule="exact"/>
        <w:rPr>
          <w:rFonts w:ascii="Times New Roman" w:cs="Times New Roman" w:eastAsia="Times New Roman" w:hAnsi="Times New Roman"/>
          <w:sz w:val="14"/>
          <w:szCs w:val="14"/>
          <w:color w:val="auto"/>
        </w:rPr>
      </w:pPr>
    </w:p>
    <w:p>
      <w:pPr>
        <w:ind w:left="500" w:hanging="251"/>
        <w:spacing w:after="0" w:line="267" w:lineRule="auto"/>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(the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in one or more series, with such par value, rights, preferences, and privileges as may be designated by the Board of Directors, of the Company issuable directly;</w:t>
      </w:r>
    </w:p>
    <w:p>
      <w:pPr>
        <w:spacing w:after="0" w:line="135"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of the Company (the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of the Company (the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entitling the holders to purchase shares of Common Stock, shares of Preferred Stock, or other securities of the Company;</w:t>
      </w:r>
    </w:p>
    <w:p>
      <w:pPr>
        <w:spacing w:after="0" w:line="168" w:lineRule="exact"/>
        <w:rPr>
          <w:rFonts w:ascii="Times New Roman" w:cs="Times New Roman" w:eastAsia="Times New Roman" w:hAnsi="Times New Roman"/>
          <w:sz w:val="14"/>
          <w:szCs w:val="14"/>
          <w:color w:val="auto"/>
        </w:rPr>
      </w:pPr>
    </w:p>
    <w:p>
      <w:pPr>
        <w:ind w:left="500" w:hanging="251"/>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to purchase shares of Common Stock or Preferred Stock (the “</w:t>
      </w:r>
      <w:r>
        <w:rPr>
          <w:rFonts w:ascii="Times New Roman" w:cs="Times New Roman" w:eastAsia="Times New Roman" w:hAnsi="Times New Roman"/>
          <w:sz w:val="14"/>
          <w:szCs w:val="14"/>
          <w:u w:val="single" w:color="auto"/>
          <w:color w:val="auto"/>
        </w:rPr>
        <w:t>Rights</w:t>
      </w:r>
      <w:r>
        <w:rPr>
          <w:rFonts w:ascii="Times New Roman" w:cs="Times New Roman" w:eastAsia="Times New Roman" w:hAnsi="Times New Roman"/>
          <w:sz w:val="14"/>
          <w:szCs w:val="14"/>
          <w:color w:val="auto"/>
        </w:rPr>
        <w:t>”); and</w:t>
      </w:r>
    </w:p>
    <w:p>
      <w:pPr>
        <w:spacing w:after="0" w:line="168" w:lineRule="exact"/>
        <w:rPr>
          <w:rFonts w:ascii="Times New Roman" w:cs="Times New Roman" w:eastAsia="Times New Roman" w:hAnsi="Times New Roman"/>
          <w:sz w:val="14"/>
          <w:szCs w:val="14"/>
          <w:color w:val="auto"/>
        </w:rPr>
      </w:pPr>
    </w:p>
    <w:p>
      <w:pPr>
        <w:jc w:val="both"/>
        <w:ind w:left="500" w:hanging="251"/>
        <w:spacing w:after="0" w:line="256" w:lineRule="auto"/>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comprised of any combination of other Securities offered in the Registration Statement (the “</w:t>
      </w:r>
      <w:r>
        <w:rPr>
          <w:rFonts w:ascii="Times New Roman" w:cs="Times New Roman" w:eastAsia="Times New Roman" w:hAnsi="Times New Roman"/>
          <w:sz w:val="14"/>
          <w:szCs w:val="14"/>
          <w:u w:val="single" w:color="auto"/>
          <w:color w:val="auto"/>
        </w:rPr>
        <w:t>Units,</w:t>
      </w:r>
      <w:r>
        <w:rPr>
          <w:rFonts w:ascii="Times New Roman" w:cs="Times New Roman" w:eastAsia="Times New Roman" w:hAnsi="Times New Roman"/>
          <w:sz w:val="14"/>
          <w:szCs w:val="14"/>
          <w:color w:val="auto"/>
        </w:rPr>
        <w:t>” and together with the Common Stock, the Preferred Stock, the Debt Securities, the Warrants, the Rights, the Units, and any Common Stock or Preferred Stock that may be issued upon exercise, conversion or exchange pursuant to the terms of any the foregoing securities,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6470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3" w:name="page94"/>
    <w:bookmarkEnd w:id="93"/>
    <w:p>
      <w:pPr>
        <w:jc w:val="both"/>
        <w:spacing w:after="0" w:line="247" w:lineRule="auto"/>
        <w:rPr>
          <w:sz w:val="20"/>
          <w:szCs w:val="20"/>
          <w:color w:val="auto"/>
        </w:rPr>
      </w:pPr>
      <w:r>
        <w:rPr>
          <w:rFonts w:ascii="Times New Roman" w:cs="Times New Roman" w:eastAsia="Times New Roman" w:hAnsi="Times New Roman"/>
          <w:sz w:val="14"/>
          <w:szCs w:val="14"/>
          <w:color w:val="auto"/>
        </w:rPr>
        <w:t>The shares of Common Stock are to be issued under the Certificate of Incorporation of the Company, as amended (the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Each series of Preferred Stock is to be issued under the Certificate of Incorporation, as may be amended to authorize the issuance of preferred stock, and a certificate of designation (a “</w:t>
      </w:r>
      <w:r>
        <w:rPr>
          <w:rFonts w:ascii="Times New Roman" w:cs="Times New Roman" w:eastAsia="Times New Roman" w:hAnsi="Times New Roman"/>
          <w:sz w:val="14"/>
          <w:szCs w:val="14"/>
          <w:u w:val="single" w:color="auto"/>
          <w:color w:val="auto"/>
        </w:rPr>
        <w:t>Certificate of Designation</w:t>
      </w:r>
      <w:r>
        <w:rPr>
          <w:rFonts w:ascii="Times New Roman" w:cs="Times New Roman" w:eastAsia="Times New Roman" w:hAnsi="Times New Roman"/>
          <w:sz w:val="14"/>
          <w:szCs w:val="14"/>
          <w:color w:val="auto"/>
        </w:rPr>
        <w:t>”) to be approved by the board of directors of the Company (the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or a committee thereof and filed with the Secretary of State of the State of Delaware (the “</w:t>
      </w:r>
      <w:r>
        <w:rPr>
          <w:rFonts w:ascii="Times New Roman" w:cs="Times New Roman" w:eastAsia="Times New Roman" w:hAnsi="Times New Roman"/>
          <w:sz w:val="14"/>
          <w:szCs w:val="14"/>
          <w:u w:val="single" w:color="auto"/>
          <w:color w:val="auto"/>
        </w:rPr>
        <w:t>Delaware Secretary of State</w:t>
      </w:r>
      <w:r>
        <w:rPr>
          <w:rFonts w:ascii="Times New Roman" w:cs="Times New Roman" w:eastAsia="Times New Roman" w:hAnsi="Times New Roman"/>
          <w:sz w:val="14"/>
          <w:szCs w:val="14"/>
          <w:color w:val="auto"/>
        </w:rPr>
        <w:t>”). The Debt Securities may be issued pursuant to a senior debt indenture (the “</w:t>
      </w:r>
      <w:r>
        <w:rPr>
          <w:rFonts w:ascii="Times New Roman" w:cs="Times New Roman" w:eastAsia="Times New Roman" w:hAnsi="Times New Roman"/>
          <w:sz w:val="14"/>
          <w:szCs w:val="14"/>
          <w:u w:val="single" w:color="auto"/>
          <w:color w:val="auto"/>
        </w:rPr>
        <w:t>Senior Debt Indenture</w:t>
      </w:r>
      <w:r>
        <w:rPr>
          <w:rFonts w:ascii="Times New Roman" w:cs="Times New Roman" w:eastAsia="Times New Roman" w:hAnsi="Times New Roman"/>
          <w:sz w:val="14"/>
          <w:szCs w:val="14"/>
          <w:color w:val="auto"/>
        </w:rPr>
        <w:t>”) between the Company and the trustee to be named therein (the “</w:t>
      </w:r>
      <w:r>
        <w:rPr>
          <w:rFonts w:ascii="Times New Roman" w:cs="Times New Roman" w:eastAsia="Times New Roman" w:hAnsi="Times New Roman"/>
          <w:sz w:val="14"/>
          <w:szCs w:val="14"/>
          <w:u w:val="single" w:color="auto"/>
          <w:color w:val="auto"/>
        </w:rPr>
        <w:t>Senior Debt Trustee</w:t>
      </w:r>
      <w:r>
        <w:rPr>
          <w:rFonts w:ascii="Times New Roman" w:cs="Times New Roman" w:eastAsia="Times New Roman" w:hAnsi="Times New Roman"/>
          <w:sz w:val="14"/>
          <w:szCs w:val="14"/>
          <w:color w:val="auto"/>
        </w:rPr>
        <w:t>”) and a subordinated debt indenture (the “</w:t>
      </w:r>
      <w:r>
        <w:rPr>
          <w:rFonts w:ascii="Times New Roman" w:cs="Times New Roman" w:eastAsia="Times New Roman" w:hAnsi="Times New Roman"/>
          <w:sz w:val="14"/>
          <w:szCs w:val="14"/>
          <w:u w:val="single" w:color="auto"/>
          <w:color w:val="auto"/>
        </w:rPr>
        <w:t>Subordinated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and together with the Senior Debt Indenture, the “</w:t>
      </w:r>
      <w:r>
        <w:rPr>
          <w:rFonts w:ascii="Times New Roman" w:cs="Times New Roman" w:eastAsia="Times New Roman" w:hAnsi="Times New Roman"/>
          <w:sz w:val="14"/>
          <w:szCs w:val="14"/>
          <w:u w:val="single" w:color="auto"/>
          <w:color w:val="auto"/>
        </w:rPr>
        <w:t>Indentures</w:t>
      </w:r>
      <w:r>
        <w:rPr>
          <w:rFonts w:ascii="Times New Roman" w:cs="Times New Roman" w:eastAsia="Times New Roman" w:hAnsi="Times New Roman"/>
          <w:sz w:val="14"/>
          <w:szCs w:val="14"/>
          <w:color w:val="auto"/>
        </w:rPr>
        <w:t>”) between the Company and the trustee to be named therein (the “</w:t>
      </w:r>
      <w:r>
        <w:rPr>
          <w:rFonts w:ascii="Times New Roman" w:cs="Times New Roman" w:eastAsia="Times New Roman" w:hAnsi="Times New Roman"/>
          <w:sz w:val="14"/>
          <w:szCs w:val="14"/>
          <w:u w:val="single" w:color="auto"/>
          <w:color w:val="auto"/>
        </w:rPr>
        <w:t>Subordinated Debt Trustee</w:t>
      </w:r>
      <w:r>
        <w:rPr>
          <w:rFonts w:ascii="Times New Roman" w:cs="Times New Roman" w:eastAsia="Times New Roman" w:hAnsi="Times New Roman"/>
          <w:sz w:val="14"/>
          <w:szCs w:val="14"/>
          <w:color w:val="auto"/>
        </w:rPr>
        <w:t>” and, together with the Senior Debt Trustee, the “</w:t>
      </w:r>
      <w:r>
        <w:rPr>
          <w:rFonts w:ascii="Times New Roman" w:cs="Times New Roman" w:eastAsia="Times New Roman" w:hAnsi="Times New Roman"/>
          <w:sz w:val="14"/>
          <w:szCs w:val="14"/>
          <w:u w:val="single" w:color="auto"/>
          <w:color w:val="auto"/>
        </w:rPr>
        <w:t>Trustees</w:t>
      </w:r>
      <w:r>
        <w:rPr>
          <w:rFonts w:ascii="Times New Roman" w:cs="Times New Roman" w:eastAsia="Times New Roman" w:hAnsi="Times New Roman"/>
          <w:sz w:val="14"/>
          <w:szCs w:val="14"/>
          <w:color w:val="auto"/>
        </w:rPr>
        <w:t>”). The Warrants are to be issued under one or more warrant agreements in a form to be filed and incorporated into the Registration Statement, with appropriate insertions (each, a “</w:t>
      </w:r>
      <w:r>
        <w:rPr>
          <w:rFonts w:ascii="Times New Roman" w:cs="Times New Roman" w:eastAsia="Times New Roman" w:hAnsi="Times New Roman"/>
          <w:sz w:val="14"/>
          <w:szCs w:val="14"/>
          <w:u w:val="single" w:color="auto"/>
          <w:color w:val="auto"/>
        </w:rPr>
        <w:t>Warrant Agreement</w:t>
      </w:r>
      <w:r>
        <w:rPr>
          <w:rFonts w:ascii="Times New Roman" w:cs="Times New Roman" w:eastAsia="Times New Roman" w:hAnsi="Times New Roman"/>
          <w:sz w:val="14"/>
          <w:szCs w:val="14"/>
          <w:color w:val="auto"/>
        </w:rPr>
        <w:t>”), to be entered into by the Company, a warrant agent to be named by the Company (the “</w:t>
      </w:r>
      <w:r>
        <w:rPr>
          <w:rFonts w:ascii="Times New Roman" w:cs="Times New Roman" w:eastAsia="Times New Roman" w:hAnsi="Times New Roman"/>
          <w:sz w:val="14"/>
          <w:szCs w:val="14"/>
          <w:u w:val="single" w:color="auto"/>
          <w:color w:val="auto"/>
        </w:rPr>
        <w:t>Warrant Agent</w:t>
      </w:r>
      <w:r>
        <w:rPr>
          <w:rFonts w:ascii="Times New Roman" w:cs="Times New Roman" w:eastAsia="Times New Roman" w:hAnsi="Times New Roman"/>
          <w:sz w:val="14"/>
          <w:szCs w:val="14"/>
          <w:color w:val="auto"/>
        </w:rPr>
        <w:t>”), and the holders from time to time of the Warrants. The Units are to be issued under one or more unit agreements in a form to be filed and incorporated into the Registration Statement, with appropriate insertions (each, a “</w:t>
      </w:r>
      <w:r>
        <w:rPr>
          <w:rFonts w:ascii="Times New Roman" w:cs="Times New Roman" w:eastAsia="Times New Roman" w:hAnsi="Times New Roman"/>
          <w:sz w:val="14"/>
          <w:szCs w:val="14"/>
          <w:u w:val="single" w:color="auto"/>
          <w:color w:val="auto"/>
        </w:rPr>
        <w:t>Unit Agreement</w:t>
      </w:r>
      <w:r>
        <w:rPr>
          <w:rFonts w:ascii="Times New Roman" w:cs="Times New Roman" w:eastAsia="Times New Roman" w:hAnsi="Times New Roman"/>
          <w:sz w:val="14"/>
          <w:szCs w:val="14"/>
          <w:color w:val="auto"/>
        </w:rPr>
        <w:t>”), to be entered into by the Company and the unit agent named therein. The Rights are to be issued under one or more rights agent agreements in a form to be filed and incorporated into the Registration Statement, with appropriate insertions (each, a “</w:t>
      </w:r>
      <w:r>
        <w:rPr>
          <w:rFonts w:ascii="Times New Roman" w:cs="Times New Roman" w:eastAsia="Times New Roman" w:hAnsi="Times New Roman"/>
          <w:sz w:val="14"/>
          <w:szCs w:val="14"/>
          <w:u w:val="single" w:color="auto"/>
          <w:color w:val="auto"/>
        </w:rPr>
        <w:t>Rights Agreement</w:t>
      </w:r>
      <w:r>
        <w:rPr>
          <w:rFonts w:ascii="Times New Roman" w:cs="Times New Roman" w:eastAsia="Times New Roman" w:hAnsi="Times New Roman"/>
          <w:sz w:val="14"/>
          <w:szCs w:val="14"/>
          <w:color w:val="auto"/>
        </w:rPr>
        <w:t>”), to be entered into by the Company and a bank, trust company or other financial institution to be identified therein as rights agents. The Certificate of Incorporation, each Certificate of Designation, each Warrant Agreement, each Unit Agreement, and each Rights Agreement are referred to herein individually as a “</w:t>
      </w:r>
      <w:r>
        <w:rPr>
          <w:rFonts w:ascii="Times New Roman" w:cs="Times New Roman" w:eastAsia="Times New Roman" w:hAnsi="Times New Roman"/>
          <w:sz w:val="14"/>
          <w:szCs w:val="14"/>
          <w:u w:val="single" w:color="auto"/>
          <w:color w:val="auto"/>
        </w:rPr>
        <w:t>Governing Document</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Governing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part of the corporate actions taken and to be taken in connection with issuance of any Securities to be issued and sold from time to time under the Registration Statement, the Board of Directors, a committee thereof or certain authorized officers of the Company as authorized by the Board of Directors will, before such Securities are issued under the Registration Statement, duly authorize the issuance and approve the terms of such Securities (the “</w:t>
      </w:r>
      <w:r>
        <w:rPr>
          <w:rFonts w:ascii="Times New Roman" w:cs="Times New Roman" w:eastAsia="Times New Roman" w:hAnsi="Times New Roman"/>
          <w:sz w:val="14"/>
          <w:szCs w:val="14"/>
          <w:u w:val="single" w:color="auto"/>
          <w:color w:val="auto"/>
        </w:rPr>
        <w:t>Corporate Proceedings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You have provided us with a draft prospectus (the “Prospectus”) that is a part of the Registration Statement. The Prospectus provides that it will be supplemented in the future by one or more supplements thereto (each, a “</w:t>
      </w:r>
      <w:r>
        <w:rPr>
          <w:rFonts w:ascii="Times New Roman" w:cs="Times New Roman" w:eastAsia="Times New Roman" w:hAnsi="Times New Roman"/>
          <w:sz w:val="14"/>
          <w:szCs w:val="14"/>
          <w:u w:val="single" w:color="auto"/>
          <w:color w:val="auto"/>
        </w:rPr>
        <w:t>Prospectus Supplement</w:t>
      </w:r>
      <w:r>
        <w:rPr>
          <w:rFonts w:ascii="Times New Roman" w:cs="Times New Roman" w:eastAsia="Times New Roman" w:hAnsi="Times New Roman"/>
          <w:sz w:val="14"/>
          <w:szCs w:val="14"/>
          <w:color w:val="auto"/>
        </w:rPr>
        <w:t>”) in connection with each offering of Securities.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Securities Act, and no opinion is expressed herein as to any matter pertaining to the contents of the Registration Statement, the Prospectus, or any Prospectus Supplement, other than as expressly stated herein with respect to the issue of the Securities. It is understood that the opinions set forth below are to be used only in connection with the offer while the Registration Statement is in effect.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our capacity as your counsel in connection with such registration, we have reviewed and are familiar with such documents, certificates, Corporate Proceedings and other materials, including an examination of originals or copies certified or otherwise identified to our satisfaction the By-laws of the Company, Governing Documents and the Registration Statement (collectively, the “</w:t>
      </w:r>
      <w:r>
        <w:rPr>
          <w:rFonts w:ascii="Times New Roman" w:cs="Times New Roman" w:eastAsia="Times New Roman" w:hAnsi="Times New Roman"/>
          <w:sz w:val="14"/>
          <w:szCs w:val="14"/>
          <w:u w:val="single" w:color="auto"/>
          <w:color w:val="auto"/>
        </w:rPr>
        <w:t>Constituent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as amended, and have reviewed such questions of law, as we have considered relevant or necessary as a basis for this opinion.</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the authenticity of all documents submitted to us as originals, and the conformity to authentic original documents of all documents submitted to us as copies. For purposes of this opinion, we have assumed that proper proceedings in connection with the authorization and issuance or sale of the Securities will be timely and properly completed, in accordance with all requirements of applicable federal laws and the General Corporation Law of the State of Delaware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and, in the manner presently proposed. We have assumed and have not verified the accuracy of the factual matters of each document we have reviewed.</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to facts material to the opinions, statements and assumptions expressed herein, we have, with your consent, relied upon oral or written statements and representations of officers and other representatives of the Company and others. We have specifically relied upon the certification of an officer of the Company signed on even date herewith. In addition, we have obtained and relied upon such certificates and assurances from public officials as we have deemed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6470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94" w:name="page95"/>
    <w:bookmarkEnd w:id="94"/>
    <w:p>
      <w:pPr>
        <w:jc w:val="both"/>
        <w:spacing w:after="0" w:line="267" w:lineRule="auto"/>
        <w:rPr>
          <w:sz w:val="20"/>
          <w:szCs w:val="20"/>
          <w:color w:val="auto"/>
        </w:rPr>
      </w:pPr>
      <w:r>
        <w:rPr>
          <w:rFonts w:ascii="Times New Roman" w:cs="Times New Roman" w:eastAsia="Times New Roman" w:hAnsi="Times New Roman"/>
          <w:sz w:val="13"/>
          <w:szCs w:val="13"/>
          <w:color w:val="auto"/>
        </w:rPr>
        <w:t>With respect to the Securities to be offered and sold by the Company, we have also assumed that (a) the Registration Statement shall have become and remain effective under the Securities Act, a Prospectus Supplement shall have been prepared and filed with the Commission describing the Securities, and such Securities shall have been issued and sold in accordance with the terms set forth in such Prospectus Supplement; (b) such Securities, as issued and delivered, comply with any requirements and restrictions imposed by any court or governmental or regulatory body applicable to the Company; (c) at the time of any offering or sale of any Securities, there shall be a sufficient number of shares of Common Stock or Preferred Stock, authorized and unissued under the Certificate of Incorporation, and not otherwise reserved for issuance, except in connection with the issuance of the Securities; (d) at the time of issuance or sale of the Securities, the Company shall validly exist and shall be in good standing under the laws of the State of Delaware, and, in the case of Securities, the Company shall have the necessary corporate power for such issuance; (e) any definitive purchase, underwriting or similar agreement with respect to any Securities, if applicable, shall have been duly authorized, executed and delivered by the parties thereto and shall constitute legally valid and binding obligations of the parties thereto, enforceable against each of them in accordance with their respective terms, at the time of issuance of the applicable Securities; (f) certificates representing the Securities, if any, shall have been duly executed, countersigned, registered and delivered, or if uncertificated, valid book-entry notations shall have been made in the share or other register of the Company, in each case in accordance with the Constituent Documents, and in the manner contemplated by the Registration Statement and/or the applicable Prospectus Supplement, against payment therefor in an amount not less than the par value thereof, or such other consideration determined by the Board of Directors, or an authorized committee thereof, as permitted under the DGCL, in accordance with the provisions of any applicable definitive purchase agreement, underwriting agreement, or similar agreement approved by the Company; and (g) the Constituent Documents shall be in full force and effect and shall not have been amended, restated, supplemented or otherwise altered, and there shall be no authorization of any such amendment, restatement, supplement or alteration, in each case since the date hereof.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168" w:lineRule="exact"/>
        <w:rPr>
          <w:sz w:val="20"/>
          <w:szCs w:val="20"/>
          <w:color w:val="auto"/>
        </w:rPr>
      </w:pPr>
    </w:p>
    <w:p>
      <w:pPr>
        <w:jc w:val="both"/>
        <w:ind w:left="500" w:hanging="251"/>
        <w:spacing w:after="0" w:line="278" w:lineRule="auto"/>
        <w:tabs>
          <w:tab w:leader="none" w:pos="5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Common Stock, upon (a) the completion of all required Corporate Proceedings with respect to the issuance of such Common Stock, (b) the due execution, registration of issuance and delivery of certificates representing such Common Stock against payment of the purchase price therefor in accordance with the applicable purchase, underwriting or other agreement, and as contemplated by the Registration Statement, and (c) receipt by the Company of the consideration therefor, such Common Stock will be duly and validly issued, fully paid and nonassessable. The Common Stock covered in the opinion in this paragraph includes any Common Stock that may be issued upon exercise, conversion or exchange pursuant to the terms of any other Securities.</w:t>
      </w:r>
    </w:p>
    <w:p>
      <w:pPr>
        <w:spacing w:after="0" w:line="130" w:lineRule="exact"/>
        <w:rPr>
          <w:rFonts w:ascii="Times New Roman" w:cs="Times New Roman" w:eastAsia="Times New Roman" w:hAnsi="Times New Roman"/>
          <w:sz w:val="13"/>
          <w:szCs w:val="13"/>
          <w:color w:val="auto"/>
        </w:rPr>
      </w:pPr>
    </w:p>
    <w:p>
      <w:pPr>
        <w:jc w:val="both"/>
        <w:ind w:left="500" w:hanging="251"/>
        <w:spacing w:after="0" w:line="249"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Preferred Stock, upon (a) the completion of all required Corporate Proceedings with respect to the issuance and terms of such Preferred Stock, (b) the due authorization, execution, acknowledgment, delivery and filing with, and recording by, the Delaware Secretary of State of a Certificate of Designation in respect of such Preferred Stock, (c) the due execution, registration of issuance and delivery of certificates representing such Preferred Stock against payment of the purchase price therefor in accordance with the applicable purchase, underwriting or other agreement, and as contemplated by the Registration Statement, and (d) receipt by the Company of the consideration therefor, such Preferred Stock will be duly and validly issued, fully paid and nonassessable. The Preferred Stock covered in the opinion in this paragraph includes any shares of Preferred Stock that may be issued upon exercise, conversion or exchange pursuant to the terms of any other Securities.</w:t>
      </w:r>
    </w:p>
    <w:p>
      <w:pPr>
        <w:spacing w:after="0" w:line="149" w:lineRule="exact"/>
        <w:rPr>
          <w:rFonts w:ascii="Times New Roman" w:cs="Times New Roman" w:eastAsia="Times New Roman" w:hAnsi="Times New Roman"/>
          <w:sz w:val="14"/>
          <w:szCs w:val="14"/>
          <w:color w:val="auto"/>
        </w:rPr>
      </w:pPr>
    </w:p>
    <w:p>
      <w:pPr>
        <w:jc w:val="both"/>
        <w:ind w:left="500" w:hanging="251"/>
        <w:spacing w:after="0" w:line="252"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Debt Securities, upon (a) the completion of all required Corporate Proceedings with respect to the issuance of such Debt Securities, (b) the due execution, registration of issuance and delivery of the Debt Securities and the applicable Indenture relating to the Debt Securities representing such Debt Securities against payment of the purchase price therefor in accordance with the applicable purchase, underwriting or other agreement, and as contemplated by the Registration Statement, and (c) receipt by the Company of the consideration therefor, such Debt Securities will constitute valid and binding obligations of the Company.</w:t>
      </w:r>
    </w:p>
    <w:p>
      <w:pPr>
        <w:spacing w:after="0" w:line="146" w:lineRule="exact"/>
        <w:rPr>
          <w:rFonts w:ascii="Times New Roman" w:cs="Times New Roman" w:eastAsia="Times New Roman" w:hAnsi="Times New Roman"/>
          <w:sz w:val="14"/>
          <w:szCs w:val="14"/>
          <w:color w:val="auto"/>
        </w:rPr>
      </w:pPr>
    </w:p>
    <w:p>
      <w:pPr>
        <w:jc w:val="both"/>
        <w:ind w:left="500" w:hanging="251"/>
        <w:spacing w:after="0" w:line="251"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Warrants, upon (a) the completion of all required Corporate Proceedings relating to the terms and issuance of the Warrants, (b) the due authorization, execution and delivery of a Warrant Agreement, (c) the preparation and due execution and delivery of the related Warrants against payment of the purchase price therefor in accordance with the applicable purchase, underwriting or other agreement, and as contemplated by the Registration Statement, (d) the due authentication of the related Warrants by the Warrant Agent, and (e) receipt by the Company of the consideration therefor, such Warrants will be valid and binding obligations of the Company. The Warrants covered in the opinion in this paragraph includes any Warrants that may be issued upon exercise, conversion or exchange pursuant to the terms of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6470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95" w:name="page96"/>
    <w:bookmarkEnd w:id="95"/>
    <w:p>
      <w:pPr>
        <w:jc w:val="both"/>
        <w:ind w:left="500" w:hanging="251"/>
        <w:spacing w:after="0" w:line="273" w:lineRule="auto"/>
        <w:tabs>
          <w:tab w:leader="none" w:pos="5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Rights, upon (a) the completion of all required Corporate Proceedings relating to the terms and issuance of the Rights, (b) the due authorization, execution and delivery of a Rights Agreement against payment of the purchase price therefor in accordance with the applicable purchase, underwriting or other agreement, and as contemplated by the Registration Statement,</w:t>
      </w:r>
    </w:p>
    <w:p>
      <w:pPr>
        <w:jc w:val="both"/>
        <w:ind w:left="500" w:hanging="4"/>
        <w:spacing w:after="0" w:line="248" w:lineRule="auto"/>
        <w:tabs>
          <w:tab w:leader="none" w:pos="697"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Common Stock or Preferred Stock, as the case may be, underlying such Rights having been deposited with the applicable rights agent, and (d) receipt by the Company of the consideration therefor, such Rights Agreement will be a valid and binding obligation of the Company and the Rights will be valid and binding obligations of the Company. The Rights covered in the opinion in this paragraph includes any Rights that may be issued upon exercise, conversion or exchange pursuant to the terms of any other Securities.</w:t>
      </w:r>
    </w:p>
    <w:p>
      <w:pPr>
        <w:spacing w:after="0" w:line="147" w:lineRule="exact"/>
        <w:rPr>
          <w:rFonts w:ascii="Times New Roman" w:cs="Times New Roman" w:eastAsia="Times New Roman" w:hAnsi="Times New Roman"/>
          <w:sz w:val="14"/>
          <w:szCs w:val="14"/>
          <w:color w:val="auto"/>
        </w:rPr>
      </w:pPr>
    </w:p>
    <w:p>
      <w:pPr>
        <w:jc w:val="both"/>
        <w:ind w:left="500" w:hanging="251"/>
        <w:spacing w:after="0" w:line="251" w:lineRule="auto"/>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Units, upon (a) the completion of all required Corporate Proceedings relating to the terms and issuance of the Units, (b) the due authorization, execution and delivery of a Unit Agreement against payment of the purchase price therefor in accordance with the applicable purchase, underwriting or other agreement, and as contemplated by the Registration Statement, (c) the Securities underlying such Units having been deposited with the applicable unit agent, and (d) receipt by the Company of the consideration therefor such Unit Agreement will be a valid and binding obligation of the Company and the Units will be valid and binding obligations of the Company. The Units covered in the opinion in this paragraph includes any Units that may be issued upon exercise, conversion or exchange pursuant to the terms of any other Securities.</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opinions set forth above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 may be brought; (iii) the unenforceability under certain circumstances under law or court decisions of provision providing for the indemnification of, or contribution to, a party with respect to liability where such indemnification or contribution is contrary to public policy. We express no opinion concerning the enforceability of any waiver of rights or defenses with respect to stay, extension or usury laws. Our opinion expressed herein is also subject to the qualification that no term or provision hereof shall be included in: (a) the Certificate of Designation relating to any series of the Preferred Stock, (b) the Indenture, (c) the Warrant Agreement, (d) the Unit Agreement, (e) the Rights Agreement, or (f) any other agreement or instrument pursuant to which any of the Securities are to be issued that would affect the validity of such opinion. Our opinion is limited to the federal laws of the United States and the DGCL. We express no opinion as to the effect of the law of any other jurisdiction. Our opinion is rendered as of the date hereof, and we assume no obligation to advise you of changes in law or fact (or the effect thereof on the opinions expressed herein) that hereafter may come to our attention.</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as Exhibit 5.1 to the Registration Statement and to the reference to our firm under the caption “Legal Matters” in the Registration Statement. In so doing, we do not admit that we are in the category of persons whose consent is required under Section 7 of the Securities Act and the rules and regulations of the Commission promulgated thereunder.</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598170</wp:posOffset>
            </wp:positionV>
            <wp:extent cx="71647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114935</wp:posOffset>
            </wp:positionV>
            <wp:extent cx="1437005"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1437005" cy="27432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Arrive AI Inc. of our report dated April 15, 2026, relating to the consolidated financial statements of Arrive AI Inc., included in the Annual Report on Form 10-K of Arrive AI Inc. for the year ended December 31, 2025, filed with the Securities and Exchange Commission on April 15,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our firm under the heading “Experts” in such Registration 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Stephano Slack LLC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Wayne, Pennsylvania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212090</wp:posOffset>
            </wp:positionV>
            <wp:extent cx="71647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Arrive AI Inc. of our report dated March 12, 2025, relating to the consolidated financial statements of Arrive AI Inc., included in the Annual Report on Form 10-K of Arrive AI Inc. for the year ended December 31, 2024, filed with the Securities and Exchange Commission on April 15,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our firm under the heading “Experts” in such Registration 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Assurance Dimensions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Coral Springs, Florida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212090</wp:posOffset>
            </wp:positionV>
            <wp:extent cx="71647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8" w:name="page99"/>
    <w:bookmarkEnd w:id="98"/>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Arrive AI Inc.</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3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0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4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1840" w:type="dxa"/>
            <w:vAlign w:val="bottom"/>
          </w:tcPr>
          <w:p>
            <w:pPr>
              <w:jc w:val="center"/>
              <w:ind w:left="918"/>
              <w:spacing w:after="0"/>
              <w:rPr>
                <w:sz w:val="20"/>
                <w:szCs w:val="20"/>
                <w:color w:val="auto"/>
              </w:rPr>
            </w:pPr>
            <w:r>
              <w:rPr>
                <w:rFonts w:ascii="Arial" w:cs="Arial" w:eastAsia="Arial" w:hAnsi="Arial"/>
                <w:sz w:val="16"/>
                <w:szCs w:val="16"/>
                <w:b w:val="1"/>
                <w:bCs w:val="1"/>
                <w:color w:val="auto"/>
              </w:rPr>
              <w:t>Security</w:t>
            </w: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Security Calculation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840" w:type="dxa"/>
            <w:vAlign w:val="bottom"/>
          </w:tcPr>
          <w:p>
            <w:pPr>
              <w:jc w:val="center"/>
              <w:ind w:left="738"/>
              <w:spacing w:after="0"/>
              <w:rPr>
                <w:sz w:val="20"/>
                <w:szCs w:val="20"/>
                <w:color w:val="auto"/>
              </w:rPr>
            </w:pPr>
            <w:r>
              <w:rPr>
                <w:rFonts w:ascii="Arial" w:cs="Arial" w:eastAsia="Arial" w:hAnsi="Arial"/>
                <w:sz w:val="16"/>
                <w:szCs w:val="16"/>
                <w:b w:val="1"/>
                <w:bCs w:val="1"/>
                <w:color w:val="auto"/>
              </w:rPr>
              <w:t>Amount of</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Forward</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85"/>
        </w:trPr>
        <w:tc>
          <w:tcPr>
            <w:tcW w:w="1840" w:type="dxa"/>
            <w:vAlign w:val="bottom"/>
          </w:tcPr>
          <w:p>
            <w:pPr>
              <w:jc w:val="center"/>
              <w:ind w:left="918"/>
              <w:spacing w:after="0"/>
              <w:rPr>
                <w:sz w:val="20"/>
                <w:szCs w:val="20"/>
                <w:color w:val="auto"/>
              </w:rPr>
            </w:pPr>
            <w:r>
              <w:rPr>
                <w:rFonts w:ascii="Arial" w:cs="Arial" w:eastAsia="Arial" w:hAnsi="Arial"/>
                <w:sz w:val="16"/>
                <w:szCs w:val="16"/>
                <w:b w:val="1"/>
                <w:bCs w:val="1"/>
                <w:color w:val="auto"/>
                <w:w w:val="96"/>
              </w:rPr>
              <w:t>Type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or Carry</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Registered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840" w:type="dxa"/>
            <w:vAlign w:val="bottom"/>
          </w:tcPr>
          <w:p>
            <w:pPr>
              <w:ind w:left="60"/>
              <w:spacing w:after="0"/>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Initial</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840" w:type="dxa"/>
            <w:vAlign w:val="bottom"/>
          </w:tcPr>
          <w:p>
            <w:pPr>
              <w:jc w:val="center"/>
              <w:ind w:left="718"/>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6"/>
              </w:rPr>
              <w:t>Type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-848360</wp:posOffset>
            </wp:positionV>
            <wp:extent cx="7215505" cy="50355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215505" cy="5035550"/>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4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p>
      <w:pPr>
        <w:jc w:val="center"/>
        <w:ind w:right="6880"/>
        <w:spacing w:after="0"/>
        <w:rPr>
          <w:sz w:val="20"/>
          <w:szCs w:val="20"/>
          <w:color w:val="auto"/>
        </w:rPr>
      </w:pPr>
      <w:r>
        <w:rPr>
          <w:rFonts w:ascii="Arial" w:cs="Arial" w:eastAsia="Arial" w:hAnsi="Arial"/>
          <w:sz w:val="16"/>
          <w:szCs w:val="16"/>
          <w:color w:val="auto"/>
        </w:rPr>
        <w:t>Common</w:t>
      </w:r>
    </w:p>
    <w:p>
      <w:pPr>
        <w:ind w:left="1180"/>
        <w:spacing w:after="0" w:line="187" w:lineRule="auto"/>
        <w:tabs>
          <w:tab w:leader="none" w:pos="1880" w:val="left"/>
          <w:tab w:leader="none" w:pos="282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3"/>
          <w:szCs w:val="23"/>
          <w:color w:val="auto"/>
          <w:vertAlign w:val="superscript"/>
        </w:rPr>
        <w:t>Stock,</w:t>
      </w:r>
      <w:r>
        <w:rPr>
          <w:sz w:val="20"/>
          <w:szCs w:val="20"/>
          <w:color w:val="auto"/>
        </w:rPr>
        <w:tab/>
      </w:r>
      <w:r>
        <w:rPr>
          <w:rFonts w:ascii="Arial" w:cs="Arial" w:eastAsia="Arial" w:hAnsi="Arial"/>
          <w:sz w:val="14"/>
          <w:szCs w:val="14"/>
          <w:color w:val="auto"/>
        </w:rPr>
        <w:t>457(o)</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$0.0002</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par value</w:t>
      </w:r>
    </w:p>
    <w:p>
      <w:pPr>
        <w:spacing w:after="0" w:line="26" w:lineRule="exact"/>
        <w:rPr>
          <w:sz w:val="20"/>
          <w:szCs w:val="20"/>
          <w:color w:val="auto"/>
        </w:rPr>
      </w:pPr>
    </w:p>
    <w:p>
      <w:pPr>
        <w:jc w:val="center"/>
        <w:ind w:right="6860"/>
        <w:spacing w:after="0"/>
        <w:rPr>
          <w:sz w:val="20"/>
          <w:szCs w:val="20"/>
          <w:color w:val="auto"/>
        </w:rPr>
      </w:pPr>
      <w:r>
        <w:rPr>
          <w:rFonts w:ascii="Arial" w:cs="Arial" w:eastAsia="Arial" w:hAnsi="Arial"/>
          <w:sz w:val="16"/>
          <w:szCs w:val="16"/>
          <w:color w:val="auto"/>
        </w:rPr>
        <w:t>Preferred</w:t>
      </w:r>
    </w:p>
    <w:p>
      <w:pPr>
        <w:ind w:left="1180"/>
        <w:spacing w:after="0" w:line="187" w:lineRule="auto"/>
        <w:tabs>
          <w:tab w:leader="none" w:pos="1880" w:val="left"/>
          <w:tab w:leader="none" w:pos="282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3"/>
          <w:szCs w:val="23"/>
          <w:color w:val="auto"/>
          <w:vertAlign w:val="superscript"/>
        </w:rPr>
        <w:t>Stock,</w:t>
      </w:r>
      <w:r>
        <w:rPr>
          <w:sz w:val="20"/>
          <w:szCs w:val="20"/>
          <w:color w:val="auto"/>
        </w:rPr>
        <w:tab/>
      </w:r>
      <w:r>
        <w:rPr>
          <w:rFonts w:ascii="Arial" w:cs="Arial" w:eastAsia="Arial" w:hAnsi="Arial"/>
          <w:sz w:val="14"/>
          <w:szCs w:val="14"/>
          <w:color w:val="auto"/>
        </w:rPr>
        <w:t>457(o)</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$0.0002</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par value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shd w:val="clear" w:color="auto" w:fill="E7E7E2"/>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w:t>
            </w:r>
          </w:p>
        </w:tc>
        <w:tc>
          <w:tcPr>
            <w:tcW w:w="0" w:type="dxa"/>
            <w:vAlign w:val="bottom"/>
          </w:tcPr>
          <w:p>
            <w:pPr>
              <w:spacing w:after="0"/>
              <w:rPr>
                <w:sz w:val="1"/>
                <w:szCs w:val="1"/>
                <w:color w:val="auto"/>
              </w:rPr>
            </w:pPr>
          </w:p>
        </w:tc>
      </w:tr>
      <w:tr>
        <w:trPr>
          <w:trHeight w:val="165"/>
        </w:trPr>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4"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0" w:lineRule="exact"/>
        <w:rPr>
          <w:sz w:val="20"/>
          <w:szCs w:val="20"/>
          <w:color w:val="auto"/>
        </w:rPr>
      </w:pPr>
    </w:p>
    <w:p>
      <w:pPr>
        <w:jc w:val="both"/>
        <w:ind w:left="200" w:right="240"/>
        <w:spacing w:after="0" w:line="263" w:lineRule="auto"/>
        <w:rPr>
          <w:sz w:val="20"/>
          <w:szCs w:val="20"/>
          <w:color w:val="auto"/>
        </w:rPr>
      </w:pPr>
      <w:r>
        <w:rPr>
          <w:rFonts w:ascii="Arial" w:cs="Arial" w:eastAsia="Arial" w:hAnsi="Arial"/>
          <w:sz w:val="16"/>
          <w:szCs w:val="16"/>
          <w:color w:val="auto"/>
        </w:rPr>
        <w:t>The proposed amount of the securities offered to be offered and registered by the registrant, maximum offering price per class of security to be offered by the registrant and maximum aggregate offering price per class of security to be offered by the registrant will be determined from time to time by the registrant in connection with the issuance by the registrant of the securities registered hereunder.</w:t>
      </w:r>
    </w:p>
    <w:p>
      <w:pPr>
        <w:spacing w:after="0" w:line="136" w:lineRule="exact"/>
        <w:rPr>
          <w:sz w:val="20"/>
          <w:szCs w:val="20"/>
          <w:color w:val="auto"/>
        </w:rPr>
      </w:pPr>
    </w:p>
    <w:p>
      <w:pPr>
        <w:ind w:left="200" w:right="140"/>
        <w:spacing w:after="0" w:line="247" w:lineRule="auto"/>
        <w:rPr>
          <w:sz w:val="20"/>
          <w:szCs w:val="20"/>
          <w:color w:val="auto"/>
        </w:rPr>
      </w:pPr>
      <w:r>
        <w:rPr>
          <w:rFonts w:ascii="Arial" w:cs="Arial" w:eastAsia="Arial" w:hAnsi="Arial"/>
          <w:sz w:val="16"/>
          <w:szCs w:val="16"/>
          <w:color w:val="auto"/>
        </w:rPr>
        <w:t>This registration statement covers such indeterminate amount of shares of common stock, preferred stock, debt securities, warrants and rights of Arrive AI Inc., as having an aggregate offering price not to exceed $100,000,000, to be offered by the registrant. The securities registered hereunder are to be issued from time to time at prices to be determined. The securities registered also include such indeterminate number of shares of common stock and preferred stock and amount of debt securities as may be issued upon conversion of or exchange for preferred shares or debt securities that provide for conversion or exchange, upon exercise of warrants or rights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51" w:lineRule="exact"/>
        <w:rPr>
          <w:sz w:val="20"/>
          <w:szCs w:val="20"/>
          <w:color w:val="auto"/>
        </w:rPr>
      </w:pPr>
    </w:p>
    <w:p>
      <w:pPr>
        <w:ind w:left="200" w:right="400"/>
        <w:spacing w:after="0" w:line="284" w:lineRule="auto"/>
        <w:rPr>
          <w:sz w:val="20"/>
          <w:szCs w:val="20"/>
          <w:color w:val="auto"/>
        </w:rPr>
      </w:pPr>
      <w:r>
        <w:rPr>
          <w:rFonts w:ascii="Arial" w:cs="Arial" w:eastAsia="Arial" w:hAnsi="Arial"/>
          <w:sz w:val="16"/>
          <w:szCs w:val="16"/>
          <w:color w:val="auto"/>
        </w:rPr>
        <w:t>Estimated solely for the purpose of calculating the registration fee. Subject to Rule 462(b) under the Securities Act, the aggregate maximum offering price of all securities to be offered and issued by the registrant pursuant to this registration statement will not exceed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715137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-975360</wp:posOffset>
            </wp:positionV>
            <wp:extent cx="12700" cy="1805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12700" cy="18059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-975360</wp:posOffset>
            </wp:positionV>
            <wp:extent cx="12700" cy="1805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12700" cy="180594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2635" cy="248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12635" cy="2482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2635" cy="248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12635" cy="2482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 457(p)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33655</wp:posOffset>
            </wp:positionV>
            <wp:extent cx="711263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12635" cy="6350"/>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99" w:name="page100"/>
    <w:bookmarkEnd w:id="99"/>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71055" cy="525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171055" cy="5257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Sources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
    </w:lvl>
    <w:lvl w:ilvl="1">
      <w:lvlJc w:val="left"/>
      <w:lvlText w:val="%2."/>
      <w:numFmt w:val="lowerLetter"/>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lowerRoman"/>
      <w:start w:val="2"/>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decimal"/>
      <w:start w:val="1"/>
    </w:lvl>
    <w:lvl w:ilvl="1">
      <w:lvlJc w:val="left"/>
      <w:lvlText w:val="(%2)"/>
      <w:numFmt w:val="lowerRoman"/>
      <w:start w:val="1"/>
    </w:lvl>
  </w:abstractNum>
  <w:abstractNum w:abstractNumId="35">
    <w:nsid w:val="3F6AB60F"/>
    <w:multiLevelType w:val="hybridMultilevel"/>
    <w:lvl w:ilvl="0">
      <w:lvlJc w:val="left"/>
      <w:lvlText w:val="(%1)"/>
      <w:numFmt w:val="decimal"/>
      <w:start w:val="2"/>
    </w:lvl>
    <w:lvl w:ilvl="1">
      <w:lvlJc w:val="left"/>
      <w:lvlText w:val="(%2)"/>
      <w:numFmt w:val="lowerRoman"/>
      <w:start w:val="1"/>
    </w:lvl>
  </w:abstractNum>
  <w:abstractNum w:abstractNumId="36">
    <w:nsid w:val="61574095"/>
    <w:multiLevelType w:val="hybridMultilevel"/>
    <w:lvl w:ilvl="0">
      <w:lvlJc w:val="left"/>
      <w:lvlText w:val="(%1)"/>
      <w:numFmt w:val="decimal"/>
      <w:start w:val="5"/>
    </w:lvl>
    <w:lvl w:ilvl="1">
      <w:lvlJc w:val="left"/>
      <w:lvlText w:val="(%2)"/>
      <w:numFmt w:val="lowerRoman"/>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lowerRoman"/>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lowerRoman"/>
      <w:start w:val="1"/>
    </w:lvl>
  </w:abstractNum>
  <w:abstractNum w:abstractNumId="43">
    <w:nsid w:val="25A70BF7"/>
    <w:multiLevelType w:val="hybridMultilevel"/>
    <w:lvl w:ilvl="0">
      <w:lvlJc w:val="left"/>
      <w:lvlText w:val="(%1)"/>
      <w:numFmt w:val="lowerRoman"/>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2"/>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2"/>
    </w:lvl>
  </w:abstractNum>
  <w:abstractNum w:abstractNumId="50">
    <w:nsid w:val="6590700B"/>
    <w:multiLevelType w:val="hybridMultilevel"/>
    <w:lvl w:ilvl="0">
      <w:lvlJc w:val="left"/>
      <w:lvlText w:val="(%1)"/>
      <w:numFmt w:val="lowerLetter"/>
      <w:start w:val="4"/>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3"/>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2"/>
    </w:lvl>
  </w:abstractNum>
  <w:abstractNum w:abstractNumId="56">
    <w:nsid w:val="42C296BD"/>
    <w:multiLevelType w:val="hybridMultilevel"/>
    <w:lvl w:ilvl="0">
      <w:lvlJc w:val="left"/>
      <w:lvlText w:val="(%1)"/>
      <w:numFmt w:val="upperLetter"/>
      <w:start w:val="1"/>
    </w:lvl>
    <w:lvl w:ilvl="1">
      <w:lvlJc w:val="left"/>
      <w:lvlText w:val="(%2)"/>
      <w:numFmt w:val="lowerRoman"/>
      <w:start w:val="1"/>
    </w:lvl>
  </w:abstractNum>
  <w:abstractNum w:abstractNumId="57">
    <w:nsid w:val="168E121F"/>
    <w:multiLevelType w:val="hybridMultilevel"/>
    <w:lvl w:ilvl="0">
      <w:lvlJc w:val="left"/>
      <w:lvlText w:val="(%1)"/>
      <w:numFmt w:val="decimal"/>
      <w:start w:val="2"/>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3"/>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6"/>
    </w:lvl>
    <w:lvl w:ilvl="1">
      <w:lvlJc w:val="left"/>
      <w:lvlText w:val="(%2)"/>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1"/>
    </w:lvl>
    <w:lvl w:ilvl="1">
      <w:lvlJc w:val="left"/>
      <w:lvlText w:val="(%2)"/>
      <w:numFmt w:val="decimal"/>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8"/>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3"/>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lvl w:ilvl="1">
      <w:lvlJc w:val="left"/>
      <w:lvlText w:val="(%2)"/>
      <w:numFmt w:val="decimal"/>
      <w:start w:val="1"/>
    </w:lvl>
  </w:abstractNum>
  <w:abstractNum w:abstractNumId="71">
    <w:nsid w:val="3B0FD379"/>
    <w:multiLevelType w:val="hybridMultilevel"/>
    <w:lvl w:ilvl="0">
      <w:lvlJc w:val="left"/>
      <w:lvlText w:val="(%1)"/>
      <w:numFmt w:val="lowerLetter"/>
      <w:start w:val="5"/>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1"/>
    </w:lvl>
    <w:lvl w:ilvl="1">
      <w:lvlJc w:val="left"/>
      <w:lvlText w:val="(%2)"/>
      <w:numFmt w:val="lowerRoman"/>
      <w:start w:val="1"/>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9"/>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5"/>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jpeg"/><Relationship Id="rId35" Type="http://schemas.openxmlformats.org/officeDocument/2006/relationships/image" Target="media/image15.png"/><Relationship Id="rId36" Type="http://schemas.openxmlformats.org/officeDocument/2006/relationships/image" Target="media/image16.jpe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jpe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jpe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6" Type="http://schemas.openxmlformats.org/officeDocument/2006/relationships/hyperlink" Target="https://www.sec.gov/Archives/edgar/data/1818274/000149315226016808/form10-k.htm" TargetMode="External"/><Relationship Id="rId17" Type="http://schemas.openxmlformats.org/officeDocument/2006/relationships/hyperlink" Target="https://www.sec.gov/Archives/edgar/data/1818274/000164117225023999/form10-q.htm" TargetMode="External"/><Relationship Id="rId18" Type="http://schemas.openxmlformats.org/officeDocument/2006/relationships/hyperlink" Target="https://www.sec.gov/Archives/edgar/data/1818274/000149315226016849/form10-qa.htm" TargetMode="External"/><Relationship Id="rId19" Type="http://schemas.openxmlformats.org/officeDocument/2006/relationships/hyperlink" Target="https://www.sec.gov/Archives/edgar/data/1818274/000149315225023457/form10-q.htm" TargetMode="External"/><Relationship Id="rId20" Type="http://schemas.openxmlformats.org/officeDocument/2006/relationships/hyperlink" Target="https://www.sec.gov/Archives/edgar/data/1818274/000149315226016857/form10-qa.htm" TargetMode="External"/><Relationship Id="rId21" Type="http://schemas.openxmlformats.org/officeDocument/2006/relationships/hyperlink" Target="https://www.sec.gov/Archives/edgar/data/1818274/000149315226023747/form10-q.htm" TargetMode="External"/><Relationship Id="rId22" Type="http://schemas.openxmlformats.org/officeDocument/2006/relationships/hyperlink" Target="https://www.sec.gov/Archives/edgar/data/1818274/000149315226004525/form8-k.htm" TargetMode="External"/><Relationship Id="rId23" Type="http://schemas.openxmlformats.org/officeDocument/2006/relationships/hyperlink" Target="https://www.sec.gov/Archives/edgar/data/1818274/000149315226015118/form8-k.htm" TargetMode="External"/><Relationship Id="rId24" Type="http://schemas.openxmlformats.org/officeDocument/2006/relationships/hyperlink" Target="https://www.sec.gov/Archives/edgar/data/1818274/000149315226016556/form8-k.htm" TargetMode="External"/><Relationship Id="rId25" Type="http://schemas.openxmlformats.org/officeDocument/2006/relationships/hyperlink" Target="https://www.sec.gov/Archives/edgar/data/1818274/000149315226019328/form8-k.htm" TargetMode="External"/><Relationship Id="rId26" Type="http://schemas.openxmlformats.org/officeDocument/2006/relationships/hyperlink" Target="https://www.sec.gov/Archives/edgar/data/1818274/000149315226024178/form8-k.htm" TargetMode="External"/><Relationship Id="rId27" Type="http://schemas.openxmlformats.org/officeDocument/2006/relationships/hyperlink" Target="https://www.sec.gov/Archives/edgar/data/1818274/000164117225009616/form8-a12b.htm" TargetMode="External"/><Relationship Id="rId28" Type="http://schemas.openxmlformats.org/officeDocument/2006/relationships/hyperlink" Target="https://www.sec.gov/Archives/edgar/data/1818274/000164117225009862/form8-a12ba.htm" TargetMode="External"/><Relationship Id="rId63" Type="http://schemas.openxmlformats.org/officeDocument/2006/relationships/hyperlink" Target="https://www.sec.gov/Archives/edgar/data/1818274/000164117225000350/ex3-1.htm" TargetMode="External"/><Relationship Id="rId64" Type="http://schemas.openxmlformats.org/officeDocument/2006/relationships/hyperlink" Target="https://www.sec.gov/Archives/edgar/data/1818274/000164117225000350/ex3-2.htm" TargetMode="External"/><Relationship Id="rId65" Type="http://schemas.openxmlformats.org/officeDocument/2006/relationships/hyperlink" Target="https://www.sec.gov/Archives/edgar/data/1818274/000164117225000350/ex3-3.htm" TargetMode="External"/><Relationship Id="rId66" Type="http://schemas.openxmlformats.org/officeDocument/2006/relationships/hyperlink" Target="https://www.sec.gov/Archives/edgar/data/1818274/00014931522602417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2026-06-01T16:36:43Z</dcterms:created>
  <dcterms:modified xsi:type="dcterms:W3CDTF">2026-06-01T16:36:43Z</dcterms:modified>
</cp:coreProperties>
</file>